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264AA5FB" w:rsidR="00AF40CB" w:rsidRPr="006E7007" w:rsidRDefault="00AF40CB" w:rsidP="001F5A99">
      <w:pPr>
        <w:spacing w:after="120" w:line="276" w:lineRule="auto"/>
        <w:jc w:val="center"/>
        <w:rPr>
          <w:rFonts w:ascii="Tahoma" w:eastAsia="Microsoft YaHei" w:hAnsi="Tahoma" w:cs="Tahoma"/>
          <w:b/>
          <w:szCs w:val="28"/>
          <w:lang w:eastAsia="hi-IN" w:bidi="hi-IN"/>
        </w:rPr>
      </w:pPr>
      <w:proofErr w:type="gramStart"/>
      <w:r w:rsidRPr="006E7007">
        <w:rPr>
          <w:rFonts w:ascii="Tahoma" w:eastAsia="Microsoft YaHei" w:hAnsi="Tahoma" w:cs="Tahoma"/>
          <w:b/>
          <w:szCs w:val="28"/>
          <w:lang w:eastAsia="hi-IN" w:bidi="hi-IN"/>
        </w:rPr>
        <w:t xml:space="preserve">KUPNÍ </w:t>
      </w:r>
      <w:r w:rsidR="001F5A99" w:rsidRPr="006E7007">
        <w:rPr>
          <w:rFonts w:ascii="Tahoma" w:eastAsia="Microsoft YaHei" w:hAnsi="Tahoma" w:cs="Tahoma"/>
          <w:b/>
          <w:szCs w:val="28"/>
          <w:lang w:eastAsia="hi-IN" w:bidi="hi-IN"/>
        </w:rPr>
        <w:t xml:space="preserve"> </w:t>
      </w:r>
      <w:r w:rsidRPr="006E7007">
        <w:rPr>
          <w:rFonts w:ascii="Tahoma" w:eastAsia="Microsoft YaHei" w:hAnsi="Tahoma" w:cs="Tahoma"/>
          <w:b/>
          <w:szCs w:val="28"/>
          <w:lang w:eastAsia="hi-IN" w:bidi="hi-IN"/>
        </w:rPr>
        <w:t>SMLOUVA</w:t>
      </w:r>
      <w:proofErr w:type="gramEnd"/>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072E968" w14:textId="29C67BE1" w:rsidR="0078735D"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Pr>
          <w:rFonts w:ascii="Tahoma" w:hAnsi="Tahoma" w:cs="Tahoma"/>
          <w:sz w:val="20"/>
          <w:szCs w:val="22"/>
        </w:rPr>
        <w:tab/>
      </w:r>
    </w:p>
    <w:p w14:paraId="10993CC0" w14:textId="31F345C1" w:rsidR="009601F0"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EC364BC" w14:textId="5CC7CEDC" w:rsidR="0078735D" w:rsidRPr="00633675"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 xml:space="preserve">Ing. </w:t>
      </w:r>
      <w:proofErr w:type="spellStart"/>
      <w:r>
        <w:rPr>
          <w:rFonts w:ascii="Tahoma" w:hAnsi="Tahoma" w:cs="Tahoma"/>
          <w:sz w:val="20"/>
          <w:szCs w:val="22"/>
        </w:rPr>
        <w:t>Márií</w:t>
      </w:r>
      <w:proofErr w:type="spellEnd"/>
      <w:r>
        <w:rPr>
          <w:rFonts w:ascii="Tahoma" w:hAnsi="Tahoma" w:cs="Tahoma"/>
          <w:sz w:val="20"/>
          <w:szCs w:val="22"/>
        </w:rPr>
        <w:t xml:space="preserve"> </w:t>
      </w:r>
      <w:proofErr w:type="spellStart"/>
      <w:r>
        <w:rPr>
          <w:rFonts w:ascii="Tahoma" w:hAnsi="Tahoma" w:cs="Tahoma"/>
          <w:sz w:val="20"/>
          <w:szCs w:val="22"/>
        </w:rPr>
        <w:t>Zahnašovou</w:t>
      </w:r>
      <w:proofErr w:type="spellEnd"/>
      <w:r>
        <w:rPr>
          <w:rFonts w:ascii="Tahoma" w:hAnsi="Tahoma" w:cs="Tahoma"/>
          <w:sz w:val="20"/>
          <w:szCs w:val="22"/>
        </w:rPr>
        <w:t>, vedoucí oddělení ZT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4B4371E2"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AD26FA">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22E51295" w:rsidR="0051200A" w:rsidRPr="00633675" w:rsidRDefault="008E4C01"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proofErr w:type="spellStart"/>
      <w:r>
        <w:rPr>
          <w:rFonts w:ascii="Tahoma" w:hAnsi="Tahoma" w:cs="Tahoma"/>
          <w:b/>
          <w:sz w:val="20"/>
          <w:szCs w:val="22"/>
        </w:rPr>
        <w:t>Askin</w:t>
      </w:r>
      <w:proofErr w:type="spellEnd"/>
      <w:r>
        <w:rPr>
          <w:rFonts w:ascii="Tahoma" w:hAnsi="Tahoma" w:cs="Tahoma"/>
          <w:b/>
          <w:sz w:val="20"/>
          <w:szCs w:val="22"/>
        </w:rPr>
        <w:t xml:space="preserve"> </w:t>
      </w:r>
      <w:r w:rsidRPr="008E4C01">
        <w:rPr>
          <w:rFonts w:ascii="Tahoma" w:hAnsi="Tahoma" w:cs="Tahoma"/>
          <w:b/>
          <w:sz w:val="20"/>
          <w:szCs w:val="22"/>
        </w:rPr>
        <w:t>&amp;</w:t>
      </w:r>
      <w:r>
        <w:rPr>
          <w:rFonts w:ascii="Tahoma" w:hAnsi="Tahoma" w:cs="Tahoma"/>
          <w:b/>
          <w:sz w:val="20"/>
          <w:szCs w:val="22"/>
        </w:rPr>
        <w:t xml:space="preserve"> Co. s.r.o.</w:t>
      </w:r>
      <w:r w:rsidR="00705BC6" w:rsidRPr="00633675">
        <w:rPr>
          <w:rFonts w:ascii="Tahoma" w:hAnsi="Tahoma" w:cs="Tahoma"/>
          <w:b/>
          <w:sz w:val="20"/>
          <w:szCs w:val="22"/>
        </w:rPr>
        <w:t xml:space="preserve"> </w:t>
      </w:r>
    </w:p>
    <w:p w14:paraId="38B9994A" w14:textId="237C20E2" w:rsidR="009601F0" w:rsidRPr="00B55D88"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B55D88">
        <w:rPr>
          <w:rFonts w:ascii="Tahoma" w:hAnsi="Tahoma" w:cs="Tahoma"/>
          <w:sz w:val="20"/>
          <w:szCs w:val="22"/>
        </w:rPr>
        <w:t>s</w:t>
      </w:r>
      <w:r w:rsidR="009601F0" w:rsidRPr="00B55D88">
        <w:rPr>
          <w:rFonts w:ascii="Tahoma" w:hAnsi="Tahoma" w:cs="Tahoma"/>
          <w:sz w:val="20"/>
          <w:szCs w:val="22"/>
        </w:rPr>
        <w:t>e sídlem:</w:t>
      </w:r>
      <w:r w:rsidR="008E4C01" w:rsidRPr="00B55D88">
        <w:rPr>
          <w:rFonts w:ascii="Tahoma" w:hAnsi="Tahoma" w:cs="Tahoma"/>
          <w:sz w:val="20"/>
          <w:szCs w:val="22"/>
        </w:rPr>
        <w:t xml:space="preserve"> </w:t>
      </w:r>
      <w:r w:rsidR="00174380">
        <w:rPr>
          <w:rFonts w:ascii="Tahoma" w:hAnsi="Tahoma" w:cs="Tahoma"/>
          <w:sz w:val="20"/>
          <w:szCs w:val="22"/>
        </w:rPr>
        <w:tab/>
      </w:r>
      <w:r w:rsidR="008E4C01" w:rsidRPr="00B55D88">
        <w:rPr>
          <w:rFonts w:ascii="Tahoma" w:hAnsi="Tahoma" w:cs="Tahoma"/>
          <w:sz w:val="20"/>
          <w:szCs w:val="22"/>
        </w:rPr>
        <w:t xml:space="preserve">Úprkova 1450/11, </w:t>
      </w:r>
      <w:r w:rsidR="006F55E0">
        <w:rPr>
          <w:rFonts w:ascii="Tahoma" w:hAnsi="Tahoma" w:cs="Tahoma"/>
          <w:sz w:val="20"/>
          <w:szCs w:val="22"/>
        </w:rPr>
        <w:t>741</w:t>
      </w:r>
      <w:r w:rsidR="00174380">
        <w:rPr>
          <w:rFonts w:ascii="Tahoma" w:hAnsi="Tahoma" w:cs="Tahoma"/>
          <w:sz w:val="20"/>
          <w:szCs w:val="22"/>
        </w:rPr>
        <w:t xml:space="preserve"> </w:t>
      </w:r>
      <w:r w:rsidR="006F55E0">
        <w:rPr>
          <w:rFonts w:ascii="Tahoma" w:hAnsi="Tahoma" w:cs="Tahoma"/>
          <w:sz w:val="20"/>
          <w:szCs w:val="22"/>
        </w:rPr>
        <w:t xml:space="preserve">01 </w:t>
      </w:r>
      <w:r w:rsidR="008E4C01" w:rsidRPr="00B55D88">
        <w:rPr>
          <w:rFonts w:ascii="Tahoma" w:hAnsi="Tahoma" w:cs="Tahoma"/>
          <w:sz w:val="20"/>
          <w:szCs w:val="22"/>
        </w:rPr>
        <w:t xml:space="preserve">Nový Jičín </w:t>
      </w:r>
    </w:p>
    <w:p w14:paraId="433A77C9" w14:textId="5E112BDB" w:rsidR="009601F0" w:rsidRPr="00B55D8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55D88">
        <w:rPr>
          <w:rFonts w:ascii="Tahoma" w:hAnsi="Tahoma" w:cs="Tahoma"/>
          <w:sz w:val="20"/>
          <w:szCs w:val="22"/>
        </w:rPr>
        <w:t>z</w:t>
      </w:r>
      <w:r w:rsidR="009601F0" w:rsidRPr="00B55D88">
        <w:rPr>
          <w:rFonts w:ascii="Tahoma" w:hAnsi="Tahoma" w:cs="Tahoma"/>
          <w:sz w:val="20"/>
          <w:szCs w:val="22"/>
        </w:rPr>
        <w:t>astoupena</w:t>
      </w:r>
      <w:r w:rsidR="0078735D" w:rsidRPr="00B55D88">
        <w:rPr>
          <w:rFonts w:ascii="Tahoma" w:hAnsi="Tahoma" w:cs="Tahoma"/>
          <w:sz w:val="20"/>
          <w:szCs w:val="22"/>
        </w:rPr>
        <w:t>:</w:t>
      </w:r>
      <w:r w:rsidR="008E4C01" w:rsidRPr="00B55D88">
        <w:rPr>
          <w:rFonts w:ascii="Tahoma" w:hAnsi="Tahoma" w:cs="Tahoma"/>
          <w:sz w:val="20"/>
          <w:szCs w:val="22"/>
        </w:rPr>
        <w:t xml:space="preserve"> </w:t>
      </w:r>
      <w:r w:rsidR="00174380">
        <w:rPr>
          <w:rFonts w:ascii="Tahoma" w:hAnsi="Tahoma" w:cs="Tahoma"/>
          <w:sz w:val="20"/>
          <w:szCs w:val="22"/>
        </w:rPr>
        <w:tab/>
      </w:r>
      <w:r w:rsidR="008E4C01" w:rsidRPr="00B55D88">
        <w:rPr>
          <w:rFonts w:ascii="Tahoma" w:hAnsi="Tahoma" w:cs="Tahoma"/>
          <w:sz w:val="20"/>
          <w:szCs w:val="22"/>
        </w:rPr>
        <w:t>Ing. Michaelou Novákovou, jednatelkou</w:t>
      </w:r>
    </w:p>
    <w:p w14:paraId="1816FCAE" w14:textId="6C065371" w:rsidR="009601F0" w:rsidRPr="00B55D88"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55D88">
        <w:rPr>
          <w:rFonts w:ascii="Tahoma" w:hAnsi="Tahoma" w:cs="Tahoma"/>
          <w:sz w:val="20"/>
          <w:szCs w:val="22"/>
        </w:rPr>
        <w:t>IČ</w:t>
      </w:r>
      <w:r w:rsidR="006D6317" w:rsidRPr="00B55D88">
        <w:rPr>
          <w:rFonts w:ascii="Tahoma" w:hAnsi="Tahoma" w:cs="Tahoma"/>
          <w:sz w:val="20"/>
          <w:szCs w:val="22"/>
        </w:rPr>
        <w:t>O</w:t>
      </w:r>
      <w:r w:rsidRPr="00B55D88">
        <w:rPr>
          <w:rFonts w:ascii="Tahoma" w:hAnsi="Tahoma" w:cs="Tahoma"/>
          <w:sz w:val="20"/>
          <w:szCs w:val="22"/>
        </w:rPr>
        <w:t>:</w:t>
      </w:r>
      <w:r w:rsidRPr="00B55D88">
        <w:rPr>
          <w:rFonts w:ascii="Tahoma" w:hAnsi="Tahoma" w:cs="Tahoma"/>
          <w:sz w:val="20"/>
          <w:szCs w:val="22"/>
        </w:rPr>
        <w:tab/>
      </w:r>
      <w:r w:rsidR="008E4C01" w:rsidRPr="00B55D88">
        <w:rPr>
          <w:rFonts w:ascii="Tahoma" w:hAnsi="Tahoma" w:cs="Tahoma"/>
          <w:sz w:val="20"/>
          <w:szCs w:val="22"/>
        </w:rPr>
        <w:t xml:space="preserve"> </w:t>
      </w:r>
      <w:r w:rsidR="00174380">
        <w:rPr>
          <w:rFonts w:ascii="Tahoma" w:hAnsi="Tahoma" w:cs="Tahoma"/>
          <w:sz w:val="20"/>
          <w:szCs w:val="22"/>
        </w:rPr>
        <w:tab/>
      </w:r>
      <w:r w:rsidR="008E4C01" w:rsidRPr="00B55D88">
        <w:rPr>
          <w:rFonts w:ascii="Tahoma" w:hAnsi="Tahoma" w:cs="Tahoma"/>
          <w:sz w:val="20"/>
          <w:szCs w:val="22"/>
        </w:rPr>
        <w:t>48399965</w:t>
      </w:r>
    </w:p>
    <w:p w14:paraId="44E863C5" w14:textId="49BC11FB" w:rsidR="009601F0" w:rsidRPr="00B55D88"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55D88">
        <w:rPr>
          <w:rFonts w:ascii="Tahoma" w:hAnsi="Tahoma" w:cs="Tahoma"/>
          <w:sz w:val="20"/>
          <w:szCs w:val="22"/>
        </w:rPr>
        <w:t>DIČ:</w:t>
      </w:r>
      <w:r w:rsidRPr="00B55D88">
        <w:rPr>
          <w:rFonts w:ascii="Tahoma" w:hAnsi="Tahoma" w:cs="Tahoma"/>
          <w:sz w:val="20"/>
          <w:szCs w:val="22"/>
        </w:rPr>
        <w:tab/>
      </w:r>
      <w:r w:rsidR="008E4C01" w:rsidRPr="00B55D88">
        <w:rPr>
          <w:rFonts w:ascii="Tahoma" w:hAnsi="Tahoma" w:cs="Tahoma"/>
          <w:sz w:val="20"/>
          <w:szCs w:val="22"/>
        </w:rPr>
        <w:t xml:space="preserve"> </w:t>
      </w:r>
      <w:r w:rsidR="00174380">
        <w:rPr>
          <w:rFonts w:ascii="Tahoma" w:hAnsi="Tahoma" w:cs="Tahoma"/>
          <w:sz w:val="20"/>
          <w:szCs w:val="22"/>
        </w:rPr>
        <w:tab/>
      </w:r>
      <w:r w:rsidR="008E4C01" w:rsidRPr="00B55D88">
        <w:rPr>
          <w:rFonts w:ascii="Tahoma" w:hAnsi="Tahoma" w:cs="Tahoma"/>
          <w:sz w:val="20"/>
          <w:szCs w:val="22"/>
        </w:rPr>
        <w:t>CZ48399965</w:t>
      </w:r>
    </w:p>
    <w:p w14:paraId="22485E20" w14:textId="3AA151D4" w:rsidR="0051200A" w:rsidRPr="00B55D8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55D88">
        <w:rPr>
          <w:rFonts w:ascii="Tahoma" w:hAnsi="Tahoma" w:cs="Tahoma"/>
          <w:sz w:val="20"/>
          <w:szCs w:val="22"/>
        </w:rPr>
        <w:t>b</w:t>
      </w:r>
      <w:r w:rsidR="009601F0" w:rsidRPr="00B55D88">
        <w:rPr>
          <w:rFonts w:ascii="Tahoma" w:hAnsi="Tahoma" w:cs="Tahoma"/>
          <w:sz w:val="20"/>
          <w:szCs w:val="22"/>
        </w:rPr>
        <w:t>ankovní spojení:</w:t>
      </w:r>
      <w:r w:rsidR="00ED606A" w:rsidRPr="00B55D88">
        <w:rPr>
          <w:rFonts w:ascii="Tahoma" w:hAnsi="Tahoma" w:cs="Tahoma"/>
          <w:sz w:val="20"/>
          <w:szCs w:val="22"/>
        </w:rPr>
        <w:t xml:space="preserve"> </w:t>
      </w:r>
      <w:r w:rsidR="00174380">
        <w:rPr>
          <w:rFonts w:ascii="Tahoma" w:hAnsi="Tahoma" w:cs="Tahoma"/>
          <w:sz w:val="20"/>
          <w:szCs w:val="22"/>
        </w:rPr>
        <w:tab/>
      </w:r>
      <w:r w:rsidR="00ED606A" w:rsidRPr="00B55D88">
        <w:rPr>
          <w:rFonts w:ascii="Tahoma" w:hAnsi="Tahoma" w:cs="Tahoma"/>
          <w:sz w:val="20"/>
          <w:szCs w:val="22"/>
        </w:rPr>
        <w:t>Č</w:t>
      </w:r>
      <w:r w:rsidR="006F55E0">
        <w:rPr>
          <w:rFonts w:ascii="Tahoma" w:hAnsi="Tahoma" w:cs="Tahoma"/>
          <w:sz w:val="20"/>
          <w:szCs w:val="22"/>
        </w:rPr>
        <w:t>eskoslovenská obchodní banka, a.s., pobočka Nový Jičín</w:t>
      </w:r>
    </w:p>
    <w:p w14:paraId="4D4FB822" w14:textId="5D16BACB" w:rsidR="009601F0" w:rsidRPr="00B55D8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55D88">
        <w:rPr>
          <w:rFonts w:ascii="Tahoma" w:hAnsi="Tahoma" w:cs="Tahoma"/>
          <w:sz w:val="20"/>
          <w:szCs w:val="22"/>
        </w:rPr>
        <w:t>č</w:t>
      </w:r>
      <w:r w:rsidR="009601F0" w:rsidRPr="00B55D88">
        <w:rPr>
          <w:rFonts w:ascii="Tahoma" w:hAnsi="Tahoma" w:cs="Tahoma"/>
          <w:sz w:val="20"/>
          <w:szCs w:val="22"/>
        </w:rPr>
        <w:t>íslo účtu:</w:t>
      </w:r>
      <w:r w:rsidR="008E4C01" w:rsidRPr="00B55D88">
        <w:rPr>
          <w:rFonts w:ascii="Tahoma" w:hAnsi="Tahoma" w:cs="Tahoma"/>
          <w:sz w:val="20"/>
          <w:szCs w:val="22"/>
        </w:rPr>
        <w:t xml:space="preserve"> </w:t>
      </w:r>
      <w:r w:rsidR="00174380">
        <w:rPr>
          <w:rFonts w:ascii="Tahoma" w:hAnsi="Tahoma" w:cs="Tahoma"/>
          <w:sz w:val="20"/>
          <w:szCs w:val="22"/>
        </w:rPr>
        <w:tab/>
      </w:r>
      <w:proofErr w:type="spellStart"/>
      <w:r w:rsidR="00AD26FA">
        <w:rPr>
          <w:rFonts w:ascii="Tahoma" w:hAnsi="Tahoma" w:cs="Tahoma"/>
          <w:sz w:val="20"/>
          <w:szCs w:val="22"/>
        </w:rPr>
        <w:t>xxx</w:t>
      </w:r>
      <w:proofErr w:type="spellEnd"/>
    </w:p>
    <w:p w14:paraId="0657C746" w14:textId="04415059"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B55D88">
        <w:rPr>
          <w:rFonts w:ascii="Tahoma" w:hAnsi="Tahoma" w:cs="Tahoma"/>
          <w:sz w:val="20"/>
          <w:szCs w:val="22"/>
        </w:rPr>
        <w:t>Zapsána v obchodním rejstříku vedeném</w:t>
      </w:r>
      <w:r w:rsidR="00ED606A" w:rsidRPr="00B55D88">
        <w:rPr>
          <w:rFonts w:ascii="Tahoma" w:hAnsi="Tahoma" w:cs="Tahoma"/>
          <w:sz w:val="20"/>
          <w:szCs w:val="22"/>
        </w:rPr>
        <w:t xml:space="preserve"> Krajsk</w:t>
      </w:r>
      <w:r w:rsidR="006F55E0">
        <w:rPr>
          <w:rFonts w:ascii="Tahoma" w:hAnsi="Tahoma" w:cs="Tahoma"/>
          <w:sz w:val="20"/>
          <w:szCs w:val="22"/>
        </w:rPr>
        <w:t>ým</w:t>
      </w:r>
      <w:r w:rsidR="00ED606A" w:rsidRPr="00B55D88">
        <w:rPr>
          <w:rFonts w:ascii="Tahoma" w:hAnsi="Tahoma" w:cs="Tahoma"/>
          <w:sz w:val="20"/>
          <w:szCs w:val="22"/>
        </w:rPr>
        <w:t xml:space="preserve"> obchodním</w:t>
      </w:r>
      <w:r w:rsidR="000E5A82" w:rsidRPr="00B55D88">
        <w:rPr>
          <w:rFonts w:ascii="Tahoma" w:hAnsi="Tahoma" w:cs="Tahoma"/>
          <w:iCs/>
          <w:sz w:val="20"/>
          <w:szCs w:val="20"/>
        </w:rPr>
        <w:t xml:space="preserve"> soudem v </w:t>
      </w:r>
      <w:r w:rsidR="00ED606A" w:rsidRPr="00B55D88">
        <w:rPr>
          <w:rFonts w:ascii="Tahoma" w:hAnsi="Tahoma" w:cs="Tahoma"/>
          <w:iCs/>
          <w:sz w:val="20"/>
          <w:szCs w:val="20"/>
        </w:rPr>
        <w:t>Ostravě</w:t>
      </w:r>
      <w:r w:rsidR="000E5A82" w:rsidRPr="00B55D88">
        <w:rPr>
          <w:rFonts w:ascii="Tahoma" w:hAnsi="Tahoma" w:cs="Tahoma"/>
          <w:iCs/>
          <w:sz w:val="20"/>
          <w:szCs w:val="20"/>
        </w:rPr>
        <w:t>, oddíl </w:t>
      </w:r>
      <w:r w:rsidR="0033235E" w:rsidRPr="00B55D88">
        <w:rPr>
          <w:rFonts w:ascii="Tahoma" w:hAnsi="Tahoma" w:cs="Tahoma"/>
          <w:iCs/>
          <w:sz w:val="20"/>
          <w:szCs w:val="20"/>
        </w:rPr>
        <w:t>C</w:t>
      </w:r>
      <w:r w:rsidR="000E5A82" w:rsidRPr="00B55D88">
        <w:rPr>
          <w:rFonts w:ascii="Tahoma" w:hAnsi="Tahoma" w:cs="Tahoma"/>
          <w:iCs/>
          <w:sz w:val="20"/>
          <w:szCs w:val="20"/>
        </w:rPr>
        <w:t xml:space="preserve"> vložka </w:t>
      </w:r>
      <w:r w:rsidR="0033235E">
        <w:rPr>
          <w:rFonts w:ascii="Tahoma" w:hAnsi="Tahoma" w:cs="Tahoma"/>
          <w:iCs/>
          <w:sz w:val="20"/>
          <w:szCs w:val="20"/>
        </w:rPr>
        <w:t>10512</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D452C2">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33F66AA" w14:textId="77777777" w:rsidR="00810E99" w:rsidRPr="00B44200" w:rsidRDefault="00810E99" w:rsidP="00810E99">
      <w:pPr>
        <w:pStyle w:val="OdstavecSmlouvy"/>
        <w:keepLines w:val="0"/>
        <w:widowControl w:val="0"/>
        <w:tabs>
          <w:tab w:val="clear" w:pos="426"/>
          <w:tab w:val="clear" w:pos="1701"/>
        </w:tabs>
        <w:spacing w:before="120" w:after="0"/>
        <w:ind w:left="357"/>
        <w:rPr>
          <w:rFonts w:ascii="Tahoma" w:hAnsi="Tahoma" w:cs="Tahoma"/>
          <w:sz w:val="20"/>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4F6CC724"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6E7007">
        <w:rPr>
          <w:rFonts w:ascii="Tahoma" w:hAnsi="Tahoma" w:cs="Tahoma"/>
          <w:b/>
          <w:bCs/>
          <w:sz w:val="20"/>
          <w:szCs w:val="20"/>
        </w:rPr>
        <w:t>Kombinovaný analyzátor předního segmentu oka a přístroje pro diagnostiku suchého oka</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6C41C751" w14:textId="4305DFF5" w:rsidR="0004468F" w:rsidRPr="00B44200" w:rsidRDefault="00BB0AB3" w:rsidP="00B805D4">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B44200">
        <w:rPr>
          <w:rFonts w:ascii="Tahoma" w:hAnsi="Tahoma" w:cs="Tahoma"/>
          <w:sz w:val="20"/>
          <w:szCs w:val="20"/>
        </w:rPr>
        <w:t>Předmětem smlouvy</w:t>
      </w:r>
      <w:r w:rsidR="00066D69" w:rsidRPr="00B44200">
        <w:rPr>
          <w:rFonts w:ascii="Tahoma" w:hAnsi="Tahoma" w:cs="Tahoma"/>
          <w:sz w:val="20"/>
          <w:szCs w:val="20"/>
        </w:rPr>
        <w:t xml:space="preserve"> </w:t>
      </w:r>
      <w:r w:rsidR="00015E20" w:rsidRPr="00B44200">
        <w:rPr>
          <w:rFonts w:ascii="Tahoma" w:hAnsi="Tahoma" w:cs="Tahoma"/>
          <w:sz w:val="20"/>
          <w:szCs w:val="20"/>
        </w:rPr>
        <w:t>ve smyslu</w:t>
      </w:r>
      <w:r w:rsidR="00066D69" w:rsidRPr="00B44200">
        <w:rPr>
          <w:rFonts w:ascii="Tahoma" w:hAnsi="Tahoma" w:cs="Tahoma"/>
          <w:sz w:val="20"/>
          <w:szCs w:val="20"/>
        </w:rPr>
        <w:t xml:space="preserve"> odst. 1 tohoto článku smlouvy se rozumí</w:t>
      </w:r>
      <w:r w:rsidR="00B805D4" w:rsidRPr="00B44200">
        <w:rPr>
          <w:rFonts w:ascii="Tahoma" w:hAnsi="Tahoma" w:cs="Tahoma"/>
          <w:sz w:val="20"/>
          <w:szCs w:val="20"/>
        </w:rPr>
        <w:t xml:space="preserve">: </w:t>
      </w:r>
      <w:r w:rsidR="006E7007">
        <w:rPr>
          <w:rFonts w:ascii="Tahoma" w:hAnsi="Tahoma" w:cs="Tahoma"/>
          <w:sz w:val="20"/>
          <w:szCs w:val="20"/>
        </w:rPr>
        <w:t xml:space="preserve">analyzátor předního segmentu oka </w:t>
      </w:r>
      <w:r w:rsidR="00EA70E9" w:rsidRPr="00B542F2">
        <w:rPr>
          <w:rFonts w:ascii="Tahoma" w:hAnsi="Tahoma" w:cs="Tahoma"/>
          <w:sz w:val="20"/>
          <w:szCs w:val="20"/>
        </w:rPr>
        <w:t>(</w:t>
      </w:r>
      <w:r w:rsidR="00E9155E" w:rsidRPr="00B542F2">
        <w:rPr>
          <w:rFonts w:ascii="Tahoma" w:hAnsi="Tahoma" w:cs="Tahoma"/>
          <w:sz w:val="20"/>
          <w:szCs w:val="20"/>
        </w:rPr>
        <w:t>1</w:t>
      </w:r>
      <w:r w:rsidR="00EA70E9" w:rsidRPr="00B542F2">
        <w:rPr>
          <w:rFonts w:ascii="Tahoma" w:hAnsi="Tahoma" w:cs="Tahoma"/>
          <w:sz w:val="20"/>
          <w:szCs w:val="20"/>
        </w:rPr>
        <w:t xml:space="preserve"> ks)</w:t>
      </w:r>
      <w:r w:rsidR="00EA70E9" w:rsidRPr="00B44200">
        <w:rPr>
          <w:rFonts w:ascii="Tahoma" w:hAnsi="Tahoma" w:cs="Tahoma"/>
          <w:b/>
          <w:sz w:val="20"/>
          <w:szCs w:val="20"/>
        </w:rPr>
        <w:t xml:space="preserve"> </w:t>
      </w:r>
      <w:proofErr w:type="spellStart"/>
      <w:r w:rsidR="00ED606A">
        <w:rPr>
          <w:rFonts w:ascii="Tahoma" w:hAnsi="Tahoma" w:cs="Tahoma"/>
          <w:b/>
          <w:sz w:val="20"/>
          <w:szCs w:val="20"/>
        </w:rPr>
        <w:t>Anterion</w:t>
      </w:r>
      <w:proofErr w:type="spellEnd"/>
      <w:r w:rsidR="001F5A99" w:rsidRPr="00B44200">
        <w:rPr>
          <w:rFonts w:ascii="Tahoma" w:hAnsi="Tahoma" w:cs="Tahoma"/>
          <w:b/>
          <w:sz w:val="20"/>
          <w:szCs w:val="20"/>
        </w:rPr>
        <w:t xml:space="preserve"> </w:t>
      </w:r>
      <w:r w:rsidR="006F55E0">
        <w:rPr>
          <w:rFonts w:ascii="Tahoma" w:hAnsi="Tahoma" w:cs="Tahoma"/>
          <w:b/>
          <w:sz w:val="20"/>
          <w:szCs w:val="20"/>
        </w:rPr>
        <w:t xml:space="preserve"> </w:t>
      </w:r>
      <w:r w:rsidR="006E7007" w:rsidRPr="006E7007">
        <w:rPr>
          <w:rFonts w:ascii="Tahoma" w:hAnsi="Tahoma" w:cs="Tahoma"/>
          <w:sz w:val="20"/>
          <w:szCs w:val="20"/>
        </w:rPr>
        <w:t xml:space="preserve">a přístroje pro diagnostiku suchého oka (1 ks) </w:t>
      </w:r>
      <w:proofErr w:type="spellStart"/>
      <w:r w:rsidR="00ED606A" w:rsidRPr="00193687">
        <w:rPr>
          <w:rFonts w:ascii="Tahoma" w:hAnsi="Tahoma" w:cs="Tahoma"/>
          <w:b/>
          <w:bCs/>
          <w:sz w:val="20"/>
          <w:szCs w:val="20"/>
        </w:rPr>
        <w:t>LacryDiag</w:t>
      </w:r>
      <w:proofErr w:type="spellEnd"/>
      <w:r w:rsidR="006E7007">
        <w:rPr>
          <w:rFonts w:ascii="Tahoma" w:hAnsi="Tahoma" w:cs="Tahoma"/>
          <w:i/>
          <w:color w:val="FF0000"/>
          <w:sz w:val="20"/>
          <w:szCs w:val="20"/>
        </w:rPr>
        <w:t xml:space="preserve"> </w:t>
      </w:r>
      <w:r w:rsidR="00B805D4" w:rsidRPr="00B44200">
        <w:rPr>
          <w:rFonts w:ascii="Tahoma" w:hAnsi="Tahoma" w:cs="Tahoma"/>
          <w:sz w:val="20"/>
          <w:szCs w:val="20"/>
        </w:rPr>
        <w:t xml:space="preserve">včetně příslušenství, dle specifikace uvedené v Příloze č. 1 této smlouvy. </w:t>
      </w:r>
      <w:r w:rsidRPr="00B44200">
        <w:rPr>
          <w:rFonts w:ascii="Tahoma" w:hAnsi="Tahoma" w:cs="Tahoma"/>
          <w:sz w:val="20"/>
          <w:szCs w:val="20"/>
        </w:rPr>
        <w:t xml:space="preserve">Předmět smlouvy </w:t>
      </w:r>
      <w:r w:rsidR="00066D69" w:rsidRPr="00B44200">
        <w:rPr>
          <w:rFonts w:ascii="Tahoma" w:hAnsi="Tahoma" w:cs="Tahoma"/>
          <w:sz w:val="20"/>
          <w:szCs w:val="20"/>
        </w:rPr>
        <w:t>musí být nov</w:t>
      </w:r>
      <w:r w:rsidR="0010619D" w:rsidRPr="00B44200">
        <w:rPr>
          <w:rFonts w:ascii="Tahoma" w:hAnsi="Tahoma" w:cs="Tahoma"/>
          <w:sz w:val="20"/>
          <w:szCs w:val="20"/>
        </w:rPr>
        <w:t>ý</w:t>
      </w:r>
      <w:r w:rsidR="00066D69" w:rsidRPr="00B44200">
        <w:rPr>
          <w:rFonts w:ascii="Tahoma" w:hAnsi="Tahoma" w:cs="Tahoma"/>
          <w:sz w:val="20"/>
          <w:szCs w:val="20"/>
        </w:rPr>
        <w:t xml:space="preserve"> </w:t>
      </w:r>
      <w:r w:rsidR="00066D69" w:rsidRPr="00B44200">
        <w:rPr>
          <w:rFonts w:ascii="Tahoma" w:hAnsi="Tahoma" w:cs="Tahoma"/>
          <w:color w:val="000000"/>
          <w:sz w:val="20"/>
          <w:szCs w:val="20"/>
        </w:rPr>
        <w:t>a</w:t>
      </w:r>
      <w:r w:rsidR="00633675" w:rsidRPr="00B44200">
        <w:rPr>
          <w:rFonts w:ascii="Tahoma" w:hAnsi="Tahoma" w:cs="Tahoma"/>
          <w:color w:val="000000"/>
          <w:sz w:val="20"/>
          <w:szCs w:val="20"/>
        </w:rPr>
        <w:t> </w:t>
      </w:r>
      <w:r w:rsidR="00066D69" w:rsidRPr="00B44200">
        <w:rPr>
          <w:rFonts w:ascii="Tahoma" w:hAnsi="Tahoma" w:cs="Tahoma"/>
          <w:color w:val="000000"/>
          <w:sz w:val="20"/>
          <w:szCs w:val="20"/>
        </w:rPr>
        <w:t>nepoužívan</w:t>
      </w:r>
      <w:r w:rsidR="0010619D" w:rsidRPr="00B44200">
        <w:rPr>
          <w:rFonts w:ascii="Tahoma" w:hAnsi="Tahoma" w:cs="Tahoma"/>
          <w:color w:val="000000"/>
          <w:sz w:val="20"/>
          <w:szCs w:val="20"/>
        </w:rPr>
        <w:t>ý</w:t>
      </w:r>
      <w:r w:rsidR="00066D69" w:rsidRPr="00B44200">
        <w:rPr>
          <w:rFonts w:ascii="Tahoma" w:hAnsi="Tahoma" w:cs="Tahoma"/>
          <w:color w:val="000000"/>
          <w:sz w:val="20"/>
          <w:szCs w:val="20"/>
        </w:rPr>
        <w:t>.</w:t>
      </w:r>
      <w:r w:rsidR="001F7674" w:rsidRPr="00B44200">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1045DD17" w14:textId="77777777" w:rsidR="00810E99" w:rsidRDefault="00810E99" w:rsidP="007C0279">
      <w:pPr>
        <w:keepNext/>
        <w:widowControl w:val="0"/>
        <w:tabs>
          <w:tab w:val="left" w:pos="-2410"/>
        </w:tabs>
        <w:spacing w:after="120" w:line="276" w:lineRule="auto"/>
        <w:ind w:left="425" w:hanging="425"/>
        <w:jc w:val="center"/>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6C34E2F8" w14:textId="691236DB" w:rsidR="00EC3640" w:rsidRPr="00F514D6" w:rsidRDefault="00D14C77" w:rsidP="00F514D6">
      <w:pPr>
        <w:pStyle w:val="Zkladntext"/>
        <w:numPr>
          <w:ilvl w:val="0"/>
          <w:numId w:val="14"/>
        </w:numPr>
        <w:tabs>
          <w:tab w:val="clear" w:pos="1418"/>
          <w:tab w:val="left" w:pos="0"/>
        </w:tabs>
        <w:spacing w:before="0" w:after="120" w:line="276" w:lineRule="auto"/>
        <w:ind w:left="425" w:hanging="425"/>
      </w:pPr>
      <w:r w:rsidRPr="006E7007">
        <w:rPr>
          <w:rFonts w:ascii="Tahoma" w:hAnsi="Tahoma" w:cs="Tahoma"/>
          <w:sz w:val="20"/>
          <w:szCs w:val="22"/>
        </w:rPr>
        <w:t xml:space="preserve"> </w:t>
      </w:r>
      <w:r w:rsidR="000E5A82" w:rsidRPr="006E7007">
        <w:rPr>
          <w:rFonts w:ascii="Tahoma" w:hAnsi="Tahoma" w:cs="Tahoma"/>
          <w:sz w:val="20"/>
          <w:szCs w:val="22"/>
        </w:rPr>
        <w:t xml:space="preserve">Kupní cena </w:t>
      </w:r>
      <w:r w:rsidR="004979E1" w:rsidRPr="006E7007">
        <w:rPr>
          <w:rFonts w:ascii="Tahoma" w:hAnsi="Tahoma" w:cs="Tahoma"/>
          <w:sz w:val="20"/>
          <w:szCs w:val="22"/>
        </w:rPr>
        <w:t xml:space="preserve">je stanovena dohodou smluvních stran a </w:t>
      </w:r>
      <w:r w:rsidR="000E5A82" w:rsidRPr="006E7007">
        <w:rPr>
          <w:rFonts w:ascii="Tahoma" w:hAnsi="Tahoma" w:cs="Tahoma"/>
          <w:sz w:val="20"/>
          <w:szCs w:val="22"/>
        </w:rPr>
        <w:t>činí</w:t>
      </w:r>
      <w:r w:rsidR="00015E20" w:rsidRPr="006E7007">
        <w:rPr>
          <w:rFonts w:ascii="Tahoma" w:hAnsi="Tahoma" w:cs="Tahoma"/>
          <w:sz w:val="20"/>
          <w:szCs w:val="22"/>
        </w:rPr>
        <w:t xml:space="preserve"> celkem</w:t>
      </w:r>
      <w:r w:rsidR="000E5A82" w:rsidRPr="006E7007">
        <w:rPr>
          <w:rFonts w:ascii="Tahoma" w:hAnsi="Tahoma" w:cs="Tahoma"/>
          <w:sz w:val="20"/>
          <w:szCs w:val="22"/>
        </w:rPr>
        <w:t>:</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6F55E0">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D9887" w14:textId="0C6F58F8" w:rsidR="00E9155E" w:rsidRDefault="006F55E0" w:rsidP="003871B7">
            <w:pPr>
              <w:pStyle w:val="Zhlav"/>
              <w:spacing w:after="120" w:line="276" w:lineRule="auto"/>
              <w:ind w:left="425" w:hanging="425"/>
              <w:jc w:val="center"/>
              <w:rPr>
                <w:rFonts w:ascii="Tahoma" w:hAnsi="Tahoma" w:cs="Tahoma"/>
                <w:color w:val="000000"/>
                <w:sz w:val="20"/>
                <w:szCs w:val="18"/>
                <w:highlight w:val="yellow"/>
              </w:rPr>
            </w:pPr>
            <w:r w:rsidRPr="006F55E0">
              <w:rPr>
                <w:rFonts w:ascii="Tahoma" w:hAnsi="Tahoma" w:cs="Tahoma"/>
                <w:color w:val="000000"/>
                <w:sz w:val="20"/>
                <w:szCs w:val="18"/>
              </w:rPr>
              <w:t>1 657 000,00</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37455BE4" w:rsidR="00E9155E" w:rsidRDefault="006F55E0" w:rsidP="003871B7">
            <w:pPr>
              <w:pStyle w:val="Zhlav"/>
              <w:spacing w:after="120" w:line="276" w:lineRule="auto"/>
              <w:ind w:left="425" w:hanging="425"/>
              <w:jc w:val="center"/>
              <w:rPr>
                <w:rFonts w:ascii="Tahoma" w:hAnsi="Tahoma" w:cs="Tahoma"/>
                <w:color w:val="000000"/>
                <w:sz w:val="20"/>
                <w:szCs w:val="18"/>
                <w:highlight w:val="yellow"/>
              </w:rPr>
            </w:pPr>
            <w:r w:rsidRPr="006F55E0">
              <w:rPr>
                <w:rFonts w:ascii="Tahoma" w:hAnsi="Tahoma" w:cs="Tahoma"/>
                <w:color w:val="000000"/>
                <w:sz w:val="20"/>
                <w:szCs w:val="18"/>
              </w:rPr>
              <w:t>347 970,00</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6F728D81" w:rsidR="00E9155E" w:rsidRDefault="006F55E0" w:rsidP="003871B7">
            <w:pPr>
              <w:pStyle w:val="Zhlav"/>
              <w:spacing w:after="120" w:line="276" w:lineRule="auto"/>
              <w:ind w:left="425" w:hanging="425"/>
              <w:jc w:val="center"/>
              <w:rPr>
                <w:rFonts w:ascii="Tahoma" w:hAnsi="Tahoma" w:cs="Tahoma"/>
                <w:color w:val="000000"/>
                <w:sz w:val="20"/>
                <w:szCs w:val="18"/>
                <w:highlight w:val="yellow"/>
              </w:rPr>
            </w:pPr>
            <w:r w:rsidRPr="006F55E0">
              <w:rPr>
                <w:rFonts w:ascii="Tahoma" w:hAnsi="Tahoma" w:cs="Tahoma"/>
                <w:color w:val="000000"/>
                <w:sz w:val="20"/>
                <w:szCs w:val="18"/>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47B4CC43" w:rsidR="00E9155E" w:rsidRDefault="006F55E0" w:rsidP="003871B7">
            <w:pPr>
              <w:pStyle w:val="Zhlav"/>
              <w:spacing w:after="120" w:line="276" w:lineRule="auto"/>
              <w:ind w:left="425" w:hanging="425"/>
              <w:jc w:val="center"/>
              <w:rPr>
                <w:rFonts w:ascii="Tahoma" w:hAnsi="Tahoma" w:cs="Tahoma"/>
                <w:color w:val="000000"/>
                <w:sz w:val="20"/>
                <w:szCs w:val="18"/>
                <w:highlight w:val="yellow"/>
              </w:rPr>
            </w:pPr>
            <w:r w:rsidRPr="006F55E0">
              <w:rPr>
                <w:rFonts w:ascii="Tahoma" w:hAnsi="Tahoma" w:cs="Tahoma"/>
                <w:color w:val="000000"/>
                <w:sz w:val="20"/>
                <w:szCs w:val="18"/>
              </w:rPr>
              <w:t>2 004 970,00</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0722B3AC"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 xml:space="preserve">ceny v důsledku změny </w:t>
      </w:r>
      <w:r w:rsidR="0009040E" w:rsidRPr="00633675">
        <w:rPr>
          <w:rFonts w:ascii="Tahoma" w:hAnsi="Tahoma" w:cs="Tahoma"/>
          <w:sz w:val="20"/>
          <w:szCs w:val="22"/>
        </w:rPr>
        <w:lastRenderedPageBreak/>
        <w:t>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70F45EB6"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B44200">
        <w:rPr>
          <w:rFonts w:ascii="Tahoma" w:hAnsi="Tahoma" w:cs="Tahoma"/>
          <w:sz w:val="20"/>
          <w:szCs w:val="22"/>
        </w:rPr>
        <w:t xml:space="preserve">pavilon </w:t>
      </w:r>
      <w:r w:rsidR="006E7007">
        <w:rPr>
          <w:rFonts w:ascii="Tahoma" w:hAnsi="Tahoma" w:cs="Tahoma"/>
          <w:sz w:val="20"/>
          <w:szCs w:val="22"/>
        </w:rPr>
        <w:t>F</w:t>
      </w:r>
      <w:r w:rsidR="00B44200">
        <w:rPr>
          <w:rFonts w:ascii="Tahoma" w:hAnsi="Tahoma" w:cs="Tahoma"/>
          <w:sz w:val="20"/>
          <w:szCs w:val="22"/>
        </w:rPr>
        <w:t xml:space="preserve">, </w:t>
      </w:r>
      <w:r w:rsidR="006E7007">
        <w:rPr>
          <w:rFonts w:ascii="Tahoma" w:hAnsi="Tahoma" w:cs="Tahoma"/>
          <w:sz w:val="20"/>
          <w:szCs w:val="22"/>
        </w:rPr>
        <w:t>oční oddělení</w:t>
      </w:r>
      <w:r w:rsidR="00E9155E">
        <w:rPr>
          <w:rFonts w:ascii="Tahoma" w:hAnsi="Tahoma" w:cs="Tahoma"/>
          <w:sz w:val="20"/>
          <w:szCs w:val="22"/>
        </w:rPr>
        <w:t>.</w:t>
      </w:r>
    </w:p>
    <w:p w14:paraId="26C852A8" w14:textId="27AAABCC"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672575">
        <w:rPr>
          <w:rFonts w:ascii="Tahoma" w:hAnsi="Tahoma" w:cs="Tahoma"/>
          <w:b/>
          <w:bCs/>
          <w:sz w:val="20"/>
          <w:szCs w:val="20"/>
        </w:rPr>
        <w:t>9</w:t>
      </w:r>
      <w:r w:rsidR="00E6187E">
        <w:rPr>
          <w:rFonts w:ascii="Tahoma" w:hAnsi="Tahoma" w:cs="Tahoma"/>
          <w:b/>
          <w:bCs/>
          <w:sz w:val="20"/>
          <w:szCs w:val="20"/>
        </w:rPr>
        <w:t>0 dnů ode dne nabytí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w:t>
      </w:r>
      <w:r w:rsidRPr="00263E0B">
        <w:rPr>
          <w:rFonts w:ascii="Tahoma" w:hAnsi="Tahoma" w:cs="Tahoma"/>
          <w:sz w:val="20"/>
          <w:szCs w:val="20"/>
        </w:rPr>
        <w:lastRenderedPageBreak/>
        <w:t xml:space="preserve">vyhotoven protokol a zaslán na oddělení zdravotnické techniky kupujícího. </w:t>
      </w:r>
    </w:p>
    <w:p w14:paraId="7749FA2B" w14:textId="71FA8C62"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118C729A"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AD26FA">
        <w:rPr>
          <w:rFonts w:ascii="Tahoma" w:hAnsi="Tahoma" w:cs="Tahoma"/>
          <w:sz w:val="20"/>
          <w:szCs w:val="22"/>
        </w:rPr>
        <w:t>xxx</w:t>
      </w:r>
      <w:proofErr w:type="spellEnd"/>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25DFCFC3"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w:t>
      </w:r>
      <w:r w:rsidR="00D452C2">
        <w:rPr>
          <w:rFonts w:ascii="Tahoma" w:hAnsi="Tahoma" w:cs="Tahoma"/>
          <w:sz w:val="20"/>
          <w:szCs w:val="20"/>
        </w:rPr>
        <w:t xml:space="preserve">čl. V </w:t>
      </w:r>
      <w:r w:rsidRPr="00346E49">
        <w:rPr>
          <w:rFonts w:ascii="Tahoma" w:hAnsi="Tahoma" w:cs="Tahoma"/>
          <w:sz w:val="20"/>
          <w:szCs w:val="20"/>
        </w:rPr>
        <w:t xml:space="preserve">této smlouvy.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lastRenderedPageBreak/>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2ED27292"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E6187E">
        <w:rPr>
          <w:rFonts w:ascii="Tahoma" w:hAnsi="Tahoma" w:cs="Tahoma"/>
          <w:b/>
          <w:bCs/>
          <w:color w:val="000000"/>
          <w:sz w:val="19"/>
          <w:szCs w:val="19"/>
          <w:shd w:val="clear" w:color="auto" w:fill="FFFFFF"/>
        </w:rPr>
        <w:t>4</w:t>
      </w:r>
      <w:r w:rsidR="004437E9">
        <w:rPr>
          <w:rFonts w:ascii="Tahoma" w:hAnsi="Tahoma" w:cs="Tahoma"/>
          <w:b/>
          <w:bCs/>
          <w:color w:val="000000"/>
          <w:sz w:val="19"/>
          <w:szCs w:val="19"/>
          <w:shd w:val="clear" w:color="auto" w:fill="FFFFFF"/>
        </w:rPr>
        <w:t>/</w:t>
      </w:r>
      <w:r w:rsidR="0078735D">
        <w:rPr>
          <w:rFonts w:ascii="Tahoma" w:hAnsi="Tahoma" w:cs="Tahoma"/>
          <w:b/>
          <w:bCs/>
          <w:color w:val="000000"/>
          <w:sz w:val="19"/>
          <w:szCs w:val="19"/>
          <w:shd w:val="clear" w:color="auto" w:fill="FFFFFF"/>
        </w:rPr>
        <w:t>4</w:t>
      </w:r>
      <w:r w:rsidR="006E7007">
        <w:rPr>
          <w:rFonts w:ascii="Tahoma" w:hAnsi="Tahoma" w:cs="Tahoma"/>
          <w:b/>
          <w:bCs/>
          <w:color w:val="000000"/>
          <w:sz w:val="19"/>
          <w:szCs w:val="19"/>
          <w:shd w:val="clear" w:color="auto" w:fill="FFFFFF"/>
        </w:rPr>
        <w:t>5</w:t>
      </w:r>
      <w:r w:rsidR="009439E0" w:rsidRPr="00A71287">
        <w:rPr>
          <w:rFonts w:ascii="Verdana" w:hAnsi="Verdana"/>
          <w:b/>
          <w:sz w:val="18"/>
          <w:szCs w:val="18"/>
        </w:rPr>
        <w:t>)</w:t>
      </w:r>
      <w:r w:rsidR="009439E0">
        <w:rPr>
          <w:rFonts w:ascii="Verdana" w:hAnsi="Verdana"/>
          <w:b/>
          <w:sz w:val="18"/>
          <w:szCs w:val="18"/>
        </w:rPr>
        <w:t>.</w:t>
      </w:r>
    </w:p>
    <w:p w14:paraId="5DF10A1E" w14:textId="17029E1B"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AD26FA">
        <w:t>xxx</w:t>
      </w:r>
      <w:proofErr w:type="spellEnd"/>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3905608B"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ED606A">
        <w:rPr>
          <w:rFonts w:ascii="Tahoma" w:hAnsi="Tahoma" w:cs="Tahoma"/>
          <w:sz w:val="20"/>
          <w:szCs w:val="22"/>
        </w:rPr>
        <w:t> </w:t>
      </w:r>
      <w:r w:rsidRPr="00633675">
        <w:rPr>
          <w:rFonts w:ascii="Tahoma" w:hAnsi="Tahoma" w:cs="Tahoma"/>
          <w:sz w:val="20"/>
          <w:szCs w:val="22"/>
        </w:rPr>
        <w:t>délce</w:t>
      </w:r>
      <w:r w:rsidR="00ED606A">
        <w:rPr>
          <w:rFonts w:ascii="Tahoma" w:hAnsi="Tahoma" w:cs="Tahoma"/>
          <w:sz w:val="20"/>
          <w:szCs w:val="22"/>
        </w:rPr>
        <w:t xml:space="preserve"> 24</w:t>
      </w:r>
      <w:r>
        <w:rPr>
          <w:rFonts w:ascii="Tahoma" w:hAnsi="Tahoma" w:cs="Tahoma"/>
          <w:sz w:val="20"/>
          <w:szCs w:val="22"/>
        </w:rPr>
        <w:t xml:space="preserve"> měsíců</w:t>
      </w:r>
      <w:r w:rsidRPr="00633675">
        <w:rPr>
          <w:rFonts w:ascii="Tahoma" w:hAnsi="Tahoma" w:cs="Tahoma"/>
          <w:sz w:val="20"/>
          <w:szCs w:val="22"/>
        </w:rPr>
        <w:t xml:space="preserve"> </w:t>
      </w:r>
      <w:r w:rsidR="006976FB" w:rsidRPr="00633675">
        <w:rPr>
          <w:rFonts w:ascii="Tahoma" w:hAnsi="Tahoma" w:cs="Tahoma"/>
          <w:sz w:val="20"/>
          <w:szCs w:val="22"/>
        </w:rPr>
        <w:t>(dále též „záruční doba“)</w:t>
      </w:r>
      <w:r w:rsidR="006F55E0">
        <w:rPr>
          <w:rFonts w:ascii="Tahoma" w:hAnsi="Tahoma" w:cs="Tahoma"/>
          <w:sz w:val="20"/>
          <w:szCs w:val="22"/>
        </w:rPr>
        <w:t>.</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05DBB40D"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w:t>
      </w:r>
      <w:r w:rsidR="00D452C2">
        <w:rPr>
          <w:rFonts w:ascii="Tahoma" w:hAnsi="Tahoma" w:cs="Tahoma"/>
          <w:sz w:val="20"/>
          <w:szCs w:val="20"/>
        </w:rPr>
        <w:t>9</w:t>
      </w:r>
      <w:r w:rsidRPr="00633675">
        <w:rPr>
          <w:rFonts w:ascii="Tahoma" w:hAnsi="Tahoma" w:cs="Tahoma"/>
          <w:sz w:val="20"/>
          <w:szCs w:val="20"/>
        </w:rPr>
        <w:t xml:space="preserve">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3" w:name="_Hlk81509058"/>
      <w:bookmarkEnd w:id="12"/>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3"/>
    </w:p>
    <w:p w14:paraId="78CA7C1A" w14:textId="712A1ED8"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 xml:space="preserve">V případě neuznaného záručního i pozáručního servisu je </w:t>
      </w:r>
      <w:r w:rsidR="00B44200">
        <w:rPr>
          <w:rFonts w:ascii="Tahoma" w:hAnsi="Tahoma" w:cs="Tahoma"/>
          <w:sz w:val="20"/>
          <w:szCs w:val="18"/>
        </w:rPr>
        <w:t>prodávající</w:t>
      </w:r>
      <w:r w:rsidRPr="00145B94">
        <w:rPr>
          <w:rFonts w:ascii="Tahoma" w:hAnsi="Tahoma" w:cs="Tahoma"/>
          <w:sz w:val="20"/>
          <w:szCs w:val="18"/>
        </w:rPr>
        <w:t xml:space="preserve">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4"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0B081CD0" w:rsidR="0023764F" w:rsidRPr="00633675" w:rsidRDefault="00C5262B" w:rsidP="00AD26FA">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Pr>
          <w:rFonts w:ascii="Tahoma" w:hAnsi="Tahoma" w:cs="Tahoma"/>
          <w:sz w:val="20"/>
          <w:szCs w:val="20"/>
        </w:rPr>
        <w:tab/>
      </w:r>
      <w:r w:rsidR="004979E1">
        <w:rPr>
          <w:rFonts w:ascii="Tahoma" w:hAnsi="Tahoma" w:cs="Tahoma"/>
          <w:sz w:val="20"/>
          <w:szCs w:val="20"/>
        </w:rPr>
        <w:tab/>
      </w:r>
      <w:r w:rsidR="004979E1">
        <w:rPr>
          <w:rFonts w:ascii="Tahoma" w:hAnsi="Tahoma" w:cs="Tahoma"/>
          <w:sz w:val="20"/>
          <w:szCs w:val="20"/>
        </w:rPr>
        <w:tab/>
      </w:r>
      <w:proofErr w:type="spellStart"/>
      <w:r w:rsidR="00AD26FA">
        <w:rPr>
          <w:rFonts w:ascii="Tahoma" w:hAnsi="Tahoma" w:cs="Tahoma"/>
          <w:sz w:val="20"/>
          <w:szCs w:val="20"/>
        </w:rPr>
        <w:t>xxx</w:t>
      </w:r>
      <w:proofErr w:type="spellEnd"/>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5"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4"/>
    <w:bookmarkEnd w:id="15"/>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6" w:name="_Hlk81510601"/>
      <w:r w:rsidR="00453F1A" w:rsidRPr="00F04C78">
        <w:rPr>
          <w:rFonts w:ascii="Tahoma" w:hAnsi="Tahoma" w:cs="Tahoma"/>
          <w:sz w:val="20"/>
          <w:szCs w:val="22"/>
        </w:rPr>
        <w:t xml:space="preserve"> </w:t>
      </w:r>
    </w:p>
    <w:bookmarkEnd w:id="16"/>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290"/>
      <w:r w:rsidRPr="008A15AE">
        <w:rPr>
          <w:rFonts w:ascii="Tahoma" w:hAnsi="Tahoma" w:cs="Tahoma"/>
          <w:sz w:val="20"/>
          <w:szCs w:val="20"/>
        </w:rPr>
        <w:lastRenderedPageBreak/>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7"/>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8"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8"/>
    <w:p w14:paraId="2FE5AA89" w14:textId="77777777" w:rsidR="00475517" w:rsidRPr="00475517" w:rsidRDefault="00475517" w:rsidP="00475517">
      <w:pPr>
        <w:pStyle w:val="Import16"/>
        <w:numPr>
          <w:ilvl w:val="0"/>
          <w:numId w:val="6"/>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5CC2C24F"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lastRenderedPageBreak/>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8403EA">
        <w:rPr>
          <w:rFonts w:ascii="Tahoma" w:hAnsi="Tahoma" w:cs="Tahoma"/>
          <w:caps w:val="0"/>
          <w:sz w:val="20"/>
          <w:szCs w:val="22"/>
        </w:rPr>
        <w:t>Ustanovení o kybernetické bezpečnosti</w:t>
      </w:r>
    </w:p>
    <w:p w14:paraId="5D2E80E9" w14:textId="1E8A26FA" w:rsidR="00D83A06" w:rsidRPr="0022632C" w:rsidRDefault="00B44200" w:rsidP="00E9155E">
      <w:pPr>
        <w:pStyle w:val="lnek-slovantext"/>
        <w:numPr>
          <w:ilvl w:val="0"/>
          <w:numId w:val="56"/>
        </w:numPr>
        <w:tabs>
          <w:tab w:val="clear" w:pos="502"/>
        </w:tabs>
        <w:spacing w:before="0" w:after="80" w:line="276" w:lineRule="auto"/>
        <w:ind w:left="426" w:hanging="426"/>
        <w:jc w:val="both"/>
        <w:rPr>
          <w:rFonts w:ascii="Tahoma" w:hAnsi="Tahoma" w:cs="Tahoma"/>
          <w:sz w:val="20"/>
          <w:szCs w:val="20"/>
        </w:rPr>
      </w:pPr>
      <w:bookmarkStart w:id="19" w:name="_Hlk117676012"/>
      <w:r>
        <w:rPr>
          <w:rFonts w:ascii="Tahoma" w:hAnsi="Tahoma" w:cs="Tahoma"/>
          <w:sz w:val="20"/>
          <w:szCs w:val="20"/>
        </w:rPr>
        <w:t>Prodávající</w:t>
      </w:r>
      <w:r w:rsidR="00D83A06" w:rsidRPr="0022632C">
        <w:rPr>
          <w:rFonts w:ascii="Tahoma" w:hAnsi="Tahoma" w:cs="Tahoma"/>
          <w:sz w:val="20"/>
          <w:szCs w:val="20"/>
        </w:rPr>
        <w:t xml:space="preserve"> bere na vědomí, že </w:t>
      </w:r>
      <w:r w:rsidR="00810E99">
        <w:rPr>
          <w:rFonts w:ascii="Tahoma" w:hAnsi="Tahoma" w:cs="Tahoma"/>
          <w:sz w:val="20"/>
          <w:szCs w:val="20"/>
        </w:rPr>
        <w:t>Kupující</w:t>
      </w:r>
      <w:r w:rsidR="00D83A06"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9"/>
    <w:p w14:paraId="5C143FB0" w14:textId="4D525920"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B44200">
        <w:rPr>
          <w:rFonts w:ascii="Tahoma" w:hAnsi="Tahoma" w:cs="Tahoma"/>
          <w:sz w:val="20"/>
          <w:szCs w:val="20"/>
        </w:rPr>
        <w:t>Prodávající</w:t>
      </w:r>
      <w:r w:rsidRPr="0022632C">
        <w:rPr>
          <w:rFonts w:ascii="Tahoma" w:hAnsi="Tahoma" w:cs="Tahoma"/>
          <w:sz w:val="20"/>
          <w:szCs w:val="20"/>
        </w:rPr>
        <w:t xml:space="preserve">m dodávka techniky připojené do interní datové sítě </w:t>
      </w:r>
      <w:r w:rsidR="00810E99">
        <w:rPr>
          <w:rFonts w:ascii="Tahoma" w:hAnsi="Tahoma" w:cs="Tahoma"/>
          <w:sz w:val="20"/>
          <w:szCs w:val="20"/>
        </w:rPr>
        <w:t>Kupujícího</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 xml:space="preserve">nebo pokud bude vyžadovat </w:t>
      </w:r>
      <w:r w:rsidR="00B44200">
        <w:rPr>
          <w:rFonts w:ascii="Tahoma" w:hAnsi="Tahoma" w:cs="Tahoma"/>
          <w:sz w:val="20"/>
          <w:szCs w:val="20"/>
        </w:rPr>
        <w:t>Prodávající</w:t>
      </w:r>
      <w:r w:rsidRPr="0022632C">
        <w:rPr>
          <w:rFonts w:ascii="Tahoma" w:hAnsi="Tahoma" w:cs="Tahoma"/>
          <w:sz w:val="20"/>
          <w:szCs w:val="20"/>
        </w:rPr>
        <w:t xml:space="preserve"> přístup k dodávané technice přes datovou síť </w:t>
      </w:r>
      <w:r w:rsidR="00810E99">
        <w:rPr>
          <w:rFonts w:ascii="Tahoma" w:hAnsi="Tahoma" w:cs="Tahoma"/>
          <w:sz w:val="20"/>
          <w:szCs w:val="20"/>
        </w:rPr>
        <w:t>Kupujícího</w:t>
      </w:r>
      <w:r w:rsidRPr="0022632C">
        <w:rPr>
          <w:rFonts w:ascii="Tahoma" w:hAnsi="Tahoma" w:cs="Tahoma"/>
          <w:sz w:val="20"/>
          <w:szCs w:val="20"/>
        </w:rPr>
        <w:t xml:space="preserve">, přihlášení </w:t>
      </w:r>
      <w:r w:rsidR="00B44200">
        <w:rPr>
          <w:rFonts w:ascii="Tahoma" w:hAnsi="Tahoma" w:cs="Tahoma"/>
          <w:sz w:val="20"/>
          <w:szCs w:val="20"/>
        </w:rPr>
        <w:t>Prodávajícího</w:t>
      </w:r>
      <w:r w:rsidRPr="0022632C">
        <w:rPr>
          <w:rFonts w:ascii="Tahoma" w:hAnsi="Tahoma" w:cs="Tahoma"/>
          <w:sz w:val="20"/>
          <w:szCs w:val="20"/>
        </w:rPr>
        <w:t xml:space="preserve"> do sítě </w:t>
      </w:r>
      <w:r w:rsidR="00810E99">
        <w:rPr>
          <w:rFonts w:ascii="Tahoma" w:hAnsi="Tahoma" w:cs="Tahoma"/>
          <w:sz w:val="20"/>
          <w:szCs w:val="20"/>
        </w:rPr>
        <w:t>Kupujícího</w:t>
      </w:r>
      <w:r w:rsidRPr="0022632C">
        <w:rPr>
          <w:rFonts w:ascii="Tahoma" w:hAnsi="Tahoma" w:cs="Tahoma"/>
          <w:sz w:val="20"/>
          <w:szCs w:val="20"/>
        </w:rPr>
        <w:t xml:space="preserve"> musí podléhat kontrole přístupu na základě autorizace po předchozí autentizaci. </w:t>
      </w:r>
      <w:r w:rsidR="00B44200">
        <w:rPr>
          <w:rFonts w:ascii="Tahoma" w:hAnsi="Tahoma" w:cs="Tahoma"/>
          <w:sz w:val="20"/>
          <w:szCs w:val="20"/>
        </w:rPr>
        <w:t>Prodávající</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810E99">
        <w:rPr>
          <w:rFonts w:ascii="Tahoma" w:hAnsi="Tahoma" w:cs="Tahoma"/>
          <w:sz w:val="20"/>
          <w:szCs w:val="20"/>
        </w:rPr>
        <w:t>Kupujícího</w:t>
      </w:r>
      <w:r w:rsidRPr="0022632C">
        <w:rPr>
          <w:rFonts w:ascii="Tahoma" w:hAnsi="Tahoma" w:cs="Tahoma"/>
          <w:sz w:val="20"/>
          <w:szCs w:val="20"/>
        </w:rPr>
        <w:t>. </w:t>
      </w:r>
      <w:r w:rsidR="00B44200">
        <w:rPr>
          <w:rFonts w:ascii="Tahoma" w:hAnsi="Tahoma" w:cs="Tahoma"/>
          <w:sz w:val="20"/>
          <w:szCs w:val="20"/>
        </w:rPr>
        <w:t>Prodávající</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sidR="00B44200">
        <w:rPr>
          <w:rFonts w:ascii="Tahoma" w:hAnsi="Tahoma" w:cs="Tahoma"/>
          <w:sz w:val="20"/>
          <w:szCs w:val="20"/>
        </w:rPr>
        <w:t>Prodávající</w:t>
      </w:r>
      <w:r w:rsidRPr="0022632C">
        <w:rPr>
          <w:rFonts w:ascii="Tahoma" w:hAnsi="Tahoma" w:cs="Tahoma"/>
          <w:sz w:val="20"/>
          <w:szCs w:val="20"/>
        </w:rPr>
        <w:t xml:space="preserve"> se zavazuje, že udělený VPN přístup nesmí být sdílen více zaměstnanci </w:t>
      </w:r>
      <w:r w:rsidR="00B44200">
        <w:rPr>
          <w:rFonts w:ascii="Tahoma" w:hAnsi="Tahoma" w:cs="Tahoma"/>
          <w:sz w:val="20"/>
          <w:szCs w:val="20"/>
        </w:rPr>
        <w:t>Prodávajícího</w:t>
      </w:r>
      <w:r w:rsidRPr="0022632C">
        <w:rPr>
          <w:rFonts w:ascii="Tahoma" w:hAnsi="Tahoma" w:cs="Tahoma"/>
          <w:sz w:val="20"/>
          <w:szCs w:val="20"/>
        </w:rPr>
        <w:t xml:space="preserve"> nebo pod</w:t>
      </w:r>
      <w:r w:rsidR="00B44200">
        <w:rPr>
          <w:rFonts w:ascii="Tahoma" w:hAnsi="Tahoma" w:cs="Tahoma"/>
          <w:sz w:val="20"/>
          <w:szCs w:val="20"/>
        </w:rPr>
        <w:t xml:space="preserve"> Prodávajícím</w:t>
      </w:r>
      <w:r w:rsidRPr="0022632C">
        <w:rPr>
          <w:rFonts w:ascii="Tahoma" w:hAnsi="Tahoma" w:cs="Tahoma"/>
          <w:sz w:val="20"/>
          <w:szCs w:val="20"/>
        </w:rPr>
        <w:t xml:space="preserve">.  Pravidla VPN přístupu budou řešena samostatnou smlouvou, která musí být uzavřena před udělením VPN přístupu </w:t>
      </w:r>
      <w:r w:rsidR="00B44200">
        <w:rPr>
          <w:rFonts w:ascii="Tahoma" w:hAnsi="Tahoma" w:cs="Tahoma"/>
          <w:sz w:val="20"/>
          <w:szCs w:val="20"/>
        </w:rPr>
        <w:t>Prodávajícího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všechna zařízení připojená do datové sítě </w:t>
      </w:r>
      <w:r w:rsidR="00810E99">
        <w:rPr>
          <w:rFonts w:ascii="Tahoma" w:hAnsi="Tahoma" w:cs="Tahoma"/>
          <w:sz w:val="20"/>
          <w:szCs w:val="20"/>
        </w:rPr>
        <w:t>Kupujícího</w:t>
      </w:r>
      <w:r w:rsidRPr="0022632C">
        <w:rPr>
          <w:rFonts w:ascii="Tahoma" w:hAnsi="Tahoma" w:cs="Tahoma"/>
          <w:sz w:val="20"/>
          <w:szCs w:val="20"/>
        </w:rPr>
        <w:t xml:space="preserve">, budou disponovat aktualizovaným výrobcem podporovaným operačním systémem, aktualizovaným antivirovým programem s nejnovějšími signaturami, a pokud to bude možné, budou připojena do domény </w:t>
      </w:r>
      <w:r w:rsidR="00810E99">
        <w:rPr>
          <w:rFonts w:ascii="Tahoma" w:hAnsi="Tahoma" w:cs="Tahoma"/>
          <w:sz w:val="20"/>
          <w:szCs w:val="20"/>
        </w:rPr>
        <w:t>Kupující</w:t>
      </w:r>
      <w:r w:rsidRPr="0022632C">
        <w:rPr>
          <w:rFonts w:ascii="Tahoma" w:hAnsi="Tahoma" w:cs="Tahoma"/>
          <w:sz w:val="20"/>
          <w:szCs w:val="20"/>
        </w:rPr>
        <w:t xml:space="preserve">, která na zařízeních prosadí bezpečnostní politiku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810E99">
        <w:rPr>
          <w:rFonts w:ascii="Tahoma" w:hAnsi="Tahoma" w:cs="Tahoma"/>
          <w:sz w:val="20"/>
          <w:szCs w:val="20"/>
        </w:rPr>
        <w:t>Kupujícího</w:t>
      </w:r>
      <w:r w:rsidRPr="0022632C">
        <w:rPr>
          <w:rFonts w:ascii="Tahoma" w:hAnsi="Tahoma" w:cs="Tahoma"/>
          <w:sz w:val="20"/>
          <w:szCs w:val="20"/>
        </w:rPr>
        <w:t xml:space="preserve">. Pokud nebude možné dodržet výše uvedená pravidla, může </w:t>
      </w:r>
      <w:r w:rsidR="00810E99">
        <w:rPr>
          <w:rFonts w:ascii="Tahoma" w:hAnsi="Tahoma" w:cs="Tahoma"/>
          <w:sz w:val="20"/>
          <w:szCs w:val="20"/>
        </w:rPr>
        <w:t>Kupující</w:t>
      </w:r>
      <w:r w:rsidRPr="0022632C">
        <w:rPr>
          <w:rFonts w:ascii="Tahoma" w:hAnsi="Tahoma" w:cs="Tahoma"/>
          <w:sz w:val="20"/>
          <w:szCs w:val="20"/>
        </w:rPr>
        <w:t xml:space="preserve"> ve výjimečném případě dle požadavku </w:t>
      </w:r>
      <w:r w:rsidR="00B44200">
        <w:rPr>
          <w:rFonts w:ascii="Tahoma" w:hAnsi="Tahoma" w:cs="Tahoma"/>
          <w:sz w:val="20"/>
          <w:szCs w:val="20"/>
        </w:rPr>
        <w:t>Prodávajícího</w:t>
      </w:r>
      <w:r w:rsidRPr="0022632C">
        <w:rPr>
          <w:rFonts w:ascii="Tahoma" w:hAnsi="Tahoma" w:cs="Tahoma"/>
          <w:sz w:val="20"/>
          <w:szCs w:val="20"/>
        </w:rPr>
        <w:t xml:space="preserve"> zřídit VPN přístup k síťovému zařízení, které bude na vyhrazené datové síti striktně oddělené od interní sítě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sidR="00B44200">
        <w:rPr>
          <w:rFonts w:ascii="Tahoma" w:hAnsi="Tahoma" w:cs="Tahoma"/>
          <w:sz w:val="20"/>
          <w:szCs w:val="20"/>
        </w:rPr>
        <w:t>Prodávající</w:t>
      </w:r>
      <w:r w:rsidRPr="0022632C">
        <w:rPr>
          <w:rFonts w:ascii="Tahoma" w:hAnsi="Tahoma" w:cs="Tahoma"/>
          <w:sz w:val="20"/>
          <w:szCs w:val="20"/>
        </w:rPr>
        <w:t xml:space="preserve"> se zavazuje, že bude dodržovat a nebude konat v rozporu s bezpečnostními politikami </w:t>
      </w:r>
      <w:r w:rsidR="00810E99">
        <w:rPr>
          <w:rFonts w:ascii="Tahoma" w:hAnsi="Tahoma" w:cs="Tahoma"/>
          <w:sz w:val="20"/>
          <w:szCs w:val="20"/>
        </w:rPr>
        <w:t>Kupujícího</w:t>
      </w:r>
      <w:r w:rsidRPr="0022632C">
        <w:rPr>
          <w:rFonts w:ascii="Tahoma" w:hAnsi="Tahoma" w:cs="Tahoma"/>
          <w:sz w:val="20"/>
          <w:szCs w:val="20"/>
        </w:rPr>
        <w:t xml:space="preserve">. Bezpečnostní politika </w:t>
      </w:r>
      <w:r w:rsidR="00810E99">
        <w:rPr>
          <w:rFonts w:ascii="Tahoma" w:hAnsi="Tahoma" w:cs="Tahoma"/>
          <w:sz w:val="20"/>
          <w:szCs w:val="20"/>
        </w:rPr>
        <w:t>Kupujícího</w:t>
      </w:r>
      <w:r w:rsidRPr="0022632C">
        <w:rPr>
          <w:rFonts w:ascii="Tahoma" w:hAnsi="Tahoma" w:cs="Tahoma"/>
          <w:sz w:val="20"/>
          <w:szCs w:val="20"/>
        </w:rPr>
        <w:t xml:space="preserve"> bude předložena na žádost </w:t>
      </w:r>
      <w:r w:rsidR="00B44200">
        <w:rPr>
          <w:rFonts w:ascii="Tahoma" w:hAnsi="Tahoma" w:cs="Tahoma"/>
          <w:sz w:val="20"/>
          <w:szCs w:val="20"/>
        </w:rPr>
        <w:t>Prodávajícího</w:t>
      </w:r>
      <w:r w:rsidRPr="0022632C">
        <w:rPr>
          <w:rFonts w:ascii="Tahoma" w:hAnsi="Tahoma" w:cs="Tahoma"/>
          <w:sz w:val="20"/>
          <w:szCs w:val="20"/>
        </w:rPr>
        <w:t>.</w:t>
      </w:r>
    </w:p>
    <w:p w14:paraId="0FDC2300" w14:textId="21AAF11E" w:rsidR="00D83A06" w:rsidRPr="0022632C" w:rsidRDefault="00810E99"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sidR="00B44200">
        <w:rPr>
          <w:rFonts w:ascii="Tahoma" w:hAnsi="Tahoma" w:cs="Tahoma"/>
          <w:sz w:val="20"/>
          <w:szCs w:val="20"/>
        </w:rPr>
        <w:t>Prodávající</w:t>
      </w:r>
      <w:r w:rsidR="00D83A06" w:rsidRPr="0022632C">
        <w:rPr>
          <w:rFonts w:ascii="Tahoma" w:hAnsi="Tahoma" w:cs="Tahoma"/>
          <w:sz w:val="20"/>
          <w:szCs w:val="20"/>
        </w:rPr>
        <w:t xml:space="preserve"> se zavazuje poskytnout </w:t>
      </w:r>
      <w:r>
        <w:rPr>
          <w:rFonts w:ascii="Tahoma" w:hAnsi="Tahoma" w:cs="Tahoma"/>
          <w:sz w:val="20"/>
          <w:szCs w:val="20"/>
        </w:rPr>
        <w:t>Kupujícímu</w:t>
      </w:r>
      <w:r w:rsidR="00D83A06" w:rsidRPr="0022632C">
        <w:rPr>
          <w:rFonts w:ascii="Tahoma" w:hAnsi="Tahoma" w:cs="Tahoma"/>
          <w:sz w:val="20"/>
          <w:szCs w:val="20"/>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sidR="00B44200">
        <w:rPr>
          <w:rFonts w:ascii="Tahoma" w:hAnsi="Tahoma" w:cs="Tahoma"/>
          <w:sz w:val="20"/>
          <w:szCs w:val="20"/>
        </w:rPr>
        <w:t>Prodávající</w:t>
      </w:r>
      <w:r w:rsidR="00D83A06" w:rsidRPr="0022632C">
        <w:rPr>
          <w:rFonts w:ascii="Tahoma" w:hAnsi="Tahoma" w:cs="Tahoma"/>
          <w:sz w:val="20"/>
          <w:szCs w:val="20"/>
        </w:rPr>
        <w:t xml:space="preserve"> </w:t>
      </w:r>
      <w:r>
        <w:rPr>
          <w:rFonts w:ascii="Tahoma" w:hAnsi="Tahoma" w:cs="Tahoma"/>
          <w:sz w:val="20"/>
          <w:szCs w:val="20"/>
        </w:rPr>
        <w:t>Kupujícímu</w:t>
      </w:r>
      <w:r w:rsidR="00D83A06" w:rsidRPr="0022632C">
        <w:rPr>
          <w:rFonts w:ascii="Tahoma" w:hAnsi="Tahoma" w:cs="Tahoma"/>
          <w:sz w:val="20"/>
          <w:szCs w:val="20"/>
        </w:rPr>
        <w:t xml:space="preserve"> veškerou potřebnou součinnost. </w:t>
      </w:r>
      <w:r w:rsidR="00B44200">
        <w:rPr>
          <w:rFonts w:ascii="Tahoma" w:hAnsi="Tahoma" w:cs="Tahoma"/>
          <w:sz w:val="20"/>
          <w:szCs w:val="20"/>
        </w:rPr>
        <w:t>Prodávající</w:t>
      </w:r>
      <w:r w:rsidR="00D83A06" w:rsidRPr="0022632C">
        <w:rPr>
          <w:rFonts w:ascii="Tahoma" w:hAnsi="Tahoma" w:cs="Tahoma"/>
          <w:sz w:val="20"/>
          <w:szCs w:val="20"/>
        </w:rPr>
        <w:t xml:space="preserve"> je povinen přijmout dodatečná, účinná nápravná opatření k odstranění zranitelností.</w:t>
      </w:r>
    </w:p>
    <w:p w14:paraId="0B37653C" w14:textId="1BB650CC" w:rsidR="00D83A06" w:rsidRPr="0022632C" w:rsidRDefault="00B44200"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6733650B" w14:textId="759DFB80"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lastRenderedPageBreak/>
        <w:t xml:space="preserve">Povinnost ochrany neveřejných a chráněných informací trvá bez ohledu na ukončení účinnosti plnění dle smlouvy. V případě jakéhokoliv ukončení smlouvy se </w:t>
      </w:r>
      <w:r w:rsidR="00B44200">
        <w:rPr>
          <w:rFonts w:ascii="Tahoma" w:hAnsi="Tahoma" w:cs="Tahoma"/>
          <w:sz w:val="20"/>
          <w:szCs w:val="20"/>
        </w:rPr>
        <w:t>Prodávající</w:t>
      </w:r>
      <w:r w:rsidRPr="0022632C">
        <w:rPr>
          <w:rFonts w:ascii="Tahoma" w:hAnsi="Tahoma" w:cs="Tahoma"/>
          <w:sz w:val="20"/>
          <w:szCs w:val="20"/>
        </w:rPr>
        <w:t xml:space="preserve"> zavazuje splnit tyto povinnosti: </w:t>
      </w:r>
    </w:p>
    <w:p w14:paraId="39B84451" w14:textId="73B62BD5"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sidR="00B44200">
        <w:rPr>
          <w:rFonts w:ascii="Tahoma" w:hAnsi="Tahoma" w:cs="Tahoma"/>
          <w:sz w:val="20"/>
          <w:szCs w:val="20"/>
        </w:rPr>
        <w:t>Prodávajícímu</w:t>
      </w:r>
      <w:r w:rsidRPr="0022632C">
        <w:rPr>
          <w:rFonts w:ascii="Tahoma" w:hAnsi="Tahoma" w:cs="Tahoma"/>
          <w:sz w:val="20"/>
          <w:szCs w:val="20"/>
        </w:rPr>
        <w:t xml:space="preserve"> nebo </w:t>
      </w:r>
      <w:r w:rsidR="00810E99">
        <w:rPr>
          <w:rFonts w:ascii="Tahoma" w:hAnsi="Tahoma" w:cs="Tahoma"/>
          <w:sz w:val="20"/>
          <w:szCs w:val="20"/>
        </w:rPr>
        <w:t>Kupujícímu</w:t>
      </w:r>
      <w:r w:rsidRPr="0022632C">
        <w:rPr>
          <w:rFonts w:ascii="Tahoma" w:hAnsi="Tahoma" w:cs="Tahoma"/>
          <w:sz w:val="20"/>
          <w:szCs w:val="20"/>
        </w:rPr>
        <w:t xml:space="preserve">, a to v souladu s exit plánem vytvořeným v rámci prováděcího (implementačního) projektu, </w:t>
      </w:r>
    </w:p>
    <w:p w14:paraId="6D21B1C9" w14:textId="2EBC7E4B"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sidR="00B44200">
        <w:rPr>
          <w:rFonts w:ascii="Tahoma" w:hAnsi="Tahoma" w:cs="Tahoma"/>
          <w:sz w:val="20"/>
          <w:szCs w:val="20"/>
        </w:rPr>
        <w:t>Prodávající</w:t>
      </w:r>
      <w:r w:rsidRPr="0022632C">
        <w:rPr>
          <w:rFonts w:ascii="Tahoma" w:hAnsi="Tahoma" w:cs="Tahoma"/>
          <w:sz w:val="20"/>
          <w:szCs w:val="20"/>
        </w:rPr>
        <w:t xml:space="preserve">m nebo </w:t>
      </w:r>
      <w:r w:rsidR="00810E99">
        <w:rPr>
          <w:rFonts w:ascii="Tahoma" w:hAnsi="Tahoma" w:cs="Tahoma"/>
          <w:sz w:val="20"/>
          <w:szCs w:val="20"/>
        </w:rPr>
        <w:t>Kupující</w:t>
      </w:r>
      <w:r w:rsidRPr="0022632C">
        <w:rPr>
          <w:rFonts w:ascii="Tahoma" w:hAnsi="Tahoma" w:cs="Tahoma"/>
          <w:sz w:val="20"/>
          <w:szCs w:val="20"/>
        </w:rPr>
        <w:t xml:space="preserv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6F42B68C" w:rsidR="00D83A06" w:rsidRPr="0022632C" w:rsidRDefault="00B44200"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620B2581" w14:textId="6800A5A1" w:rsidR="00D83A06" w:rsidRPr="0022632C" w:rsidRDefault="00B44200"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sidR="00D83A06">
        <w:rPr>
          <w:rFonts w:ascii="Tahoma" w:hAnsi="Tahoma" w:cs="Tahoma"/>
          <w:sz w:val="20"/>
          <w:szCs w:val="20"/>
        </w:rPr>
        <w:t xml:space="preserve"> </w:t>
      </w:r>
      <w:r w:rsidR="00D83A06" w:rsidRPr="0022632C">
        <w:rPr>
          <w:rFonts w:ascii="Tahoma" w:hAnsi="Tahoma" w:cs="Tahoma"/>
          <w:sz w:val="20"/>
          <w:szCs w:val="20"/>
        </w:rPr>
        <w:t>4 vyhlášky o kybernetické bezpečnosti. O likvidaci dat bude proveden záznam.</w:t>
      </w:r>
    </w:p>
    <w:p w14:paraId="60AAB056" w14:textId="547861A4" w:rsidR="00D83A06" w:rsidRPr="0022632C" w:rsidRDefault="00810E99"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je dále oprávněn od smlouvy odstoupit v případech, že dojde k významné změně kontroly nad </w:t>
      </w:r>
      <w:r w:rsidR="00B44200">
        <w:rPr>
          <w:rFonts w:ascii="Tahoma" w:hAnsi="Tahoma" w:cs="Tahoma"/>
          <w:sz w:val="20"/>
          <w:szCs w:val="20"/>
        </w:rPr>
        <w:t>Prodávající</w:t>
      </w:r>
      <w:r w:rsidR="00D83A06" w:rsidRPr="0022632C">
        <w:rPr>
          <w:rFonts w:ascii="Tahoma" w:hAnsi="Tahoma" w:cs="Tahoma"/>
          <w:sz w:val="20"/>
          <w:szCs w:val="20"/>
        </w:rPr>
        <w:t xml:space="preserve">m nebo změně kontroly nad zásadními aktivy využívanými </w:t>
      </w:r>
      <w:r w:rsidR="00B44200">
        <w:rPr>
          <w:rFonts w:ascii="Tahoma" w:hAnsi="Tahoma" w:cs="Tahoma"/>
          <w:sz w:val="20"/>
          <w:szCs w:val="20"/>
        </w:rPr>
        <w:t>Prodávající</w:t>
      </w:r>
      <w:r w:rsidR="00D83A06" w:rsidRPr="0022632C">
        <w:rPr>
          <w:rFonts w:ascii="Tahoma" w:hAnsi="Tahoma" w:cs="Tahoma"/>
          <w:sz w:val="20"/>
          <w:szCs w:val="20"/>
        </w:rPr>
        <w:t>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6E6938E"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0"/>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40CBB4BA"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C6775B">
        <w:rPr>
          <w:rFonts w:ascii="Tahoma" w:hAnsi="Tahoma" w:cs="Tahoma"/>
          <w:sz w:val="20"/>
          <w:szCs w:val="20"/>
        </w:rPr>
        <w:t>Součástí kupní smlouvy j</w:t>
      </w:r>
      <w:r>
        <w:rPr>
          <w:rFonts w:ascii="Tahoma" w:hAnsi="Tahoma" w:cs="Tahoma"/>
          <w:sz w:val="20"/>
          <w:szCs w:val="20"/>
        </w:rPr>
        <w:t>e</w:t>
      </w:r>
      <w:r w:rsidRPr="00C6775B">
        <w:rPr>
          <w:rFonts w:ascii="Tahoma" w:hAnsi="Tahoma" w:cs="Tahoma"/>
          <w:sz w:val="20"/>
          <w:szCs w:val="20"/>
        </w:rPr>
        <w:t xml:space="preserve">:  </w:t>
      </w:r>
    </w:p>
    <w:p w14:paraId="183D8AB0" w14:textId="6B02C744" w:rsidR="004979E1" w:rsidRDefault="004979E1" w:rsidP="008403EA">
      <w:pPr>
        <w:spacing w:line="276" w:lineRule="auto"/>
        <w:ind w:left="426"/>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9E7D466" w14:textId="718FC372" w:rsidR="00F514D6" w:rsidRDefault="00F514D6"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2DC7B91F"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2D2CAA">
              <w:rPr>
                <w:rFonts w:ascii="Tahoma" w:hAnsi="Tahoma" w:cs="Tahoma"/>
                <w:sz w:val="20"/>
                <w:szCs w:val="20"/>
              </w:rPr>
              <w:t xml:space="preserve">Novém Jičíně </w:t>
            </w:r>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61413D93" w14:textId="149140CE" w:rsidR="008403EA" w:rsidRDefault="00AD26FA"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1.10.2024</w:t>
            </w: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9B6D360" w14:textId="604340CC" w:rsidR="006D6317" w:rsidRDefault="00AD26FA"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30.9.2024</w:t>
            </w:r>
          </w:p>
          <w:p w14:paraId="2B8D7100"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bookmarkStart w:id="21" w:name="_GoBack"/>
        <w:bookmarkEnd w:id="21"/>
      </w:tr>
    </w:tbl>
    <w:p w14:paraId="47B03310" w14:textId="77031B27"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2D2CAA">
        <w:rPr>
          <w:rFonts w:ascii="Tahoma" w:hAnsi="Tahoma" w:cs="Tahoma"/>
          <w:sz w:val="20"/>
          <w:szCs w:val="20"/>
        </w:rPr>
        <w:t xml:space="preserve">     Ing. Michaela Nováková</w:t>
      </w:r>
      <w:r w:rsidR="00F637E8">
        <w:rPr>
          <w:rFonts w:ascii="Tahoma" w:hAnsi="Tahoma" w:cs="Tahoma"/>
          <w:sz w:val="20"/>
          <w:szCs w:val="20"/>
        </w:rPr>
        <w:t>, jednatelka</w:t>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2192691D" w14:textId="4C5E9AB7" w:rsidR="00E6187E" w:rsidRDefault="00E6187E">
      <w:pPr>
        <w:rPr>
          <w:rFonts w:ascii="Tahoma" w:hAnsi="Tahoma" w:cs="Tahoma"/>
          <w:sz w:val="20"/>
          <w:szCs w:val="20"/>
        </w:rPr>
      </w:pPr>
      <w:r>
        <w:rPr>
          <w:rFonts w:ascii="Tahoma" w:hAnsi="Tahoma" w:cs="Tahoma"/>
          <w:sz w:val="20"/>
          <w:szCs w:val="20"/>
        </w:rPr>
        <w:br w:type="page"/>
      </w:r>
    </w:p>
    <w:p w14:paraId="40B56C3E" w14:textId="32A663C8" w:rsid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6CF82B9F" w14:textId="77777777" w:rsidR="00F844C2" w:rsidRDefault="00F844C2" w:rsidP="00B40FDD">
      <w:pPr>
        <w:tabs>
          <w:tab w:val="left" w:pos="2520"/>
        </w:tabs>
        <w:spacing w:after="120" w:line="276" w:lineRule="auto"/>
        <w:ind w:left="425" w:hanging="425"/>
        <w:jc w:val="both"/>
        <w:rPr>
          <w:rFonts w:ascii="Tahoma" w:hAnsi="Tahoma" w:cs="Tahoma"/>
          <w:b/>
          <w:iCs/>
          <w:sz w:val="20"/>
          <w:szCs w:val="22"/>
          <w:u w:val="single"/>
        </w:rPr>
      </w:pPr>
    </w:p>
    <w:p w14:paraId="39D9E7A2" w14:textId="0AB9ECE3" w:rsidR="00F844C2" w:rsidRDefault="00F844C2" w:rsidP="00F844C2">
      <w:pPr>
        <w:jc w:val="center"/>
        <w:rPr>
          <w:rFonts w:ascii="Calibri" w:hAnsi="Calibri"/>
        </w:rPr>
      </w:pPr>
      <w:r w:rsidRPr="00E060B5">
        <w:rPr>
          <w:noProof/>
        </w:rPr>
        <w:drawing>
          <wp:inline distT="0" distB="0" distL="0" distR="0" wp14:anchorId="51EADAD4" wp14:editId="2FB34063">
            <wp:extent cx="2886075" cy="523875"/>
            <wp:effectExtent l="0" t="0" r="9525" b="9525"/>
            <wp:docPr id="14520146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523875"/>
                    </a:xfrm>
                    <a:prstGeom prst="rect">
                      <a:avLst/>
                    </a:prstGeom>
                    <a:noFill/>
                    <a:ln>
                      <a:noFill/>
                    </a:ln>
                  </pic:spPr>
                </pic:pic>
              </a:graphicData>
            </a:graphic>
          </wp:inline>
        </w:drawing>
      </w:r>
    </w:p>
    <w:p w14:paraId="77980BEA" w14:textId="77777777" w:rsidR="00F844C2" w:rsidRDefault="00F844C2" w:rsidP="00F844C2">
      <w:pPr>
        <w:rPr>
          <w:rFonts w:ascii="Calibri" w:hAnsi="Calibri"/>
        </w:rPr>
      </w:pPr>
    </w:p>
    <w:tbl>
      <w:tblPr>
        <w:tblW w:w="10401" w:type="dxa"/>
        <w:jc w:val="center"/>
        <w:tblCellMar>
          <w:left w:w="70" w:type="dxa"/>
          <w:right w:w="70" w:type="dxa"/>
        </w:tblCellMar>
        <w:tblLook w:val="04A0" w:firstRow="1" w:lastRow="0" w:firstColumn="1" w:lastColumn="0" w:noHBand="0" w:noVBand="1"/>
      </w:tblPr>
      <w:tblGrid>
        <w:gridCol w:w="393"/>
        <w:gridCol w:w="316"/>
        <w:gridCol w:w="763"/>
        <w:gridCol w:w="5223"/>
        <w:gridCol w:w="1290"/>
        <w:gridCol w:w="1126"/>
        <w:gridCol w:w="1290"/>
      </w:tblGrid>
      <w:tr w:rsidR="00F844C2" w:rsidRPr="00A52971" w14:paraId="75B9A597" w14:textId="77777777" w:rsidTr="00F844C2">
        <w:trPr>
          <w:trHeight w:val="408"/>
          <w:jc w:val="center"/>
        </w:trPr>
        <w:tc>
          <w:tcPr>
            <w:tcW w:w="10401" w:type="dxa"/>
            <w:gridSpan w:val="7"/>
            <w:tcBorders>
              <w:top w:val="nil"/>
              <w:left w:val="nil"/>
              <w:bottom w:val="nil"/>
              <w:right w:val="nil"/>
            </w:tcBorders>
            <w:shd w:val="clear" w:color="auto" w:fill="auto"/>
            <w:noWrap/>
            <w:vAlign w:val="center"/>
            <w:hideMark/>
          </w:tcPr>
          <w:p w14:paraId="1F0DF696" w14:textId="55855947" w:rsidR="00F844C2" w:rsidRPr="00A52971" w:rsidRDefault="00F844C2" w:rsidP="00F844C2">
            <w:pPr>
              <w:jc w:val="center"/>
              <w:rPr>
                <w:rFonts w:ascii="Arial Narrow" w:hAnsi="Arial Narrow" w:cs="Arial"/>
                <w:b/>
                <w:bCs/>
                <w:color w:val="000000"/>
                <w:sz w:val="32"/>
                <w:szCs w:val="32"/>
              </w:rPr>
            </w:pPr>
            <w:r>
              <w:rPr>
                <w:rFonts w:ascii="Arial Narrow" w:hAnsi="Arial Narrow" w:cs="Arial"/>
                <w:b/>
                <w:bCs/>
                <w:color w:val="000000"/>
                <w:sz w:val="32"/>
                <w:szCs w:val="32"/>
              </w:rPr>
              <w:t>Kombinovaný analyzátor předního segmentu oka</w:t>
            </w:r>
            <w:r w:rsidRPr="00A52971">
              <w:rPr>
                <w:rFonts w:ascii="Arial Narrow" w:hAnsi="Arial Narrow" w:cs="Arial"/>
                <w:b/>
                <w:bCs/>
                <w:color w:val="000000"/>
                <w:sz w:val="32"/>
                <w:szCs w:val="32"/>
              </w:rPr>
              <w:t xml:space="preserve"> </w:t>
            </w:r>
            <w:r>
              <w:rPr>
                <w:rFonts w:ascii="Arial Narrow" w:hAnsi="Arial Narrow" w:cs="Arial"/>
                <w:b/>
                <w:bCs/>
                <w:color w:val="000000"/>
                <w:sz w:val="32"/>
                <w:szCs w:val="32"/>
              </w:rPr>
              <w:t>a přístroje pro diagnostiku suchého oka</w:t>
            </w:r>
          </w:p>
        </w:tc>
      </w:tr>
      <w:tr w:rsidR="00F844C2" w:rsidRPr="00A52971" w14:paraId="58F30133" w14:textId="77777777" w:rsidTr="00F844C2">
        <w:trPr>
          <w:trHeight w:val="257"/>
          <w:jc w:val="center"/>
        </w:trPr>
        <w:tc>
          <w:tcPr>
            <w:tcW w:w="10401" w:type="dxa"/>
            <w:gridSpan w:val="7"/>
            <w:tcBorders>
              <w:top w:val="nil"/>
              <w:left w:val="nil"/>
              <w:bottom w:val="nil"/>
              <w:right w:val="nil"/>
            </w:tcBorders>
            <w:shd w:val="clear" w:color="auto" w:fill="auto"/>
            <w:noWrap/>
            <w:vAlign w:val="bottom"/>
            <w:hideMark/>
          </w:tcPr>
          <w:p w14:paraId="6E128E89" w14:textId="7515D199" w:rsidR="00F844C2" w:rsidRPr="00A52971" w:rsidRDefault="00F844C2" w:rsidP="00507C6F">
            <w:pPr>
              <w:jc w:val="center"/>
              <w:rPr>
                <w:rFonts w:ascii="Arial Narrow" w:hAnsi="Arial Narrow" w:cs="Arial"/>
              </w:rPr>
            </w:pPr>
          </w:p>
        </w:tc>
      </w:tr>
      <w:tr w:rsidR="00F844C2" w:rsidRPr="00A52971" w14:paraId="69F00DC2"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7D81DCDD" w14:textId="77777777" w:rsidR="00F844C2" w:rsidRPr="00A52971" w:rsidRDefault="00F844C2" w:rsidP="00507C6F">
            <w:pPr>
              <w:jc w:val="center"/>
              <w:rPr>
                <w:rFonts w:ascii="Arial Narrow" w:hAnsi="Arial Narrow" w:cs="Arial"/>
              </w:rPr>
            </w:pPr>
          </w:p>
        </w:tc>
        <w:tc>
          <w:tcPr>
            <w:tcW w:w="316" w:type="dxa"/>
            <w:tcBorders>
              <w:top w:val="nil"/>
              <w:left w:val="nil"/>
              <w:bottom w:val="nil"/>
              <w:right w:val="nil"/>
            </w:tcBorders>
            <w:shd w:val="clear" w:color="auto" w:fill="auto"/>
            <w:noWrap/>
            <w:vAlign w:val="bottom"/>
            <w:hideMark/>
          </w:tcPr>
          <w:p w14:paraId="7A02F43B" w14:textId="77777777" w:rsidR="00F844C2" w:rsidRPr="00A52971" w:rsidRDefault="00F844C2" w:rsidP="00507C6F">
            <w:pPr>
              <w:jc w:val="center"/>
            </w:pPr>
          </w:p>
        </w:tc>
        <w:tc>
          <w:tcPr>
            <w:tcW w:w="763" w:type="dxa"/>
            <w:tcBorders>
              <w:top w:val="nil"/>
              <w:left w:val="nil"/>
              <w:bottom w:val="nil"/>
              <w:right w:val="nil"/>
            </w:tcBorders>
            <w:shd w:val="clear" w:color="auto" w:fill="auto"/>
            <w:noWrap/>
            <w:vAlign w:val="bottom"/>
            <w:hideMark/>
          </w:tcPr>
          <w:p w14:paraId="5E6075A4" w14:textId="77777777" w:rsidR="00F844C2" w:rsidRPr="00A52971" w:rsidRDefault="00F844C2" w:rsidP="00507C6F">
            <w:pPr>
              <w:jc w:val="center"/>
            </w:pPr>
          </w:p>
        </w:tc>
        <w:tc>
          <w:tcPr>
            <w:tcW w:w="5223" w:type="dxa"/>
            <w:tcBorders>
              <w:top w:val="nil"/>
              <w:left w:val="nil"/>
              <w:bottom w:val="nil"/>
              <w:right w:val="nil"/>
            </w:tcBorders>
            <w:shd w:val="clear" w:color="auto" w:fill="auto"/>
            <w:noWrap/>
            <w:vAlign w:val="bottom"/>
            <w:hideMark/>
          </w:tcPr>
          <w:p w14:paraId="358DF84F"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227BBF79" w14:textId="77777777" w:rsidR="00F844C2" w:rsidRPr="00A52971" w:rsidRDefault="00F844C2" w:rsidP="00507C6F">
            <w:pPr>
              <w:jc w:val="center"/>
            </w:pPr>
          </w:p>
        </w:tc>
        <w:tc>
          <w:tcPr>
            <w:tcW w:w="1126" w:type="dxa"/>
            <w:tcBorders>
              <w:top w:val="nil"/>
              <w:left w:val="nil"/>
              <w:bottom w:val="nil"/>
              <w:right w:val="nil"/>
            </w:tcBorders>
            <w:shd w:val="clear" w:color="auto" w:fill="auto"/>
            <w:noWrap/>
            <w:vAlign w:val="bottom"/>
            <w:hideMark/>
          </w:tcPr>
          <w:p w14:paraId="006D5775"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7DC0D674" w14:textId="77777777" w:rsidR="00F844C2" w:rsidRPr="00A52971" w:rsidRDefault="00F844C2" w:rsidP="00507C6F">
            <w:pPr>
              <w:jc w:val="center"/>
            </w:pPr>
          </w:p>
        </w:tc>
      </w:tr>
      <w:tr w:rsidR="00F844C2" w:rsidRPr="00A52971" w14:paraId="687070FC" w14:textId="77777777" w:rsidTr="00F844C2">
        <w:trPr>
          <w:trHeight w:val="257"/>
          <w:jc w:val="center"/>
        </w:trPr>
        <w:tc>
          <w:tcPr>
            <w:tcW w:w="393" w:type="dxa"/>
            <w:tcBorders>
              <w:top w:val="single" w:sz="8" w:space="0" w:color="auto"/>
              <w:left w:val="single" w:sz="8" w:space="0" w:color="auto"/>
              <w:bottom w:val="nil"/>
              <w:right w:val="nil"/>
            </w:tcBorders>
            <w:shd w:val="clear" w:color="auto" w:fill="auto"/>
            <w:noWrap/>
            <w:vAlign w:val="bottom"/>
            <w:hideMark/>
          </w:tcPr>
          <w:p w14:paraId="394CCD54" w14:textId="77777777" w:rsidR="00F844C2" w:rsidRPr="00A52971" w:rsidRDefault="00F844C2" w:rsidP="00507C6F">
            <w:pPr>
              <w:rPr>
                <w:rFonts w:ascii="Arial Narrow" w:hAnsi="Arial Narrow" w:cs="Arial"/>
              </w:rPr>
            </w:pPr>
            <w:r w:rsidRPr="00A52971">
              <w:rPr>
                <w:rFonts w:ascii="Arial Narrow" w:hAnsi="Arial Narrow" w:cs="Arial"/>
              </w:rPr>
              <w:t> </w:t>
            </w:r>
          </w:p>
        </w:tc>
        <w:tc>
          <w:tcPr>
            <w:tcW w:w="316" w:type="dxa"/>
            <w:tcBorders>
              <w:top w:val="single" w:sz="8" w:space="0" w:color="auto"/>
              <w:left w:val="nil"/>
              <w:bottom w:val="nil"/>
              <w:right w:val="nil"/>
            </w:tcBorders>
            <w:shd w:val="clear" w:color="auto" w:fill="auto"/>
            <w:noWrap/>
            <w:vAlign w:val="bottom"/>
            <w:hideMark/>
          </w:tcPr>
          <w:p w14:paraId="526DE109" w14:textId="77777777" w:rsidR="00F844C2" w:rsidRPr="00A52971" w:rsidRDefault="00F844C2" w:rsidP="00507C6F">
            <w:pPr>
              <w:rPr>
                <w:rFonts w:ascii="Arial Narrow" w:hAnsi="Arial Narrow" w:cs="Arial"/>
              </w:rPr>
            </w:pPr>
            <w:r w:rsidRPr="00A52971">
              <w:rPr>
                <w:rFonts w:ascii="Arial Narrow" w:hAnsi="Arial Narrow" w:cs="Arial"/>
              </w:rPr>
              <w:t> </w:t>
            </w:r>
          </w:p>
        </w:tc>
        <w:tc>
          <w:tcPr>
            <w:tcW w:w="763" w:type="dxa"/>
            <w:tcBorders>
              <w:top w:val="single" w:sz="8" w:space="0" w:color="auto"/>
              <w:left w:val="nil"/>
              <w:bottom w:val="nil"/>
              <w:right w:val="nil"/>
            </w:tcBorders>
            <w:shd w:val="clear" w:color="800080" w:fill="auto"/>
            <w:noWrap/>
            <w:vAlign w:val="bottom"/>
            <w:hideMark/>
          </w:tcPr>
          <w:p w14:paraId="5C5F0816" w14:textId="77777777" w:rsidR="00F844C2" w:rsidRPr="00A52971" w:rsidRDefault="00F844C2" w:rsidP="00507C6F">
            <w:pPr>
              <w:rPr>
                <w:rFonts w:ascii="Arial Narrow" w:hAnsi="Arial Narrow" w:cs="Arial"/>
                <w:b/>
                <w:bCs/>
              </w:rPr>
            </w:pPr>
            <w:r w:rsidRPr="00A52971">
              <w:rPr>
                <w:rFonts w:ascii="Arial Narrow" w:hAnsi="Arial Narrow" w:cs="Arial"/>
                <w:b/>
                <w:bCs/>
              </w:rPr>
              <w:t> </w:t>
            </w:r>
          </w:p>
        </w:tc>
        <w:tc>
          <w:tcPr>
            <w:tcW w:w="5223" w:type="dxa"/>
            <w:tcBorders>
              <w:top w:val="single" w:sz="8" w:space="0" w:color="auto"/>
              <w:left w:val="nil"/>
              <w:bottom w:val="nil"/>
              <w:right w:val="nil"/>
            </w:tcBorders>
            <w:shd w:val="clear" w:color="800080" w:fill="auto"/>
            <w:noWrap/>
            <w:vAlign w:val="bottom"/>
            <w:hideMark/>
          </w:tcPr>
          <w:p w14:paraId="44C60A76" w14:textId="77777777" w:rsidR="00F844C2" w:rsidRPr="00A52971" w:rsidRDefault="00F844C2" w:rsidP="00507C6F">
            <w:pPr>
              <w:jc w:val="center"/>
              <w:rPr>
                <w:rFonts w:ascii="Arial Narrow" w:hAnsi="Arial Narrow" w:cs="Arial"/>
                <w:b/>
                <w:bCs/>
              </w:rPr>
            </w:pPr>
            <w:r w:rsidRPr="00A52971">
              <w:rPr>
                <w:rFonts w:ascii="Arial Narrow" w:hAnsi="Arial Narrow" w:cs="Arial"/>
                <w:b/>
                <w:bCs/>
              </w:rPr>
              <w:t> </w:t>
            </w:r>
          </w:p>
        </w:tc>
        <w:tc>
          <w:tcPr>
            <w:tcW w:w="1290" w:type="dxa"/>
            <w:tcBorders>
              <w:top w:val="single" w:sz="8" w:space="0" w:color="auto"/>
              <w:left w:val="nil"/>
              <w:bottom w:val="nil"/>
              <w:right w:val="nil"/>
            </w:tcBorders>
            <w:shd w:val="clear" w:color="800080" w:fill="auto"/>
            <w:noWrap/>
            <w:vAlign w:val="bottom"/>
            <w:hideMark/>
          </w:tcPr>
          <w:p w14:paraId="7C8C1BDE" w14:textId="77777777" w:rsidR="00F844C2" w:rsidRPr="00A52971" w:rsidRDefault="00F844C2" w:rsidP="00507C6F">
            <w:pPr>
              <w:jc w:val="center"/>
              <w:rPr>
                <w:rFonts w:ascii="Arial Narrow" w:hAnsi="Arial Narrow" w:cs="Arial"/>
                <w:b/>
                <w:bCs/>
              </w:rPr>
            </w:pPr>
            <w:r w:rsidRPr="00A52971">
              <w:rPr>
                <w:rFonts w:ascii="Arial Narrow" w:hAnsi="Arial Narrow" w:cs="Arial"/>
                <w:b/>
                <w:bCs/>
              </w:rPr>
              <w:t>Cena v Kč</w:t>
            </w:r>
          </w:p>
        </w:tc>
        <w:tc>
          <w:tcPr>
            <w:tcW w:w="1126" w:type="dxa"/>
            <w:tcBorders>
              <w:top w:val="single" w:sz="8" w:space="0" w:color="auto"/>
              <w:left w:val="nil"/>
              <w:bottom w:val="nil"/>
              <w:right w:val="nil"/>
            </w:tcBorders>
            <w:shd w:val="clear" w:color="800080" w:fill="auto"/>
            <w:noWrap/>
            <w:vAlign w:val="bottom"/>
            <w:hideMark/>
          </w:tcPr>
          <w:p w14:paraId="26160D09" w14:textId="77777777" w:rsidR="00F844C2" w:rsidRPr="00A52971" w:rsidRDefault="00F844C2" w:rsidP="00507C6F">
            <w:pPr>
              <w:jc w:val="center"/>
              <w:rPr>
                <w:rFonts w:ascii="Arial Narrow" w:hAnsi="Arial Narrow" w:cs="Arial"/>
                <w:b/>
                <w:bCs/>
              </w:rPr>
            </w:pPr>
            <w:r w:rsidRPr="00A52971">
              <w:rPr>
                <w:rFonts w:ascii="Arial Narrow" w:hAnsi="Arial Narrow" w:cs="Arial"/>
                <w:b/>
                <w:bCs/>
              </w:rPr>
              <w:t>DPH</w:t>
            </w:r>
          </w:p>
        </w:tc>
        <w:tc>
          <w:tcPr>
            <w:tcW w:w="1290" w:type="dxa"/>
            <w:tcBorders>
              <w:top w:val="single" w:sz="8" w:space="0" w:color="auto"/>
              <w:left w:val="nil"/>
              <w:bottom w:val="nil"/>
              <w:right w:val="single" w:sz="8" w:space="0" w:color="auto"/>
            </w:tcBorders>
            <w:shd w:val="clear" w:color="800080" w:fill="auto"/>
            <w:noWrap/>
            <w:vAlign w:val="bottom"/>
            <w:hideMark/>
          </w:tcPr>
          <w:p w14:paraId="36FECFA3" w14:textId="77777777" w:rsidR="00F844C2" w:rsidRPr="00A52971" w:rsidRDefault="00F844C2" w:rsidP="00507C6F">
            <w:pPr>
              <w:jc w:val="center"/>
              <w:rPr>
                <w:rFonts w:ascii="Arial Narrow" w:hAnsi="Arial Narrow" w:cs="Arial"/>
                <w:b/>
                <w:bCs/>
              </w:rPr>
            </w:pPr>
            <w:r w:rsidRPr="00A52971">
              <w:rPr>
                <w:rFonts w:ascii="Arial Narrow" w:hAnsi="Arial Narrow" w:cs="Arial"/>
                <w:b/>
                <w:bCs/>
              </w:rPr>
              <w:t>Cena v Kč</w:t>
            </w:r>
          </w:p>
        </w:tc>
      </w:tr>
      <w:tr w:rsidR="00F844C2" w:rsidRPr="00A52971" w14:paraId="275719D7" w14:textId="77777777" w:rsidTr="00F844C2">
        <w:trPr>
          <w:trHeight w:val="271"/>
          <w:jc w:val="center"/>
        </w:trPr>
        <w:tc>
          <w:tcPr>
            <w:tcW w:w="393" w:type="dxa"/>
            <w:tcBorders>
              <w:top w:val="nil"/>
              <w:left w:val="single" w:sz="8" w:space="0" w:color="auto"/>
              <w:bottom w:val="single" w:sz="8" w:space="0" w:color="auto"/>
              <w:right w:val="nil"/>
            </w:tcBorders>
            <w:shd w:val="clear" w:color="auto" w:fill="auto"/>
            <w:noWrap/>
            <w:vAlign w:val="bottom"/>
            <w:hideMark/>
          </w:tcPr>
          <w:p w14:paraId="3CAB6C68" w14:textId="77777777" w:rsidR="00F844C2" w:rsidRPr="00A52971" w:rsidRDefault="00F844C2" w:rsidP="00507C6F">
            <w:pPr>
              <w:rPr>
                <w:rFonts w:ascii="Arial Narrow" w:hAnsi="Arial Narrow" w:cs="Arial"/>
              </w:rPr>
            </w:pPr>
            <w:r w:rsidRPr="00A52971">
              <w:rPr>
                <w:rFonts w:ascii="Arial Narrow" w:hAnsi="Arial Narrow" w:cs="Arial"/>
              </w:rPr>
              <w:t> </w:t>
            </w:r>
          </w:p>
        </w:tc>
        <w:tc>
          <w:tcPr>
            <w:tcW w:w="316" w:type="dxa"/>
            <w:tcBorders>
              <w:top w:val="nil"/>
              <w:left w:val="nil"/>
              <w:bottom w:val="single" w:sz="8" w:space="0" w:color="auto"/>
              <w:right w:val="nil"/>
            </w:tcBorders>
            <w:shd w:val="clear" w:color="auto" w:fill="auto"/>
            <w:noWrap/>
            <w:vAlign w:val="bottom"/>
            <w:hideMark/>
          </w:tcPr>
          <w:p w14:paraId="176AAB19" w14:textId="77777777" w:rsidR="00F844C2" w:rsidRPr="00A52971" w:rsidRDefault="00F844C2" w:rsidP="00507C6F">
            <w:pPr>
              <w:rPr>
                <w:rFonts w:ascii="Arial Narrow" w:hAnsi="Arial Narrow" w:cs="Arial"/>
              </w:rPr>
            </w:pPr>
            <w:r w:rsidRPr="00A52971">
              <w:rPr>
                <w:rFonts w:ascii="Arial Narrow" w:hAnsi="Arial Narrow" w:cs="Arial"/>
              </w:rPr>
              <w:t> </w:t>
            </w:r>
          </w:p>
        </w:tc>
        <w:tc>
          <w:tcPr>
            <w:tcW w:w="763" w:type="dxa"/>
            <w:tcBorders>
              <w:top w:val="nil"/>
              <w:left w:val="nil"/>
              <w:bottom w:val="single" w:sz="8" w:space="0" w:color="auto"/>
              <w:right w:val="nil"/>
            </w:tcBorders>
            <w:shd w:val="clear" w:color="800080" w:fill="auto"/>
            <w:noWrap/>
            <w:vAlign w:val="bottom"/>
            <w:hideMark/>
          </w:tcPr>
          <w:p w14:paraId="7232A556" w14:textId="77777777" w:rsidR="00F844C2" w:rsidRPr="00A52971" w:rsidRDefault="00F844C2" w:rsidP="00507C6F">
            <w:pPr>
              <w:rPr>
                <w:rFonts w:ascii="Arial Narrow" w:hAnsi="Arial Narrow" w:cs="Arial"/>
                <w:b/>
                <w:bCs/>
              </w:rPr>
            </w:pPr>
            <w:r w:rsidRPr="00A52971">
              <w:rPr>
                <w:rFonts w:ascii="Arial Narrow" w:hAnsi="Arial Narrow" w:cs="Arial"/>
                <w:b/>
                <w:bCs/>
              </w:rPr>
              <w:t> </w:t>
            </w:r>
          </w:p>
        </w:tc>
        <w:tc>
          <w:tcPr>
            <w:tcW w:w="5223" w:type="dxa"/>
            <w:tcBorders>
              <w:top w:val="nil"/>
              <w:left w:val="nil"/>
              <w:bottom w:val="single" w:sz="8" w:space="0" w:color="auto"/>
              <w:right w:val="nil"/>
            </w:tcBorders>
            <w:shd w:val="clear" w:color="800080" w:fill="auto"/>
            <w:noWrap/>
            <w:vAlign w:val="bottom"/>
            <w:hideMark/>
          </w:tcPr>
          <w:p w14:paraId="1BFDCA7B" w14:textId="77777777" w:rsidR="00F844C2" w:rsidRPr="00A52971" w:rsidRDefault="00F844C2" w:rsidP="00507C6F">
            <w:pPr>
              <w:jc w:val="center"/>
              <w:rPr>
                <w:rFonts w:ascii="Arial Narrow" w:hAnsi="Arial Narrow" w:cs="Arial"/>
                <w:b/>
                <w:bCs/>
              </w:rPr>
            </w:pPr>
            <w:r w:rsidRPr="00A52971">
              <w:rPr>
                <w:rFonts w:ascii="Arial Narrow" w:hAnsi="Arial Narrow" w:cs="Arial"/>
                <w:b/>
                <w:bCs/>
              </w:rPr>
              <w:t>Popis</w:t>
            </w:r>
          </w:p>
        </w:tc>
        <w:tc>
          <w:tcPr>
            <w:tcW w:w="1290" w:type="dxa"/>
            <w:tcBorders>
              <w:top w:val="nil"/>
              <w:left w:val="nil"/>
              <w:bottom w:val="single" w:sz="8" w:space="0" w:color="auto"/>
              <w:right w:val="nil"/>
            </w:tcBorders>
            <w:shd w:val="clear" w:color="800080" w:fill="auto"/>
            <w:noWrap/>
            <w:vAlign w:val="bottom"/>
            <w:hideMark/>
          </w:tcPr>
          <w:p w14:paraId="724D9C6F" w14:textId="77777777" w:rsidR="00F844C2" w:rsidRPr="00A52971" w:rsidRDefault="00F844C2" w:rsidP="00507C6F">
            <w:pPr>
              <w:jc w:val="center"/>
              <w:rPr>
                <w:rFonts w:ascii="Arial Narrow" w:hAnsi="Arial Narrow" w:cs="Arial"/>
                <w:b/>
                <w:bCs/>
              </w:rPr>
            </w:pPr>
            <w:r w:rsidRPr="00A52971">
              <w:rPr>
                <w:rFonts w:ascii="Arial Narrow" w:hAnsi="Arial Narrow" w:cs="Arial"/>
                <w:b/>
                <w:bCs/>
              </w:rPr>
              <w:t>bez DPH</w:t>
            </w:r>
          </w:p>
        </w:tc>
        <w:tc>
          <w:tcPr>
            <w:tcW w:w="1126" w:type="dxa"/>
            <w:tcBorders>
              <w:top w:val="nil"/>
              <w:left w:val="nil"/>
              <w:bottom w:val="single" w:sz="8" w:space="0" w:color="auto"/>
              <w:right w:val="nil"/>
            </w:tcBorders>
            <w:shd w:val="clear" w:color="800080" w:fill="auto"/>
            <w:noWrap/>
            <w:vAlign w:val="bottom"/>
            <w:hideMark/>
          </w:tcPr>
          <w:p w14:paraId="267740AB" w14:textId="77777777" w:rsidR="00F844C2" w:rsidRPr="00A52971" w:rsidRDefault="00F844C2" w:rsidP="00507C6F">
            <w:pPr>
              <w:jc w:val="center"/>
              <w:rPr>
                <w:rFonts w:ascii="Arial Narrow" w:hAnsi="Arial Narrow" w:cs="Arial"/>
                <w:b/>
                <w:bCs/>
              </w:rPr>
            </w:pPr>
            <w:r w:rsidRPr="00A52971">
              <w:rPr>
                <w:rFonts w:ascii="Arial Narrow" w:hAnsi="Arial Narrow" w:cs="Arial"/>
                <w:b/>
                <w:bCs/>
              </w:rPr>
              <w:t>21%</w:t>
            </w:r>
          </w:p>
        </w:tc>
        <w:tc>
          <w:tcPr>
            <w:tcW w:w="1290" w:type="dxa"/>
            <w:tcBorders>
              <w:top w:val="nil"/>
              <w:left w:val="nil"/>
              <w:bottom w:val="single" w:sz="8" w:space="0" w:color="auto"/>
              <w:right w:val="single" w:sz="8" w:space="0" w:color="auto"/>
            </w:tcBorders>
            <w:shd w:val="clear" w:color="800080" w:fill="auto"/>
            <w:noWrap/>
            <w:vAlign w:val="bottom"/>
            <w:hideMark/>
          </w:tcPr>
          <w:p w14:paraId="47F89ACA" w14:textId="77777777" w:rsidR="00F844C2" w:rsidRPr="00A52971" w:rsidRDefault="00F844C2" w:rsidP="00507C6F">
            <w:pPr>
              <w:jc w:val="center"/>
              <w:rPr>
                <w:rFonts w:ascii="Arial Narrow" w:hAnsi="Arial Narrow" w:cs="Arial"/>
                <w:b/>
                <w:bCs/>
              </w:rPr>
            </w:pPr>
            <w:r w:rsidRPr="00A52971">
              <w:rPr>
                <w:rFonts w:ascii="Arial Narrow" w:hAnsi="Arial Narrow" w:cs="Arial"/>
                <w:b/>
                <w:bCs/>
              </w:rPr>
              <w:t>včetně DPH</w:t>
            </w:r>
          </w:p>
        </w:tc>
      </w:tr>
      <w:tr w:rsidR="00F844C2" w:rsidRPr="00A52971" w14:paraId="73CEEB10"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53871A81" w14:textId="77777777" w:rsidR="00F844C2" w:rsidRPr="00A52971" w:rsidRDefault="00F844C2" w:rsidP="00507C6F">
            <w:pPr>
              <w:jc w:val="center"/>
              <w:rPr>
                <w:rFonts w:ascii="Arial Narrow" w:hAnsi="Arial Narrow" w:cs="Arial"/>
                <w:b/>
                <w:bCs/>
              </w:rPr>
            </w:pPr>
          </w:p>
        </w:tc>
        <w:tc>
          <w:tcPr>
            <w:tcW w:w="316" w:type="dxa"/>
            <w:tcBorders>
              <w:top w:val="nil"/>
              <w:left w:val="nil"/>
              <w:bottom w:val="nil"/>
              <w:right w:val="nil"/>
            </w:tcBorders>
            <w:shd w:val="clear" w:color="auto" w:fill="auto"/>
            <w:noWrap/>
            <w:vAlign w:val="bottom"/>
            <w:hideMark/>
          </w:tcPr>
          <w:p w14:paraId="0110B90F"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79982107"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5C380CAB" w14:textId="77777777" w:rsidR="00F844C2" w:rsidRPr="00A52971" w:rsidRDefault="00F844C2" w:rsidP="00507C6F"/>
        </w:tc>
        <w:tc>
          <w:tcPr>
            <w:tcW w:w="1290" w:type="dxa"/>
            <w:tcBorders>
              <w:top w:val="nil"/>
              <w:left w:val="nil"/>
              <w:bottom w:val="nil"/>
              <w:right w:val="nil"/>
            </w:tcBorders>
            <w:shd w:val="clear" w:color="auto" w:fill="auto"/>
            <w:noWrap/>
            <w:vAlign w:val="bottom"/>
            <w:hideMark/>
          </w:tcPr>
          <w:p w14:paraId="6D4ADC8D" w14:textId="77777777" w:rsidR="00F844C2" w:rsidRPr="00A52971" w:rsidRDefault="00F844C2" w:rsidP="00507C6F"/>
        </w:tc>
        <w:tc>
          <w:tcPr>
            <w:tcW w:w="1126" w:type="dxa"/>
            <w:tcBorders>
              <w:top w:val="nil"/>
              <w:left w:val="nil"/>
              <w:bottom w:val="nil"/>
              <w:right w:val="nil"/>
            </w:tcBorders>
            <w:shd w:val="clear" w:color="auto" w:fill="auto"/>
            <w:noWrap/>
            <w:vAlign w:val="bottom"/>
            <w:hideMark/>
          </w:tcPr>
          <w:p w14:paraId="6BFC04A8" w14:textId="77777777" w:rsidR="00F844C2" w:rsidRPr="00A52971" w:rsidRDefault="00F844C2" w:rsidP="00507C6F"/>
        </w:tc>
        <w:tc>
          <w:tcPr>
            <w:tcW w:w="1290" w:type="dxa"/>
            <w:tcBorders>
              <w:top w:val="nil"/>
              <w:left w:val="nil"/>
              <w:bottom w:val="nil"/>
              <w:right w:val="nil"/>
            </w:tcBorders>
            <w:shd w:val="clear" w:color="auto" w:fill="auto"/>
            <w:noWrap/>
            <w:vAlign w:val="bottom"/>
            <w:hideMark/>
          </w:tcPr>
          <w:p w14:paraId="3E4B8F8D" w14:textId="77777777" w:rsidR="00F844C2" w:rsidRPr="00A52971" w:rsidRDefault="00F844C2" w:rsidP="00507C6F"/>
        </w:tc>
      </w:tr>
      <w:tr w:rsidR="00F844C2" w:rsidRPr="00A52971" w14:paraId="374194E2"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641CB2A8" w14:textId="77777777" w:rsidR="00F844C2" w:rsidRPr="00A52971" w:rsidRDefault="00F844C2" w:rsidP="00507C6F"/>
        </w:tc>
        <w:tc>
          <w:tcPr>
            <w:tcW w:w="316" w:type="dxa"/>
            <w:tcBorders>
              <w:top w:val="nil"/>
              <w:left w:val="nil"/>
              <w:bottom w:val="nil"/>
              <w:right w:val="nil"/>
            </w:tcBorders>
            <w:shd w:val="clear" w:color="auto" w:fill="auto"/>
            <w:noWrap/>
            <w:vAlign w:val="bottom"/>
            <w:hideMark/>
          </w:tcPr>
          <w:p w14:paraId="3BFEBBF6"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367D998B"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0B7846C9" w14:textId="756961F8" w:rsidR="00F844C2" w:rsidRPr="00F844C2" w:rsidRDefault="00F844C2" w:rsidP="00507C6F">
            <w:pPr>
              <w:rPr>
                <w:rFonts w:ascii="Arial Narrow" w:hAnsi="Arial Narrow" w:cs="Arial"/>
                <w:b/>
                <w:bCs/>
              </w:rPr>
            </w:pPr>
            <w:r w:rsidRPr="00F844C2">
              <w:rPr>
                <w:rFonts w:ascii="Arial Narrow" w:hAnsi="Arial Narrow" w:cs="Arial"/>
                <w:b/>
                <w:bCs/>
              </w:rPr>
              <w:t xml:space="preserve">ANTERION – kombinovaný analyzátor předního segmentu oka </w:t>
            </w:r>
          </w:p>
        </w:tc>
        <w:tc>
          <w:tcPr>
            <w:tcW w:w="1290" w:type="dxa"/>
            <w:tcBorders>
              <w:top w:val="nil"/>
              <w:left w:val="nil"/>
              <w:bottom w:val="nil"/>
              <w:right w:val="nil"/>
            </w:tcBorders>
            <w:shd w:val="clear" w:color="auto" w:fill="auto"/>
            <w:noWrap/>
            <w:vAlign w:val="bottom"/>
            <w:hideMark/>
          </w:tcPr>
          <w:p w14:paraId="204045F8" w14:textId="77777777" w:rsidR="00F844C2" w:rsidRPr="00F844C2" w:rsidRDefault="00F844C2" w:rsidP="00507C6F">
            <w:pPr>
              <w:jc w:val="center"/>
              <w:rPr>
                <w:rFonts w:ascii="Arial Narrow" w:hAnsi="Arial Narrow"/>
              </w:rPr>
            </w:pPr>
            <w:r w:rsidRPr="00F844C2">
              <w:rPr>
                <w:rFonts w:ascii="Arial Narrow" w:hAnsi="Arial Narrow"/>
              </w:rPr>
              <w:t>1 299 000,00</w:t>
            </w:r>
          </w:p>
        </w:tc>
        <w:tc>
          <w:tcPr>
            <w:tcW w:w="1126" w:type="dxa"/>
            <w:tcBorders>
              <w:top w:val="nil"/>
              <w:left w:val="nil"/>
              <w:bottom w:val="nil"/>
              <w:right w:val="nil"/>
            </w:tcBorders>
            <w:shd w:val="clear" w:color="auto" w:fill="auto"/>
            <w:noWrap/>
            <w:vAlign w:val="bottom"/>
            <w:hideMark/>
          </w:tcPr>
          <w:p w14:paraId="5CC8F05E" w14:textId="77777777" w:rsidR="00F844C2" w:rsidRPr="00F844C2" w:rsidRDefault="00F844C2" w:rsidP="00507C6F">
            <w:pPr>
              <w:jc w:val="center"/>
              <w:rPr>
                <w:rFonts w:ascii="Arial Narrow" w:hAnsi="Arial Narrow"/>
              </w:rPr>
            </w:pPr>
            <w:r w:rsidRPr="00F844C2">
              <w:rPr>
                <w:rFonts w:ascii="Arial Narrow" w:hAnsi="Arial Narrow"/>
              </w:rPr>
              <w:t>272 790,00</w:t>
            </w:r>
          </w:p>
        </w:tc>
        <w:tc>
          <w:tcPr>
            <w:tcW w:w="1290" w:type="dxa"/>
            <w:tcBorders>
              <w:top w:val="nil"/>
              <w:left w:val="nil"/>
              <w:bottom w:val="nil"/>
              <w:right w:val="nil"/>
            </w:tcBorders>
            <w:shd w:val="clear" w:color="auto" w:fill="auto"/>
            <w:noWrap/>
            <w:vAlign w:val="bottom"/>
            <w:hideMark/>
          </w:tcPr>
          <w:p w14:paraId="23BA259C" w14:textId="77777777" w:rsidR="00F844C2" w:rsidRPr="00F844C2" w:rsidRDefault="00F844C2" w:rsidP="00507C6F">
            <w:pPr>
              <w:jc w:val="center"/>
              <w:rPr>
                <w:rFonts w:ascii="Arial Narrow" w:hAnsi="Arial Narrow"/>
              </w:rPr>
            </w:pPr>
            <w:r w:rsidRPr="00F844C2">
              <w:rPr>
                <w:rFonts w:ascii="Arial Narrow" w:hAnsi="Arial Narrow"/>
              </w:rPr>
              <w:t>1 571 790,00</w:t>
            </w:r>
          </w:p>
        </w:tc>
      </w:tr>
      <w:tr w:rsidR="00F844C2" w:rsidRPr="00A52971" w14:paraId="33AA5140"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69F97951" w14:textId="77777777" w:rsidR="00F844C2" w:rsidRPr="00A52971" w:rsidRDefault="00F844C2" w:rsidP="00507C6F">
            <w:pPr>
              <w:jc w:val="center"/>
            </w:pPr>
          </w:p>
        </w:tc>
        <w:tc>
          <w:tcPr>
            <w:tcW w:w="316" w:type="dxa"/>
            <w:tcBorders>
              <w:top w:val="nil"/>
              <w:left w:val="nil"/>
              <w:bottom w:val="nil"/>
              <w:right w:val="nil"/>
            </w:tcBorders>
            <w:shd w:val="clear" w:color="auto" w:fill="auto"/>
            <w:noWrap/>
            <w:vAlign w:val="bottom"/>
            <w:hideMark/>
          </w:tcPr>
          <w:p w14:paraId="22B002C0"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55664FEC"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5114F836" w14:textId="77777777" w:rsidR="00F844C2" w:rsidRDefault="00F844C2" w:rsidP="00507C6F">
            <w:pPr>
              <w:rPr>
                <w:rFonts w:ascii="Arial Narrow" w:hAnsi="Arial Narrow" w:cs="Arial"/>
                <w:b/>
                <w:bCs/>
              </w:rPr>
            </w:pPr>
            <w:proofErr w:type="spellStart"/>
            <w:r w:rsidRPr="00A52971">
              <w:rPr>
                <w:rFonts w:ascii="Arial Narrow" w:hAnsi="Arial Narrow" w:cs="Arial"/>
                <w:b/>
                <w:bCs/>
              </w:rPr>
              <w:t>Multimodal</w:t>
            </w:r>
            <w:proofErr w:type="spellEnd"/>
            <w:r w:rsidRPr="00A52971">
              <w:rPr>
                <w:rFonts w:ascii="Arial Narrow" w:hAnsi="Arial Narrow" w:cs="Arial"/>
                <w:b/>
                <w:bCs/>
              </w:rPr>
              <w:t xml:space="preserve"> </w:t>
            </w:r>
            <w:proofErr w:type="spellStart"/>
            <w:r w:rsidRPr="00A52971">
              <w:rPr>
                <w:rFonts w:ascii="Arial Narrow" w:hAnsi="Arial Narrow" w:cs="Arial"/>
                <w:b/>
                <w:bCs/>
              </w:rPr>
              <w:t>Imaging</w:t>
            </w:r>
            <w:proofErr w:type="spellEnd"/>
            <w:r w:rsidRPr="00A52971">
              <w:rPr>
                <w:rFonts w:ascii="Arial Narrow" w:hAnsi="Arial Narrow" w:cs="Arial"/>
                <w:b/>
                <w:bCs/>
              </w:rPr>
              <w:t xml:space="preserve"> </w:t>
            </w:r>
            <w:proofErr w:type="spellStart"/>
            <w:r w:rsidRPr="00A52971">
              <w:rPr>
                <w:rFonts w:ascii="Arial Narrow" w:hAnsi="Arial Narrow" w:cs="Arial"/>
                <w:b/>
                <w:bCs/>
              </w:rPr>
              <w:t>Platform</w:t>
            </w:r>
            <w:proofErr w:type="spellEnd"/>
            <w:r w:rsidRPr="00A52971">
              <w:rPr>
                <w:rFonts w:ascii="Arial Narrow" w:hAnsi="Arial Narrow" w:cs="Arial"/>
                <w:b/>
                <w:bCs/>
              </w:rPr>
              <w:t xml:space="preserve"> </w:t>
            </w:r>
          </w:p>
          <w:p w14:paraId="2C83038A" w14:textId="77777777" w:rsidR="00F844C2" w:rsidRDefault="00F844C2" w:rsidP="00507C6F">
            <w:pPr>
              <w:rPr>
                <w:rFonts w:ascii="Arial Narrow" w:hAnsi="Arial Narrow" w:cs="Arial"/>
                <w:b/>
                <w:bCs/>
              </w:rPr>
            </w:pPr>
            <w:proofErr w:type="spellStart"/>
            <w:r>
              <w:rPr>
                <w:rFonts w:ascii="Arial Narrow" w:hAnsi="Arial Narrow" w:cs="Arial"/>
                <w:b/>
                <w:bCs/>
              </w:rPr>
              <w:t>Cataract</w:t>
            </w:r>
            <w:proofErr w:type="spellEnd"/>
            <w:r>
              <w:rPr>
                <w:rFonts w:ascii="Arial Narrow" w:hAnsi="Arial Narrow" w:cs="Arial"/>
                <w:b/>
                <w:bCs/>
              </w:rPr>
              <w:t xml:space="preserve"> </w:t>
            </w:r>
            <w:proofErr w:type="spellStart"/>
            <w:r>
              <w:rPr>
                <w:rFonts w:ascii="Arial Narrow" w:hAnsi="Arial Narrow" w:cs="Arial"/>
                <w:b/>
                <w:bCs/>
              </w:rPr>
              <w:t>App</w:t>
            </w:r>
            <w:proofErr w:type="spellEnd"/>
          </w:p>
          <w:p w14:paraId="392B8965" w14:textId="77777777" w:rsidR="00F844C2" w:rsidRDefault="00F844C2" w:rsidP="00507C6F">
            <w:pPr>
              <w:rPr>
                <w:rFonts w:ascii="Arial Narrow" w:hAnsi="Arial Narrow" w:cs="Arial"/>
                <w:b/>
                <w:bCs/>
              </w:rPr>
            </w:pPr>
            <w:proofErr w:type="spellStart"/>
            <w:r>
              <w:rPr>
                <w:rFonts w:ascii="Arial Narrow" w:hAnsi="Arial Narrow" w:cs="Arial"/>
                <w:b/>
                <w:bCs/>
              </w:rPr>
              <w:t>Cornea</w:t>
            </w:r>
            <w:proofErr w:type="spellEnd"/>
            <w:r>
              <w:rPr>
                <w:rFonts w:ascii="Arial Narrow" w:hAnsi="Arial Narrow" w:cs="Arial"/>
                <w:b/>
                <w:bCs/>
              </w:rPr>
              <w:t xml:space="preserve"> </w:t>
            </w:r>
            <w:proofErr w:type="spellStart"/>
            <w:r>
              <w:rPr>
                <w:rFonts w:ascii="Arial Narrow" w:hAnsi="Arial Narrow" w:cs="Arial"/>
                <w:b/>
                <w:bCs/>
              </w:rPr>
              <w:t>App</w:t>
            </w:r>
            <w:proofErr w:type="spellEnd"/>
          </w:p>
          <w:p w14:paraId="5642AD60" w14:textId="77777777" w:rsidR="00F844C2" w:rsidRDefault="00F844C2" w:rsidP="00507C6F">
            <w:pPr>
              <w:rPr>
                <w:rFonts w:ascii="Arial Narrow" w:hAnsi="Arial Narrow" w:cs="Arial"/>
                <w:b/>
                <w:bCs/>
              </w:rPr>
            </w:pPr>
            <w:proofErr w:type="spellStart"/>
            <w:r>
              <w:rPr>
                <w:rFonts w:ascii="Arial Narrow" w:hAnsi="Arial Narrow" w:cs="Arial"/>
                <w:b/>
                <w:bCs/>
              </w:rPr>
              <w:t>Metrics</w:t>
            </w:r>
            <w:proofErr w:type="spellEnd"/>
            <w:r>
              <w:rPr>
                <w:rFonts w:ascii="Arial Narrow" w:hAnsi="Arial Narrow" w:cs="Arial"/>
                <w:b/>
                <w:bCs/>
              </w:rPr>
              <w:t xml:space="preserve"> </w:t>
            </w:r>
            <w:proofErr w:type="spellStart"/>
            <w:r>
              <w:rPr>
                <w:rFonts w:ascii="Arial Narrow" w:hAnsi="Arial Narrow" w:cs="Arial"/>
                <w:b/>
                <w:bCs/>
              </w:rPr>
              <w:t>App</w:t>
            </w:r>
            <w:proofErr w:type="spellEnd"/>
          </w:p>
          <w:p w14:paraId="570212DE" w14:textId="77777777" w:rsidR="00F844C2" w:rsidRDefault="00F844C2" w:rsidP="00507C6F">
            <w:pPr>
              <w:rPr>
                <w:rFonts w:ascii="Arial Narrow" w:hAnsi="Arial Narrow" w:cs="Arial"/>
                <w:b/>
                <w:bCs/>
              </w:rPr>
            </w:pPr>
            <w:proofErr w:type="spellStart"/>
            <w:r>
              <w:rPr>
                <w:rFonts w:ascii="Arial Narrow" w:hAnsi="Arial Narrow" w:cs="Arial"/>
                <w:b/>
                <w:bCs/>
              </w:rPr>
              <w:t>Imaging</w:t>
            </w:r>
            <w:proofErr w:type="spellEnd"/>
            <w:r>
              <w:rPr>
                <w:rFonts w:ascii="Arial Narrow" w:hAnsi="Arial Narrow" w:cs="Arial"/>
                <w:b/>
                <w:bCs/>
              </w:rPr>
              <w:t xml:space="preserve"> </w:t>
            </w:r>
            <w:proofErr w:type="spellStart"/>
            <w:r>
              <w:rPr>
                <w:rFonts w:ascii="Arial Narrow" w:hAnsi="Arial Narrow" w:cs="Arial"/>
                <w:b/>
                <w:bCs/>
              </w:rPr>
              <w:t>App</w:t>
            </w:r>
            <w:proofErr w:type="spellEnd"/>
            <w:r>
              <w:rPr>
                <w:rFonts w:ascii="Arial Narrow" w:hAnsi="Arial Narrow" w:cs="Arial"/>
                <w:b/>
                <w:bCs/>
              </w:rPr>
              <w:t xml:space="preserve"> </w:t>
            </w:r>
          </w:p>
          <w:p w14:paraId="059AA412" w14:textId="77777777" w:rsidR="00F844C2" w:rsidRDefault="00F844C2" w:rsidP="00507C6F">
            <w:pPr>
              <w:rPr>
                <w:rFonts w:ascii="Arial Narrow" w:hAnsi="Arial Narrow" w:cs="Arial"/>
                <w:b/>
                <w:bCs/>
              </w:rPr>
            </w:pPr>
            <w:proofErr w:type="spellStart"/>
            <w:r>
              <w:rPr>
                <w:rFonts w:ascii="Arial Narrow" w:hAnsi="Arial Narrow" w:cs="Arial"/>
                <w:b/>
                <w:bCs/>
              </w:rPr>
              <w:t>Barret</w:t>
            </w:r>
            <w:proofErr w:type="spellEnd"/>
            <w:r>
              <w:rPr>
                <w:rFonts w:ascii="Arial Narrow" w:hAnsi="Arial Narrow" w:cs="Arial"/>
                <w:b/>
                <w:bCs/>
              </w:rPr>
              <w:t xml:space="preserve"> Module</w:t>
            </w:r>
          </w:p>
          <w:p w14:paraId="1894FCB7" w14:textId="77777777" w:rsidR="00F844C2" w:rsidRPr="00A52971" w:rsidRDefault="00F844C2" w:rsidP="00507C6F">
            <w:pPr>
              <w:rPr>
                <w:rFonts w:ascii="Arial Narrow" w:hAnsi="Arial Narrow" w:cs="Arial"/>
                <w:b/>
                <w:bCs/>
              </w:rPr>
            </w:pPr>
            <w:proofErr w:type="spellStart"/>
            <w:r>
              <w:rPr>
                <w:rFonts w:ascii="Arial Narrow" w:hAnsi="Arial Narrow" w:cs="Arial"/>
                <w:b/>
                <w:bCs/>
              </w:rPr>
              <w:t>Epithelial</w:t>
            </w:r>
            <w:proofErr w:type="spellEnd"/>
            <w:r>
              <w:rPr>
                <w:rFonts w:ascii="Arial Narrow" w:hAnsi="Arial Narrow" w:cs="Arial"/>
                <w:b/>
                <w:bCs/>
              </w:rPr>
              <w:t xml:space="preserve"> </w:t>
            </w:r>
            <w:proofErr w:type="spellStart"/>
            <w:r>
              <w:rPr>
                <w:rFonts w:ascii="Arial Narrow" w:hAnsi="Arial Narrow" w:cs="Arial"/>
                <w:b/>
                <w:bCs/>
              </w:rPr>
              <w:t>Thickness</w:t>
            </w:r>
            <w:proofErr w:type="spellEnd"/>
            <w:r>
              <w:rPr>
                <w:rFonts w:ascii="Arial Narrow" w:hAnsi="Arial Narrow" w:cs="Arial"/>
                <w:b/>
                <w:bCs/>
              </w:rPr>
              <w:t xml:space="preserve"> Module </w:t>
            </w:r>
          </w:p>
        </w:tc>
        <w:tc>
          <w:tcPr>
            <w:tcW w:w="1290" w:type="dxa"/>
            <w:tcBorders>
              <w:top w:val="nil"/>
              <w:left w:val="nil"/>
              <w:bottom w:val="nil"/>
              <w:right w:val="nil"/>
            </w:tcBorders>
            <w:shd w:val="clear" w:color="auto" w:fill="auto"/>
            <w:noWrap/>
            <w:vAlign w:val="bottom"/>
            <w:hideMark/>
          </w:tcPr>
          <w:p w14:paraId="26AFB879" w14:textId="77777777" w:rsidR="00F844C2" w:rsidRPr="00A52971" w:rsidRDefault="00F844C2" w:rsidP="00507C6F">
            <w:pPr>
              <w:rPr>
                <w:rFonts w:ascii="Arial Narrow" w:hAnsi="Arial Narrow" w:cs="Arial"/>
                <w:b/>
                <w:bCs/>
              </w:rPr>
            </w:pPr>
          </w:p>
        </w:tc>
        <w:tc>
          <w:tcPr>
            <w:tcW w:w="1126" w:type="dxa"/>
            <w:tcBorders>
              <w:top w:val="nil"/>
              <w:left w:val="nil"/>
              <w:bottom w:val="nil"/>
              <w:right w:val="nil"/>
            </w:tcBorders>
            <w:shd w:val="clear" w:color="auto" w:fill="auto"/>
            <w:noWrap/>
            <w:vAlign w:val="bottom"/>
            <w:hideMark/>
          </w:tcPr>
          <w:p w14:paraId="3E44B214" w14:textId="77777777" w:rsidR="00F844C2" w:rsidRPr="00A52971" w:rsidRDefault="00F844C2" w:rsidP="00507C6F"/>
        </w:tc>
        <w:tc>
          <w:tcPr>
            <w:tcW w:w="1290" w:type="dxa"/>
            <w:tcBorders>
              <w:top w:val="nil"/>
              <w:left w:val="nil"/>
              <w:bottom w:val="nil"/>
              <w:right w:val="nil"/>
            </w:tcBorders>
            <w:shd w:val="clear" w:color="auto" w:fill="auto"/>
            <w:noWrap/>
            <w:vAlign w:val="bottom"/>
            <w:hideMark/>
          </w:tcPr>
          <w:p w14:paraId="6C7084FA" w14:textId="77777777" w:rsidR="00F844C2" w:rsidRPr="00A52971" w:rsidRDefault="00F844C2" w:rsidP="00507C6F"/>
        </w:tc>
      </w:tr>
      <w:tr w:rsidR="00F844C2" w:rsidRPr="00A52971" w14:paraId="1E04AEC9"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27FBC36B" w14:textId="77777777" w:rsidR="00F844C2" w:rsidRPr="00A52971" w:rsidRDefault="00F844C2" w:rsidP="00507C6F"/>
        </w:tc>
        <w:tc>
          <w:tcPr>
            <w:tcW w:w="316" w:type="dxa"/>
            <w:tcBorders>
              <w:top w:val="nil"/>
              <w:left w:val="nil"/>
              <w:bottom w:val="nil"/>
              <w:right w:val="nil"/>
            </w:tcBorders>
            <w:shd w:val="clear" w:color="auto" w:fill="auto"/>
            <w:noWrap/>
            <w:vAlign w:val="bottom"/>
            <w:hideMark/>
          </w:tcPr>
          <w:p w14:paraId="00849812"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79CAA6DA"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6E7001DD" w14:textId="77777777" w:rsidR="00F844C2" w:rsidRPr="00A52971" w:rsidRDefault="00F844C2" w:rsidP="00507C6F">
            <w:pPr>
              <w:rPr>
                <w:rFonts w:ascii="Arial Narrow" w:hAnsi="Arial Narrow" w:cs="Arial"/>
                <w:b/>
                <w:bCs/>
              </w:rPr>
            </w:pPr>
            <w:r w:rsidRPr="00A52971">
              <w:rPr>
                <w:rFonts w:ascii="Arial Narrow" w:hAnsi="Arial Narrow" w:cs="Arial"/>
                <w:b/>
                <w:bCs/>
              </w:rPr>
              <w:t>včetně elektri</w:t>
            </w:r>
            <w:r>
              <w:rPr>
                <w:rFonts w:ascii="Arial Narrow" w:hAnsi="Arial Narrow" w:cs="Arial"/>
                <w:b/>
                <w:bCs/>
              </w:rPr>
              <w:t>c</w:t>
            </w:r>
            <w:r w:rsidRPr="00A52971">
              <w:rPr>
                <w:rFonts w:ascii="Arial Narrow" w:hAnsi="Arial Narrow" w:cs="Arial"/>
                <w:b/>
                <w:bCs/>
              </w:rPr>
              <w:t xml:space="preserve">ky výškově polohovatelného stolu a </w:t>
            </w:r>
          </w:p>
        </w:tc>
        <w:tc>
          <w:tcPr>
            <w:tcW w:w="1290" w:type="dxa"/>
            <w:tcBorders>
              <w:top w:val="nil"/>
              <w:left w:val="nil"/>
              <w:bottom w:val="nil"/>
              <w:right w:val="nil"/>
            </w:tcBorders>
            <w:shd w:val="clear" w:color="auto" w:fill="auto"/>
            <w:noWrap/>
            <w:vAlign w:val="bottom"/>
            <w:hideMark/>
          </w:tcPr>
          <w:p w14:paraId="5A046CA7" w14:textId="77777777" w:rsidR="00F844C2" w:rsidRPr="00A52971" w:rsidRDefault="00F844C2" w:rsidP="00507C6F">
            <w:pPr>
              <w:rPr>
                <w:rFonts w:ascii="Arial Narrow" w:hAnsi="Arial Narrow" w:cs="Arial"/>
                <w:b/>
                <w:bCs/>
              </w:rPr>
            </w:pPr>
          </w:p>
        </w:tc>
        <w:tc>
          <w:tcPr>
            <w:tcW w:w="1126" w:type="dxa"/>
            <w:tcBorders>
              <w:top w:val="nil"/>
              <w:left w:val="nil"/>
              <w:bottom w:val="nil"/>
              <w:right w:val="nil"/>
            </w:tcBorders>
            <w:shd w:val="clear" w:color="auto" w:fill="auto"/>
            <w:noWrap/>
            <w:vAlign w:val="bottom"/>
            <w:hideMark/>
          </w:tcPr>
          <w:p w14:paraId="76C915C3" w14:textId="77777777" w:rsidR="00F844C2" w:rsidRPr="00A52971" w:rsidRDefault="00F844C2" w:rsidP="00507C6F"/>
        </w:tc>
        <w:tc>
          <w:tcPr>
            <w:tcW w:w="1290" w:type="dxa"/>
            <w:tcBorders>
              <w:top w:val="nil"/>
              <w:left w:val="nil"/>
              <w:bottom w:val="nil"/>
              <w:right w:val="nil"/>
            </w:tcBorders>
            <w:shd w:val="clear" w:color="auto" w:fill="auto"/>
            <w:noWrap/>
            <w:vAlign w:val="bottom"/>
            <w:hideMark/>
          </w:tcPr>
          <w:p w14:paraId="1B54C48A" w14:textId="77777777" w:rsidR="00F844C2" w:rsidRPr="00A52971" w:rsidRDefault="00F844C2" w:rsidP="00507C6F"/>
        </w:tc>
      </w:tr>
      <w:tr w:rsidR="00F844C2" w:rsidRPr="00A52971" w14:paraId="119E67CF"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34B227E4" w14:textId="77777777" w:rsidR="00F844C2" w:rsidRPr="00A52971" w:rsidRDefault="00F844C2" w:rsidP="00507C6F"/>
        </w:tc>
        <w:tc>
          <w:tcPr>
            <w:tcW w:w="316" w:type="dxa"/>
            <w:tcBorders>
              <w:top w:val="nil"/>
              <w:left w:val="nil"/>
              <w:bottom w:val="nil"/>
              <w:right w:val="nil"/>
            </w:tcBorders>
            <w:shd w:val="clear" w:color="auto" w:fill="auto"/>
            <w:noWrap/>
            <w:vAlign w:val="bottom"/>
            <w:hideMark/>
          </w:tcPr>
          <w:p w14:paraId="31B12B9F"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74E34BC6"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4EDEE30A" w14:textId="77777777" w:rsidR="00F844C2" w:rsidRPr="00A52971" w:rsidRDefault="00F844C2" w:rsidP="00507C6F">
            <w:pPr>
              <w:rPr>
                <w:rFonts w:ascii="Arial Narrow" w:hAnsi="Arial Narrow" w:cs="Arial"/>
                <w:b/>
                <w:bCs/>
              </w:rPr>
            </w:pPr>
            <w:r w:rsidRPr="00A52971">
              <w:rPr>
                <w:rFonts w:ascii="Arial Narrow" w:hAnsi="Arial Narrow" w:cs="Arial"/>
                <w:b/>
                <w:bCs/>
              </w:rPr>
              <w:t>výpočetní techniky (monitor, PC, laserová tiskárna)</w:t>
            </w:r>
          </w:p>
        </w:tc>
        <w:tc>
          <w:tcPr>
            <w:tcW w:w="1290" w:type="dxa"/>
            <w:tcBorders>
              <w:top w:val="nil"/>
              <w:left w:val="nil"/>
              <w:bottom w:val="nil"/>
              <w:right w:val="nil"/>
            </w:tcBorders>
            <w:shd w:val="clear" w:color="auto" w:fill="auto"/>
            <w:noWrap/>
            <w:vAlign w:val="bottom"/>
            <w:hideMark/>
          </w:tcPr>
          <w:p w14:paraId="57B8D710" w14:textId="77777777" w:rsidR="00F844C2" w:rsidRPr="00A52971" w:rsidRDefault="00F844C2" w:rsidP="00507C6F">
            <w:pPr>
              <w:rPr>
                <w:rFonts w:ascii="Arial Narrow" w:hAnsi="Arial Narrow" w:cs="Arial"/>
                <w:b/>
                <w:bCs/>
              </w:rPr>
            </w:pPr>
          </w:p>
        </w:tc>
        <w:tc>
          <w:tcPr>
            <w:tcW w:w="1126" w:type="dxa"/>
            <w:tcBorders>
              <w:top w:val="nil"/>
              <w:left w:val="nil"/>
              <w:bottom w:val="nil"/>
              <w:right w:val="nil"/>
            </w:tcBorders>
            <w:shd w:val="clear" w:color="auto" w:fill="auto"/>
            <w:noWrap/>
            <w:vAlign w:val="bottom"/>
            <w:hideMark/>
          </w:tcPr>
          <w:p w14:paraId="691F783F"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7754F741" w14:textId="77777777" w:rsidR="00F844C2" w:rsidRPr="00A52971" w:rsidRDefault="00F844C2" w:rsidP="00507C6F">
            <w:pPr>
              <w:jc w:val="center"/>
            </w:pPr>
          </w:p>
        </w:tc>
      </w:tr>
      <w:tr w:rsidR="00F844C2" w:rsidRPr="00A52971" w14:paraId="5C34BDA6"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050138F5" w14:textId="77777777" w:rsidR="00F844C2" w:rsidRPr="00A52971" w:rsidRDefault="00F844C2" w:rsidP="00507C6F">
            <w:pPr>
              <w:jc w:val="center"/>
            </w:pPr>
          </w:p>
        </w:tc>
        <w:tc>
          <w:tcPr>
            <w:tcW w:w="316" w:type="dxa"/>
            <w:tcBorders>
              <w:top w:val="nil"/>
              <w:left w:val="nil"/>
              <w:bottom w:val="nil"/>
              <w:right w:val="nil"/>
            </w:tcBorders>
            <w:shd w:val="clear" w:color="auto" w:fill="auto"/>
            <w:noWrap/>
            <w:vAlign w:val="bottom"/>
            <w:hideMark/>
          </w:tcPr>
          <w:p w14:paraId="1AF2D0CB"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7040C1A7"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7F520F90"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0A2BF6BC" w14:textId="77777777" w:rsidR="00F844C2" w:rsidRPr="00F844C2" w:rsidRDefault="00F844C2" w:rsidP="00507C6F"/>
        </w:tc>
        <w:tc>
          <w:tcPr>
            <w:tcW w:w="1126" w:type="dxa"/>
            <w:tcBorders>
              <w:top w:val="nil"/>
              <w:left w:val="nil"/>
              <w:bottom w:val="nil"/>
              <w:right w:val="nil"/>
            </w:tcBorders>
            <w:shd w:val="clear" w:color="auto" w:fill="auto"/>
            <w:noWrap/>
            <w:vAlign w:val="bottom"/>
            <w:hideMark/>
          </w:tcPr>
          <w:p w14:paraId="53A541AB" w14:textId="77777777" w:rsidR="00F844C2" w:rsidRPr="00F844C2" w:rsidRDefault="00F844C2" w:rsidP="00507C6F">
            <w:pPr>
              <w:jc w:val="center"/>
            </w:pPr>
          </w:p>
        </w:tc>
        <w:tc>
          <w:tcPr>
            <w:tcW w:w="1290" w:type="dxa"/>
            <w:tcBorders>
              <w:top w:val="nil"/>
              <w:left w:val="nil"/>
              <w:bottom w:val="nil"/>
              <w:right w:val="nil"/>
            </w:tcBorders>
            <w:shd w:val="clear" w:color="auto" w:fill="auto"/>
            <w:noWrap/>
            <w:vAlign w:val="bottom"/>
            <w:hideMark/>
          </w:tcPr>
          <w:p w14:paraId="05D51FE1" w14:textId="77777777" w:rsidR="00F844C2" w:rsidRPr="00F844C2" w:rsidRDefault="00F844C2" w:rsidP="00507C6F">
            <w:pPr>
              <w:jc w:val="center"/>
            </w:pPr>
          </w:p>
        </w:tc>
      </w:tr>
      <w:tr w:rsidR="00F844C2" w:rsidRPr="00A52971" w14:paraId="69BA3408"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6E5C6B02" w14:textId="77777777" w:rsidR="00F844C2" w:rsidRPr="00A52971" w:rsidRDefault="00F844C2" w:rsidP="00507C6F">
            <w:pPr>
              <w:jc w:val="center"/>
              <w:rPr>
                <w:rFonts w:ascii="Arial Narrow" w:hAnsi="Arial Narrow" w:cs="Arial"/>
                <w:b/>
                <w:bCs/>
              </w:rPr>
            </w:pPr>
          </w:p>
        </w:tc>
        <w:tc>
          <w:tcPr>
            <w:tcW w:w="316" w:type="dxa"/>
            <w:tcBorders>
              <w:top w:val="nil"/>
              <w:left w:val="nil"/>
              <w:bottom w:val="nil"/>
              <w:right w:val="nil"/>
            </w:tcBorders>
            <w:shd w:val="clear" w:color="auto" w:fill="auto"/>
            <w:noWrap/>
            <w:vAlign w:val="bottom"/>
            <w:hideMark/>
          </w:tcPr>
          <w:p w14:paraId="6A822688"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1E0D2486" w14:textId="77777777" w:rsidR="00F844C2" w:rsidRPr="009F3875" w:rsidRDefault="00F844C2" w:rsidP="00507C6F"/>
        </w:tc>
        <w:tc>
          <w:tcPr>
            <w:tcW w:w="5223" w:type="dxa"/>
            <w:tcBorders>
              <w:top w:val="nil"/>
              <w:left w:val="nil"/>
              <w:bottom w:val="nil"/>
              <w:right w:val="nil"/>
            </w:tcBorders>
            <w:shd w:val="clear" w:color="auto" w:fill="auto"/>
            <w:noWrap/>
            <w:vAlign w:val="bottom"/>
            <w:hideMark/>
          </w:tcPr>
          <w:p w14:paraId="793ED87B" w14:textId="6C9652F5" w:rsidR="00F844C2" w:rsidRPr="009F3875" w:rsidRDefault="00F844C2" w:rsidP="00507C6F">
            <w:pPr>
              <w:rPr>
                <w:rFonts w:ascii="Arial Narrow" w:hAnsi="Arial Narrow" w:cs="Arial"/>
                <w:b/>
                <w:bCs/>
              </w:rPr>
            </w:pPr>
            <w:proofErr w:type="spellStart"/>
            <w:r w:rsidRPr="009F3875">
              <w:rPr>
                <w:rFonts w:ascii="Arial Narrow" w:hAnsi="Arial Narrow" w:cs="Arial"/>
                <w:b/>
                <w:bCs/>
              </w:rPr>
              <w:t>LacryDiag</w:t>
            </w:r>
            <w:proofErr w:type="spellEnd"/>
            <w:r w:rsidRPr="009F3875">
              <w:rPr>
                <w:rFonts w:ascii="Arial Narrow" w:hAnsi="Arial Narrow" w:cs="Arial"/>
                <w:b/>
                <w:bCs/>
              </w:rPr>
              <w:t xml:space="preserve"> </w:t>
            </w:r>
            <w:r>
              <w:rPr>
                <w:rFonts w:ascii="Arial Narrow" w:hAnsi="Arial Narrow" w:cs="Arial"/>
                <w:b/>
                <w:bCs/>
              </w:rPr>
              <w:t xml:space="preserve">– přístroj pro diagnostiku suchého oka </w:t>
            </w:r>
          </w:p>
        </w:tc>
        <w:tc>
          <w:tcPr>
            <w:tcW w:w="1290" w:type="dxa"/>
            <w:tcBorders>
              <w:top w:val="nil"/>
              <w:left w:val="nil"/>
              <w:bottom w:val="nil"/>
              <w:right w:val="nil"/>
            </w:tcBorders>
            <w:shd w:val="clear" w:color="auto" w:fill="auto"/>
            <w:noWrap/>
            <w:vAlign w:val="bottom"/>
            <w:hideMark/>
          </w:tcPr>
          <w:p w14:paraId="7B03E289" w14:textId="77777777" w:rsidR="00F844C2" w:rsidRPr="00F844C2" w:rsidRDefault="00F844C2" w:rsidP="00507C6F">
            <w:pPr>
              <w:jc w:val="center"/>
              <w:rPr>
                <w:rFonts w:ascii="Arial Narrow" w:hAnsi="Arial Narrow"/>
              </w:rPr>
            </w:pPr>
            <w:r w:rsidRPr="00F844C2">
              <w:rPr>
                <w:rFonts w:ascii="Arial Narrow" w:hAnsi="Arial Narrow"/>
              </w:rPr>
              <w:t>358 000,00</w:t>
            </w:r>
          </w:p>
        </w:tc>
        <w:tc>
          <w:tcPr>
            <w:tcW w:w="1126" w:type="dxa"/>
            <w:tcBorders>
              <w:top w:val="nil"/>
              <w:left w:val="nil"/>
              <w:bottom w:val="nil"/>
              <w:right w:val="nil"/>
            </w:tcBorders>
            <w:shd w:val="clear" w:color="auto" w:fill="auto"/>
            <w:noWrap/>
            <w:vAlign w:val="bottom"/>
            <w:hideMark/>
          </w:tcPr>
          <w:p w14:paraId="5F16ABB6" w14:textId="77777777" w:rsidR="00F844C2" w:rsidRPr="00F844C2" w:rsidRDefault="00F844C2" w:rsidP="00507C6F">
            <w:pPr>
              <w:jc w:val="center"/>
              <w:rPr>
                <w:rFonts w:ascii="Arial Narrow" w:hAnsi="Arial Narrow"/>
              </w:rPr>
            </w:pPr>
            <w:r w:rsidRPr="00F844C2">
              <w:rPr>
                <w:rFonts w:ascii="Arial Narrow" w:hAnsi="Arial Narrow"/>
              </w:rPr>
              <w:t>75 180,00</w:t>
            </w:r>
          </w:p>
        </w:tc>
        <w:tc>
          <w:tcPr>
            <w:tcW w:w="1290" w:type="dxa"/>
            <w:tcBorders>
              <w:top w:val="nil"/>
              <w:left w:val="nil"/>
              <w:bottom w:val="nil"/>
              <w:right w:val="nil"/>
            </w:tcBorders>
            <w:shd w:val="clear" w:color="auto" w:fill="auto"/>
            <w:noWrap/>
            <w:vAlign w:val="bottom"/>
            <w:hideMark/>
          </w:tcPr>
          <w:p w14:paraId="03C64E65" w14:textId="77777777" w:rsidR="00F844C2" w:rsidRPr="00F844C2" w:rsidRDefault="00F844C2" w:rsidP="00507C6F">
            <w:pPr>
              <w:jc w:val="center"/>
              <w:rPr>
                <w:rFonts w:ascii="Arial Narrow" w:hAnsi="Arial Narrow"/>
              </w:rPr>
            </w:pPr>
            <w:r w:rsidRPr="00F844C2">
              <w:rPr>
                <w:rFonts w:ascii="Arial Narrow" w:hAnsi="Arial Narrow"/>
              </w:rPr>
              <w:t>433 180,00</w:t>
            </w:r>
          </w:p>
        </w:tc>
      </w:tr>
      <w:tr w:rsidR="00F844C2" w:rsidRPr="00A52971" w14:paraId="0F721451"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276B11B7" w14:textId="77777777" w:rsidR="00F844C2" w:rsidRPr="00A52971" w:rsidRDefault="00F844C2" w:rsidP="00507C6F">
            <w:pPr>
              <w:jc w:val="center"/>
            </w:pPr>
          </w:p>
        </w:tc>
        <w:tc>
          <w:tcPr>
            <w:tcW w:w="316" w:type="dxa"/>
            <w:tcBorders>
              <w:top w:val="nil"/>
              <w:left w:val="nil"/>
              <w:bottom w:val="nil"/>
              <w:right w:val="nil"/>
            </w:tcBorders>
            <w:shd w:val="clear" w:color="auto" w:fill="auto"/>
            <w:noWrap/>
            <w:vAlign w:val="bottom"/>
            <w:hideMark/>
          </w:tcPr>
          <w:p w14:paraId="51936828"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1F0F95BC"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33F0008D" w14:textId="77777777" w:rsidR="00F844C2" w:rsidRPr="009F3875" w:rsidRDefault="00F844C2" w:rsidP="00507C6F">
            <w:pPr>
              <w:rPr>
                <w:rFonts w:ascii="Arial Narrow" w:hAnsi="Arial Narrow" w:cs="Arial"/>
                <w:b/>
                <w:bCs/>
              </w:rPr>
            </w:pPr>
            <w:r w:rsidRPr="009F3875">
              <w:rPr>
                <w:rFonts w:ascii="Arial Narrow" w:hAnsi="Arial Narrow" w:cs="Arial"/>
                <w:b/>
                <w:bCs/>
              </w:rPr>
              <w:t xml:space="preserve">PC/ notebook </w:t>
            </w:r>
          </w:p>
        </w:tc>
        <w:tc>
          <w:tcPr>
            <w:tcW w:w="1290" w:type="dxa"/>
            <w:tcBorders>
              <w:top w:val="nil"/>
              <w:left w:val="nil"/>
              <w:bottom w:val="nil"/>
              <w:right w:val="nil"/>
            </w:tcBorders>
            <w:shd w:val="clear" w:color="auto" w:fill="auto"/>
            <w:noWrap/>
            <w:vAlign w:val="bottom"/>
            <w:hideMark/>
          </w:tcPr>
          <w:p w14:paraId="1951DDFE" w14:textId="77777777" w:rsidR="00F844C2" w:rsidRPr="00A52971" w:rsidRDefault="00F844C2" w:rsidP="00507C6F"/>
        </w:tc>
        <w:tc>
          <w:tcPr>
            <w:tcW w:w="1126" w:type="dxa"/>
            <w:tcBorders>
              <w:top w:val="nil"/>
              <w:left w:val="nil"/>
              <w:bottom w:val="nil"/>
              <w:right w:val="nil"/>
            </w:tcBorders>
            <w:shd w:val="clear" w:color="auto" w:fill="auto"/>
            <w:noWrap/>
            <w:vAlign w:val="bottom"/>
            <w:hideMark/>
          </w:tcPr>
          <w:p w14:paraId="74BE18A9"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3BC4FEDC" w14:textId="77777777" w:rsidR="00F844C2" w:rsidRPr="00A52971" w:rsidRDefault="00F844C2" w:rsidP="00507C6F">
            <w:pPr>
              <w:jc w:val="center"/>
            </w:pPr>
          </w:p>
        </w:tc>
      </w:tr>
      <w:tr w:rsidR="00F844C2" w:rsidRPr="00A52971" w14:paraId="7533A219"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26822B76" w14:textId="77777777" w:rsidR="00F844C2" w:rsidRPr="00A52971" w:rsidRDefault="00F844C2" w:rsidP="00507C6F">
            <w:pPr>
              <w:jc w:val="center"/>
            </w:pPr>
          </w:p>
        </w:tc>
        <w:tc>
          <w:tcPr>
            <w:tcW w:w="316" w:type="dxa"/>
            <w:tcBorders>
              <w:top w:val="nil"/>
              <w:left w:val="nil"/>
              <w:bottom w:val="nil"/>
              <w:right w:val="nil"/>
            </w:tcBorders>
            <w:shd w:val="clear" w:color="auto" w:fill="auto"/>
            <w:noWrap/>
            <w:vAlign w:val="bottom"/>
            <w:hideMark/>
          </w:tcPr>
          <w:p w14:paraId="6ACA2502"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67FAA114"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15027713" w14:textId="77777777" w:rsidR="00F844C2" w:rsidRPr="009F3875" w:rsidRDefault="00F844C2" w:rsidP="00507C6F">
            <w:pPr>
              <w:rPr>
                <w:rFonts w:ascii="Arial Narrow" w:hAnsi="Arial Narrow" w:cs="Arial"/>
                <w:b/>
                <w:bCs/>
              </w:rPr>
            </w:pPr>
            <w:r w:rsidRPr="009F3875">
              <w:rPr>
                <w:rFonts w:ascii="Arial Narrow" w:hAnsi="Arial Narrow" w:cs="Arial"/>
                <w:b/>
                <w:bCs/>
              </w:rPr>
              <w:t xml:space="preserve">Přístrojový stolík </w:t>
            </w:r>
          </w:p>
        </w:tc>
        <w:tc>
          <w:tcPr>
            <w:tcW w:w="1290" w:type="dxa"/>
            <w:tcBorders>
              <w:top w:val="nil"/>
              <w:left w:val="nil"/>
              <w:bottom w:val="nil"/>
              <w:right w:val="nil"/>
            </w:tcBorders>
            <w:shd w:val="clear" w:color="auto" w:fill="auto"/>
            <w:noWrap/>
            <w:vAlign w:val="bottom"/>
            <w:hideMark/>
          </w:tcPr>
          <w:p w14:paraId="1A9EE294" w14:textId="77777777" w:rsidR="00F844C2" w:rsidRPr="00A52971" w:rsidRDefault="00F844C2" w:rsidP="00507C6F"/>
        </w:tc>
        <w:tc>
          <w:tcPr>
            <w:tcW w:w="1126" w:type="dxa"/>
            <w:tcBorders>
              <w:top w:val="nil"/>
              <w:left w:val="nil"/>
              <w:bottom w:val="nil"/>
              <w:right w:val="nil"/>
            </w:tcBorders>
            <w:shd w:val="clear" w:color="auto" w:fill="auto"/>
            <w:noWrap/>
            <w:vAlign w:val="bottom"/>
            <w:hideMark/>
          </w:tcPr>
          <w:p w14:paraId="5C6716F7"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79E8DB57" w14:textId="77777777" w:rsidR="00F844C2" w:rsidRPr="00A52971" w:rsidRDefault="00F844C2" w:rsidP="00507C6F">
            <w:pPr>
              <w:jc w:val="center"/>
            </w:pPr>
          </w:p>
        </w:tc>
      </w:tr>
      <w:tr w:rsidR="00F844C2" w:rsidRPr="00A52971" w14:paraId="7087429D"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58DE7EE9" w14:textId="77777777" w:rsidR="00F844C2" w:rsidRPr="00A52971" w:rsidRDefault="00F844C2" w:rsidP="00507C6F">
            <w:pPr>
              <w:jc w:val="center"/>
            </w:pPr>
          </w:p>
        </w:tc>
        <w:tc>
          <w:tcPr>
            <w:tcW w:w="316" w:type="dxa"/>
            <w:tcBorders>
              <w:top w:val="nil"/>
              <w:left w:val="nil"/>
              <w:bottom w:val="nil"/>
              <w:right w:val="nil"/>
            </w:tcBorders>
            <w:shd w:val="clear" w:color="auto" w:fill="auto"/>
            <w:noWrap/>
            <w:vAlign w:val="bottom"/>
            <w:hideMark/>
          </w:tcPr>
          <w:p w14:paraId="6AB784C9"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1D6E128D"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22CA648B" w14:textId="77777777" w:rsidR="00F844C2" w:rsidRPr="00A52971" w:rsidRDefault="00F844C2" w:rsidP="00507C6F"/>
        </w:tc>
        <w:tc>
          <w:tcPr>
            <w:tcW w:w="1290" w:type="dxa"/>
            <w:tcBorders>
              <w:top w:val="nil"/>
              <w:left w:val="nil"/>
              <w:bottom w:val="nil"/>
              <w:right w:val="nil"/>
            </w:tcBorders>
            <w:shd w:val="clear" w:color="auto" w:fill="auto"/>
            <w:noWrap/>
            <w:vAlign w:val="bottom"/>
            <w:hideMark/>
          </w:tcPr>
          <w:p w14:paraId="4980009D" w14:textId="77777777" w:rsidR="00F844C2" w:rsidRPr="00A52971" w:rsidRDefault="00F844C2" w:rsidP="00507C6F"/>
        </w:tc>
        <w:tc>
          <w:tcPr>
            <w:tcW w:w="1126" w:type="dxa"/>
            <w:tcBorders>
              <w:top w:val="nil"/>
              <w:left w:val="nil"/>
              <w:bottom w:val="nil"/>
              <w:right w:val="nil"/>
            </w:tcBorders>
            <w:shd w:val="clear" w:color="auto" w:fill="auto"/>
            <w:noWrap/>
            <w:vAlign w:val="bottom"/>
            <w:hideMark/>
          </w:tcPr>
          <w:p w14:paraId="4EA451E3"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10E65CEA" w14:textId="77777777" w:rsidR="00F844C2" w:rsidRPr="00A52971" w:rsidRDefault="00F844C2" w:rsidP="00507C6F">
            <w:pPr>
              <w:jc w:val="center"/>
            </w:pPr>
          </w:p>
        </w:tc>
      </w:tr>
      <w:tr w:rsidR="00F844C2" w:rsidRPr="00A52971" w14:paraId="2AE61D7C"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1013776D" w14:textId="77777777" w:rsidR="00F844C2" w:rsidRPr="00A52971" w:rsidRDefault="00F844C2" w:rsidP="00507C6F">
            <w:pPr>
              <w:jc w:val="center"/>
            </w:pPr>
          </w:p>
        </w:tc>
        <w:tc>
          <w:tcPr>
            <w:tcW w:w="316" w:type="dxa"/>
            <w:tcBorders>
              <w:top w:val="nil"/>
              <w:left w:val="nil"/>
              <w:bottom w:val="nil"/>
              <w:right w:val="nil"/>
            </w:tcBorders>
            <w:shd w:val="clear" w:color="auto" w:fill="auto"/>
            <w:noWrap/>
            <w:vAlign w:val="bottom"/>
            <w:hideMark/>
          </w:tcPr>
          <w:p w14:paraId="55D943C6"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0B09DF18"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14C05F3B" w14:textId="77777777" w:rsidR="00F844C2" w:rsidRPr="00A52971" w:rsidRDefault="00F844C2" w:rsidP="00507C6F">
            <w:pPr>
              <w:jc w:val="right"/>
            </w:pPr>
          </w:p>
        </w:tc>
        <w:tc>
          <w:tcPr>
            <w:tcW w:w="1290" w:type="dxa"/>
            <w:tcBorders>
              <w:top w:val="nil"/>
              <w:left w:val="nil"/>
              <w:bottom w:val="nil"/>
              <w:right w:val="nil"/>
            </w:tcBorders>
            <w:shd w:val="clear" w:color="auto" w:fill="auto"/>
            <w:noWrap/>
            <w:vAlign w:val="bottom"/>
            <w:hideMark/>
          </w:tcPr>
          <w:p w14:paraId="33122729" w14:textId="77777777" w:rsidR="00F844C2" w:rsidRPr="00A52971" w:rsidRDefault="00F844C2" w:rsidP="00507C6F"/>
        </w:tc>
        <w:tc>
          <w:tcPr>
            <w:tcW w:w="1126" w:type="dxa"/>
            <w:tcBorders>
              <w:top w:val="nil"/>
              <w:left w:val="nil"/>
              <w:bottom w:val="nil"/>
              <w:right w:val="nil"/>
            </w:tcBorders>
            <w:shd w:val="clear" w:color="auto" w:fill="auto"/>
            <w:noWrap/>
            <w:vAlign w:val="bottom"/>
            <w:hideMark/>
          </w:tcPr>
          <w:p w14:paraId="5A7529BB"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5BCEE2F8" w14:textId="77777777" w:rsidR="00F844C2" w:rsidRPr="00A52971" w:rsidRDefault="00F844C2" w:rsidP="00507C6F">
            <w:pPr>
              <w:jc w:val="center"/>
            </w:pPr>
          </w:p>
        </w:tc>
      </w:tr>
      <w:tr w:rsidR="00F844C2" w:rsidRPr="00A52971" w14:paraId="58EEDD18"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5905EC45" w14:textId="77777777" w:rsidR="00F844C2" w:rsidRPr="00A52971" w:rsidRDefault="00F844C2" w:rsidP="00507C6F">
            <w:pPr>
              <w:jc w:val="center"/>
            </w:pPr>
          </w:p>
        </w:tc>
        <w:tc>
          <w:tcPr>
            <w:tcW w:w="316" w:type="dxa"/>
            <w:tcBorders>
              <w:top w:val="nil"/>
              <w:left w:val="nil"/>
              <w:bottom w:val="nil"/>
              <w:right w:val="nil"/>
            </w:tcBorders>
            <w:shd w:val="clear" w:color="auto" w:fill="auto"/>
            <w:noWrap/>
            <w:vAlign w:val="bottom"/>
            <w:hideMark/>
          </w:tcPr>
          <w:p w14:paraId="5346052E"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4041A80D" w14:textId="77777777" w:rsidR="00F844C2" w:rsidRPr="00A52971" w:rsidRDefault="00F844C2" w:rsidP="00507C6F"/>
        </w:tc>
        <w:tc>
          <w:tcPr>
            <w:tcW w:w="5223" w:type="dxa"/>
            <w:tcBorders>
              <w:top w:val="nil"/>
              <w:left w:val="nil"/>
              <w:bottom w:val="nil"/>
              <w:right w:val="nil"/>
            </w:tcBorders>
            <w:shd w:val="clear" w:color="000000" w:fill="D9D9D9"/>
            <w:noWrap/>
            <w:vAlign w:val="bottom"/>
            <w:hideMark/>
          </w:tcPr>
          <w:p w14:paraId="31D8DB9B" w14:textId="77777777" w:rsidR="00F844C2" w:rsidRPr="00A52971" w:rsidRDefault="00F844C2" w:rsidP="00507C6F">
            <w:pPr>
              <w:rPr>
                <w:rFonts w:ascii="Arial Narrow" w:hAnsi="Arial Narrow" w:cs="Arial"/>
                <w:b/>
                <w:bCs/>
              </w:rPr>
            </w:pPr>
            <w:proofErr w:type="gramStart"/>
            <w:r w:rsidRPr="00A52971">
              <w:rPr>
                <w:rFonts w:ascii="Arial Narrow" w:hAnsi="Arial Narrow" w:cs="Arial"/>
                <w:b/>
                <w:bCs/>
              </w:rPr>
              <w:t>CENA  CELKEM</w:t>
            </w:r>
            <w:proofErr w:type="gramEnd"/>
            <w:r w:rsidRPr="00A52971">
              <w:rPr>
                <w:rFonts w:ascii="Arial Narrow" w:hAnsi="Arial Narrow" w:cs="Arial"/>
                <w:b/>
                <w:bCs/>
              </w:rPr>
              <w:t xml:space="preserve"> </w:t>
            </w:r>
          </w:p>
        </w:tc>
        <w:tc>
          <w:tcPr>
            <w:tcW w:w="1290" w:type="dxa"/>
            <w:tcBorders>
              <w:top w:val="nil"/>
              <w:left w:val="nil"/>
              <w:bottom w:val="nil"/>
              <w:right w:val="nil"/>
            </w:tcBorders>
            <w:shd w:val="clear" w:color="000000" w:fill="D9D9D9"/>
            <w:noWrap/>
            <w:vAlign w:val="bottom"/>
            <w:hideMark/>
          </w:tcPr>
          <w:p w14:paraId="676D9DD3" w14:textId="77777777" w:rsidR="00F844C2" w:rsidRPr="00A52971" w:rsidRDefault="00F844C2" w:rsidP="00507C6F">
            <w:pPr>
              <w:jc w:val="center"/>
              <w:rPr>
                <w:rFonts w:ascii="Arial Narrow" w:hAnsi="Arial Narrow" w:cs="Arial"/>
                <w:b/>
                <w:bCs/>
              </w:rPr>
            </w:pPr>
            <w:r>
              <w:rPr>
                <w:rFonts w:ascii="Arial Narrow" w:hAnsi="Arial Narrow" w:cs="Arial"/>
                <w:b/>
                <w:bCs/>
              </w:rPr>
              <w:t>1 657 000,00</w:t>
            </w:r>
          </w:p>
        </w:tc>
        <w:tc>
          <w:tcPr>
            <w:tcW w:w="1126" w:type="dxa"/>
            <w:tcBorders>
              <w:top w:val="nil"/>
              <w:left w:val="nil"/>
              <w:bottom w:val="nil"/>
              <w:right w:val="nil"/>
            </w:tcBorders>
            <w:shd w:val="clear" w:color="000000" w:fill="D9D9D9"/>
            <w:noWrap/>
            <w:vAlign w:val="bottom"/>
            <w:hideMark/>
          </w:tcPr>
          <w:p w14:paraId="734CA3A8" w14:textId="77777777" w:rsidR="00F844C2" w:rsidRPr="00A52971" w:rsidRDefault="00F844C2" w:rsidP="00507C6F">
            <w:pPr>
              <w:jc w:val="center"/>
              <w:rPr>
                <w:rFonts w:ascii="Arial Narrow" w:hAnsi="Arial Narrow" w:cs="Arial"/>
                <w:b/>
                <w:bCs/>
              </w:rPr>
            </w:pPr>
            <w:r>
              <w:rPr>
                <w:rFonts w:ascii="Arial Narrow" w:hAnsi="Arial Narrow" w:cs="Arial"/>
                <w:b/>
                <w:bCs/>
              </w:rPr>
              <w:t>347 970,00</w:t>
            </w:r>
          </w:p>
        </w:tc>
        <w:tc>
          <w:tcPr>
            <w:tcW w:w="1290" w:type="dxa"/>
            <w:tcBorders>
              <w:top w:val="nil"/>
              <w:left w:val="nil"/>
              <w:bottom w:val="nil"/>
              <w:right w:val="nil"/>
            </w:tcBorders>
            <w:shd w:val="clear" w:color="000000" w:fill="D9D9D9"/>
            <w:noWrap/>
            <w:vAlign w:val="bottom"/>
            <w:hideMark/>
          </w:tcPr>
          <w:p w14:paraId="5E2F5579" w14:textId="77777777" w:rsidR="00F844C2" w:rsidRPr="00A52971" w:rsidRDefault="00F844C2" w:rsidP="00507C6F">
            <w:pPr>
              <w:jc w:val="center"/>
              <w:rPr>
                <w:rFonts w:ascii="Arial Narrow" w:hAnsi="Arial Narrow" w:cs="Arial"/>
                <w:b/>
                <w:bCs/>
              </w:rPr>
            </w:pPr>
            <w:r>
              <w:rPr>
                <w:rFonts w:ascii="Arial Narrow" w:hAnsi="Arial Narrow" w:cs="Arial"/>
                <w:b/>
                <w:bCs/>
              </w:rPr>
              <w:t>2 004 970,00</w:t>
            </w:r>
          </w:p>
        </w:tc>
      </w:tr>
      <w:tr w:rsidR="00F844C2" w:rsidRPr="00A52971" w14:paraId="3EEF57EA"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5EA4CF43" w14:textId="77777777" w:rsidR="00F844C2" w:rsidRPr="00A52971" w:rsidRDefault="00F844C2" w:rsidP="00507C6F">
            <w:pPr>
              <w:jc w:val="center"/>
            </w:pPr>
          </w:p>
        </w:tc>
        <w:tc>
          <w:tcPr>
            <w:tcW w:w="316" w:type="dxa"/>
            <w:tcBorders>
              <w:top w:val="nil"/>
              <w:left w:val="nil"/>
              <w:bottom w:val="nil"/>
              <w:right w:val="nil"/>
            </w:tcBorders>
            <w:shd w:val="clear" w:color="auto" w:fill="auto"/>
            <w:noWrap/>
            <w:vAlign w:val="bottom"/>
            <w:hideMark/>
          </w:tcPr>
          <w:p w14:paraId="73B02C9B"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48AC2C65"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103002B9" w14:textId="77777777" w:rsidR="00F844C2" w:rsidRPr="00A52971" w:rsidRDefault="00F844C2" w:rsidP="00507C6F">
            <w:pPr>
              <w:jc w:val="right"/>
            </w:pPr>
          </w:p>
        </w:tc>
        <w:tc>
          <w:tcPr>
            <w:tcW w:w="1290" w:type="dxa"/>
            <w:tcBorders>
              <w:top w:val="nil"/>
              <w:left w:val="nil"/>
              <w:bottom w:val="nil"/>
              <w:right w:val="nil"/>
            </w:tcBorders>
            <w:shd w:val="clear" w:color="auto" w:fill="auto"/>
            <w:noWrap/>
            <w:vAlign w:val="bottom"/>
            <w:hideMark/>
          </w:tcPr>
          <w:p w14:paraId="1CE5397E" w14:textId="77777777" w:rsidR="00F844C2" w:rsidRPr="00A52971" w:rsidRDefault="00F844C2" w:rsidP="00507C6F"/>
        </w:tc>
        <w:tc>
          <w:tcPr>
            <w:tcW w:w="1126" w:type="dxa"/>
            <w:tcBorders>
              <w:top w:val="nil"/>
              <w:left w:val="nil"/>
              <w:bottom w:val="nil"/>
              <w:right w:val="nil"/>
            </w:tcBorders>
            <w:shd w:val="clear" w:color="auto" w:fill="auto"/>
            <w:noWrap/>
            <w:vAlign w:val="bottom"/>
            <w:hideMark/>
          </w:tcPr>
          <w:p w14:paraId="20DB58CA"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19E9F1D6" w14:textId="77777777" w:rsidR="00F844C2" w:rsidRPr="00A52971" w:rsidRDefault="00F844C2" w:rsidP="00507C6F">
            <w:pPr>
              <w:jc w:val="center"/>
            </w:pPr>
          </w:p>
        </w:tc>
      </w:tr>
      <w:tr w:rsidR="00F844C2" w:rsidRPr="00A52971" w14:paraId="515F352F"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7F0C762F" w14:textId="77777777" w:rsidR="00F844C2" w:rsidRPr="00A52971" w:rsidRDefault="00F844C2" w:rsidP="00507C6F">
            <w:pPr>
              <w:jc w:val="center"/>
            </w:pPr>
          </w:p>
        </w:tc>
        <w:tc>
          <w:tcPr>
            <w:tcW w:w="316" w:type="dxa"/>
            <w:tcBorders>
              <w:top w:val="nil"/>
              <w:left w:val="nil"/>
              <w:bottom w:val="nil"/>
              <w:right w:val="nil"/>
            </w:tcBorders>
            <w:shd w:val="clear" w:color="auto" w:fill="auto"/>
            <w:noWrap/>
            <w:vAlign w:val="bottom"/>
            <w:hideMark/>
          </w:tcPr>
          <w:p w14:paraId="1C1EE289"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67E5662D"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668DC654" w14:textId="77777777" w:rsidR="00F844C2" w:rsidRPr="00A52971" w:rsidRDefault="00F844C2" w:rsidP="00507C6F">
            <w:pPr>
              <w:jc w:val="right"/>
            </w:pPr>
          </w:p>
        </w:tc>
        <w:tc>
          <w:tcPr>
            <w:tcW w:w="1290" w:type="dxa"/>
            <w:tcBorders>
              <w:top w:val="nil"/>
              <w:left w:val="nil"/>
              <w:bottom w:val="nil"/>
              <w:right w:val="nil"/>
            </w:tcBorders>
            <w:shd w:val="clear" w:color="auto" w:fill="auto"/>
            <w:noWrap/>
            <w:vAlign w:val="bottom"/>
            <w:hideMark/>
          </w:tcPr>
          <w:p w14:paraId="67FE79A0" w14:textId="77777777" w:rsidR="00F844C2" w:rsidRPr="00A52971" w:rsidRDefault="00F844C2" w:rsidP="00507C6F"/>
        </w:tc>
        <w:tc>
          <w:tcPr>
            <w:tcW w:w="1126" w:type="dxa"/>
            <w:tcBorders>
              <w:top w:val="nil"/>
              <w:left w:val="nil"/>
              <w:bottom w:val="nil"/>
              <w:right w:val="nil"/>
            </w:tcBorders>
            <w:shd w:val="clear" w:color="auto" w:fill="auto"/>
            <w:noWrap/>
            <w:vAlign w:val="bottom"/>
            <w:hideMark/>
          </w:tcPr>
          <w:p w14:paraId="288CEBA8"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41396186" w14:textId="77777777" w:rsidR="00F844C2" w:rsidRPr="00A52971" w:rsidRDefault="00F844C2" w:rsidP="00507C6F">
            <w:pPr>
              <w:jc w:val="center"/>
            </w:pPr>
          </w:p>
        </w:tc>
      </w:tr>
      <w:tr w:rsidR="00F844C2" w:rsidRPr="00A52971" w14:paraId="6AAFE6BA" w14:textId="77777777" w:rsidTr="00F844C2">
        <w:trPr>
          <w:trHeight w:val="257"/>
          <w:jc w:val="center"/>
        </w:trPr>
        <w:tc>
          <w:tcPr>
            <w:tcW w:w="393" w:type="dxa"/>
            <w:tcBorders>
              <w:top w:val="nil"/>
              <w:left w:val="nil"/>
              <w:bottom w:val="nil"/>
              <w:right w:val="nil"/>
            </w:tcBorders>
            <w:shd w:val="clear" w:color="auto" w:fill="auto"/>
            <w:noWrap/>
            <w:vAlign w:val="bottom"/>
            <w:hideMark/>
          </w:tcPr>
          <w:p w14:paraId="4C882E4E" w14:textId="77777777" w:rsidR="00F844C2" w:rsidRPr="00A52971" w:rsidRDefault="00F844C2" w:rsidP="00507C6F">
            <w:pPr>
              <w:jc w:val="center"/>
            </w:pPr>
          </w:p>
        </w:tc>
        <w:tc>
          <w:tcPr>
            <w:tcW w:w="316" w:type="dxa"/>
            <w:tcBorders>
              <w:top w:val="nil"/>
              <w:left w:val="nil"/>
              <w:bottom w:val="nil"/>
              <w:right w:val="nil"/>
            </w:tcBorders>
            <w:shd w:val="clear" w:color="auto" w:fill="auto"/>
            <w:noWrap/>
            <w:vAlign w:val="bottom"/>
            <w:hideMark/>
          </w:tcPr>
          <w:p w14:paraId="1F654533" w14:textId="77777777" w:rsidR="00F844C2" w:rsidRPr="00A52971" w:rsidRDefault="00F844C2" w:rsidP="00507C6F"/>
        </w:tc>
        <w:tc>
          <w:tcPr>
            <w:tcW w:w="763" w:type="dxa"/>
            <w:tcBorders>
              <w:top w:val="nil"/>
              <w:left w:val="nil"/>
              <w:bottom w:val="nil"/>
              <w:right w:val="nil"/>
            </w:tcBorders>
            <w:shd w:val="clear" w:color="auto" w:fill="auto"/>
            <w:noWrap/>
            <w:vAlign w:val="bottom"/>
            <w:hideMark/>
          </w:tcPr>
          <w:p w14:paraId="0B1C675C" w14:textId="77777777" w:rsidR="00F844C2" w:rsidRPr="00A52971" w:rsidRDefault="00F844C2" w:rsidP="00507C6F"/>
        </w:tc>
        <w:tc>
          <w:tcPr>
            <w:tcW w:w="5223" w:type="dxa"/>
            <w:tcBorders>
              <w:top w:val="nil"/>
              <w:left w:val="nil"/>
              <w:bottom w:val="nil"/>
              <w:right w:val="nil"/>
            </w:tcBorders>
            <w:shd w:val="clear" w:color="auto" w:fill="auto"/>
            <w:noWrap/>
            <w:vAlign w:val="bottom"/>
            <w:hideMark/>
          </w:tcPr>
          <w:p w14:paraId="5BB5DFE1" w14:textId="77777777" w:rsidR="00F844C2" w:rsidRPr="00A52971" w:rsidRDefault="00F844C2" w:rsidP="00507C6F"/>
        </w:tc>
        <w:tc>
          <w:tcPr>
            <w:tcW w:w="1290" w:type="dxa"/>
            <w:tcBorders>
              <w:top w:val="nil"/>
              <w:left w:val="nil"/>
              <w:bottom w:val="nil"/>
              <w:right w:val="nil"/>
            </w:tcBorders>
            <w:shd w:val="clear" w:color="auto" w:fill="auto"/>
            <w:noWrap/>
            <w:vAlign w:val="bottom"/>
            <w:hideMark/>
          </w:tcPr>
          <w:p w14:paraId="6B5AA210" w14:textId="77777777" w:rsidR="00F844C2" w:rsidRPr="00A52971" w:rsidRDefault="00F844C2" w:rsidP="00507C6F"/>
        </w:tc>
        <w:tc>
          <w:tcPr>
            <w:tcW w:w="1126" w:type="dxa"/>
            <w:tcBorders>
              <w:top w:val="nil"/>
              <w:left w:val="nil"/>
              <w:bottom w:val="nil"/>
              <w:right w:val="nil"/>
            </w:tcBorders>
            <w:shd w:val="clear" w:color="auto" w:fill="auto"/>
            <w:noWrap/>
            <w:vAlign w:val="bottom"/>
            <w:hideMark/>
          </w:tcPr>
          <w:p w14:paraId="0F082C2A"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4792ED8C" w14:textId="77777777" w:rsidR="00F844C2" w:rsidRPr="00A52971" w:rsidRDefault="00F844C2" w:rsidP="00507C6F">
            <w:pPr>
              <w:jc w:val="center"/>
            </w:pPr>
          </w:p>
        </w:tc>
      </w:tr>
      <w:tr w:rsidR="00F844C2" w:rsidRPr="00A52971" w14:paraId="739DA02D" w14:textId="77777777" w:rsidTr="00F844C2">
        <w:trPr>
          <w:trHeight w:val="257"/>
          <w:jc w:val="center"/>
        </w:trPr>
        <w:tc>
          <w:tcPr>
            <w:tcW w:w="1472" w:type="dxa"/>
            <w:gridSpan w:val="3"/>
            <w:tcBorders>
              <w:top w:val="nil"/>
              <w:left w:val="nil"/>
              <w:bottom w:val="nil"/>
              <w:right w:val="nil"/>
            </w:tcBorders>
            <w:shd w:val="clear" w:color="auto" w:fill="auto"/>
            <w:noWrap/>
            <w:vAlign w:val="bottom"/>
            <w:hideMark/>
          </w:tcPr>
          <w:p w14:paraId="793369B9" w14:textId="77777777" w:rsidR="00F844C2" w:rsidRPr="00A52971" w:rsidRDefault="00F844C2" w:rsidP="00507C6F">
            <w:pPr>
              <w:rPr>
                <w:rFonts w:ascii="Arial Narrow" w:hAnsi="Arial Narrow" w:cs="Arial"/>
                <w:b/>
                <w:bCs/>
              </w:rPr>
            </w:pPr>
            <w:r w:rsidRPr="00A52971">
              <w:rPr>
                <w:rFonts w:ascii="Arial Narrow" w:hAnsi="Arial Narrow" w:cs="Arial"/>
                <w:b/>
                <w:bCs/>
              </w:rPr>
              <w:t>Záruční doba:</w:t>
            </w:r>
          </w:p>
        </w:tc>
        <w:tc>
          <w:tcPr>
            <w:tcW w:w="5223" w:type="dxa"/>
            <w:tcBorders>
              <w:top w:val="nil"/>
              <w:left w:val="nil"/>
              <w:bottom w:val="nil"/>
              <w:right w:val="nil"/>
            </w:tcBorders>
            <w:shd w:val="clear" w:color="auto" w:fill="auto"/>
            <w:noWrap/>
            <w:vAlign w:val="bottom"/>
            <w:hideMark/>
          </w:tcPr>
          <w:p w14:paraId="446BDD96" w14:textId="77777777" w:rsidR="00F844C2" w:rsidRPr="00A52971" w:rsidRDefault="00F844C2" w:rsidP="00507C6F">
            <w:pPr>
              <w:rPr>
                <w:rFonts w:ascii="Arial Narrow" w:hAnsi="Arial Narrow" w:cs="Arial"/>
              </w:rPr>
            </w:pPr>
            <w:r w:rsidRPr="00A52971">
              <w:rPr>
                <w:rFonts w:ascii="Arial Narrow" w:hAnsi="Arial Narrow" w:cs="Arial"/>
              </w:rPr>
              <w:t>24 měsíců od data uvedení přístroje do provozu.</w:t>
            </w:r>
          </w:p>
        </w:tc>
        <w:tc>
          <w:tcPr>
            <w:tcW w:w="1290" w:type="dxa"/>
            <w:tcBorders>
              <w:top w:val="nil"/>
              <w:left w:val="nil"/>
              <w:bottom w:val="nil"/>
              <w:right w:val="nil"/>
            </w:tcBorders>
            <w:shd w:val="clear" w:color="auto" w:fill="auto"/>
            <w:noWrap/>
            <w:vAlign w:val="bottom"/>
            <w:hideMark/>
          </w:tcPr>
          <w:p w14:paraId="7920953C" w14:textId="77777777" w:rsidR="00F844C2" w:rsidRPr="00A52971" w:rsidRDefault="00F844C2" w:rsidP="00507C6F">
            <w:pPr>
              <w:rPr>
                <w:rFonts w:ascii="Arial Narrow" w:hAnsi="Arial Narrow" w:cs="Arial"/>
              </w:rPr>
            </w:pPr>
          </w:p>
        </w:tc>
        <w:tc>
          <w:tcPr>
            <w:tcW w:w="1126" w:type="dxa"/>
            <w:tcBorders>
              <w:top w:val="nil"/>
              <w:left w:val="nil"/>
              <w:bottom w:val="nil"/>
              <w:right w:val="nil"/>
            </w:tcBorders>
            <w:shd w:val="clear" w:color="auto" w:fill="auto"/>
            <w:noWrap/>
            <w:vAlign w:val="bottom"/>
            <w:hideMark/>
          </w:tcPr>
          <w:p w14:paraId="720A2584"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0A4E2993" w14:textId="77777777" w:rsidR="00F844C2" w:rsidRPr="00A52971" w:rsidRDefault="00F844C2" w:rsidP="00507C6F">
            <w:pPr>
              <w:jc w:val="center"/>
            </w:pPr>
          </w:p>
        </w:tc>
      </w:tr>
      <w:tr w:rsidR="00F844C2" w:rsidRPr="00A52971" w14:paraId="45AD6DEC" w14:textId="77777777" w:rsidTr="00F844C2">
        <w:trPr>
          <w:trHeight w:val="257"/>
          <w:jc w:val="center"/>
        </w:trPr>
        <w:tc>
          <w:tcPr>
            <w:tcW w:w="1472" w:type="dxa"/>
            <w:gridSpan w:val="3"/>
            <w:tcBorders>
              <w:top w:val="nil"/>
              <w:left w:val="nil"/>
              <w:bottom w:val="nil"/>
              <w:right w:val="nil"/>
            </w:tcBorders>
            <w:shd w:val="clear" w:color="auto" w:fill="auto"/>
            <w:noWrap/>
            <w:vAlign w:val="bottom"/>
            <w:hideMark/>
          </w:tcPr>
          <w:p w14:paraId="0116CBE6" w14:textId="77777777" w:rsidR="00F844C2" w:rsidRPr="00A52971" w:rsidRDefault="00F844C2" w:rsidP="00507C6F">
            <w:pPr>
              <w:rPr>
                <w:rFonts w:ascii="Arial Narrow" w:hAnsi="Arial Narrow" w:cs="Arial"/>
                <w:b/>
                <w:bCs/>
              </w:rPr>
            </w:pPr>
            <w:r w:rsidRPr="00A52971">
              <w:rPr>
                <w:rFonts w:ascii="Arial Narrow" w:hAnsi="Arial Narrow" w:cs="Arial"/>
                <w:b/>
                <w:bCs/>
              </w:rPr>
              <w:t>Instalace:</w:t>
            </w:r>
          </w:p>
        </w:tc>
        <w:tc>
          <w:tcPr>
            <w:tcW w:w="5223" w:type="dxa"/>
            <w:tcBorders>
              <w:top w:val="nil"/>
              <w:left w:val="nil"/>
              <w:bottom w:val="nil"/>
              <w:right w:val="nil"/>
            </w:tcBorders>
            <w:shd w:val="clear" w:color="auto" w:fill="auto"/>
            <w:noWrap/>
            <w:vAlign w:val="bottom"/>
            <w:hideMark/>
          </w:tcPr>
          <w:p w14:paraId="6298D93F" w14:textId="77777777" w:rsidR="00F844C2" w:rsidRPr="00A52971" w:rsidRDefault="00F844C2" w:rsidP="00507C6F">
            <w:pPr>
              <w:rPr>
                <w:rFonts w:ascii="Arial Narrow" w:hAnsi="Arial Narrow" w:cs="Arial"/>
              </w:rPr>
            </w:pPr>
            <w:r w:rsidRPr="00A52971">
              <w:rPr>
                <w:rFonts w:ascii="Arial Narrow" w:hAnsi="Arial Narrow" w:cs="Arial"/>
              </w:rPr>
              <w:t xml:space="preserve">Provádí firma </w:t>
            </w:r>
            <w:proofErr w:type="spellStart"/>
            <w:r w:rsidRPr="00A52971">
              <w:rPr>
                <w:rFonts w:ascii="Arial Narrow" w:hAnsi="Arial Narrow" w:cs="Arial"/>
              </w:rPr>
              <w:t>Askin</w:t>
            </w:r>
            <w:proofErr w:type="spellEnd"/>
            <w:r w:rsidRPr="00A52971">
              <w:rPr>
                <w:rFonts w:ascii="Arial Narrow" w:hAnsi="Arial Narrow" w:cs="Arial"/>
              </w:rPr>
              <w:t xml:space="preserve"> &amp; </w:t>
            </w:r>
            <w:proofErr w:type="spellStart"/>
            <w:r w:rsidRPr="00A52971">
              <w:rPr>
                <w:rFonts w:ascii="Arial Narrow" w:hAnsi="Arial Narrow" w:cs="Arial"/>
              </w:rPr>
              <w:t>Co.s.r.o</w:t>
            </w:r>
            <w:proofErr w:type="spellEnd"/>
            <w:r w:rsidRPr="00A52971">
              <w:rPr>
                <w:rFonts w:ascii="Arial Narrow" w:hAnsi="Arial Narrow" w:cs="Arial"/>
              </w:rPr>
              <w:t>. Nový Jičín.</w:t>
            </w:r>
          </w:p>
        </w:tc>
        <w:tc>
          <w:tcPr>
            <w:tcW w:w="1290" w:type="dxa"/>
            <w:tcBorders>
              <w:top w:val="nil"/>
              <w:left w:val="nil"/>
              <w:bottom w:val="nil"/>
              <w:right w:val="nil"/>
            </w:tcBorders>
            <w:shd w:val="clear" w:color="auto" w:fill="auto"/>
            <w:noWrap/>
            <w:vAlign w:val="bottom"/>
            <w:hideMark/>
          </w:tcPr>
          <w:p w14:paraId="1CD3238D" w14:textId="77777777" w:rsidR="00F844C2" w:rsidRPr="00A52971" w:rsidRDefault="00F844C2" w:rsidP="00507C6F">
            <w:pPr>
              <w:rPr>
                <w:rFonts w:ascii="Arial Narrow" w:hAnsi="Arial Narrow" w:cs="Arial"/>
              </w:rPr>
            </w:pPr>
          </w:p>
        </w:tc>
        <w:tc>
          <w:tcPr>
            <w:tcW w:w="1126" w:type="dxa"/>
            <w:tcBorders>
              <w:top w:val="nil"/>
              <w:left w:val="nil"/>
              <w:bottom w:val="nil"/>
              <w:right w:val="nil"/>
            </w:tcBorders>
            <w:shd w:val="clear" w:color="auto" w:fill="auto"/>
            <w:noWrap/>
            <w:vAlign w:val="bottom"/>
            <w:hideMark/>
          </w:tcPr>
          <w:p w14:paraId="6B07991C"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1D89AC8D" w14:textId="77777777" w:rsidR="00F844C2" w:rsidRPr="00A52971" w:rsidRDefault="00F844C2" w:rsidP="00507C6F"/>
        </w:tc>
      </w:tr>
      <w:tr w:rsidR="00F844C2" w:rsidRPr="00A52971" w14:paraId="5DED15F6" w14:textId="77777777" w:rsidTr="00F844C2">
        <w:trPr>
          <w:trHeight w:val="257"/>
          <w:jc w:val="center"/>
        </w:trPr>
        <w:tc>
          <w:tcPr>
            <w:tcW w:w="1472" w:type="dxa"/>
            <w:gridSpan w:val="3"/>
            <w:tcBorders>
              <w:top w:val="nil"/>
              <w:left w:val="nil"/>
              <w:bottom w:val="nil"/>
              <w:right w:val="nil"/>
            </w:tcBorders>
            <w:shd w:val="clear" w:color="auto" w:fill="auto"/>
            <w:noWrap/>
            <w:vAlign w:val="bottom"/>
            <w:hideMark/>
          </w:tcPr>
          <w:p w14:paraId="295EC244" w14:textId="77777777" w:rsidR="00F844C2" w:rsidRPr="00A52971" w:rsidRDefault="00F844C2" w:rsidP="00507C6F">
            <w:pPr>
              <w:rPr>
                <w:rFonts w:ascii="Arial Narrow" w:hAnsi="Arial Narrow" w:cs="Arial"/>
                <w:b/>
                <w:bCs/>
              </w:rPr>
            </w:pPr>
            <w:r w:rsidRPr="00A52971">
              <w:rPr>
                <w:rFonts w:ascii="Arial Narrow" w:hAnsi="Arial Narrow" w:cs="Arial"/>
                <w:b/>
                <w:bCs/>
              </w:rPr>
              <w:t>Servis:</w:t>
            </w:r>
          </w:p>
        </w:tc>
        <w:tc>
          <w:tcPr>
            <w:tcW w:w="5223" w:type="dxa"/>
            <w:tcBorders>
              <w:top w:val="nil"/>
              <w:left w:val="nil"/>
              <w:bottom w:val="nil"/>
              <w:right w:val="nil"/>
            </w:tcBorders>
            <w:shd w:val="clear" w:color="auto" w:fill="auto"/>
            <w:noWrap/>
            <w:vAlign w:val="bottom"/>
            <w:hideMark/>
          </w:tcPr>
          <w:p w14:paraId="334F61C7" w14:textId="77777777" w:rsidR="00F844C2" w:rsidRPr="00A52971" w:rsidRDefault="00F844C2" w:rsidP="00507C6F">
            <w:pPr>
              <w:rPr>
                <w:rFonts w:ascii="Arial Narrow" w:hAnsi="Arial Narrow" w:cs="Arial"/>
              </w:rPr>
            </w:pPr>
            <w:r w:rsidRPr="00A52971">
              <w:rPr>
                <w:rFonts w:ascii="Arial Narrow" w:hAnsi="Arial Narrow" w:cs="Arial"/>
              </w:rPr>
              <w:t xml:space="preserve">Provádí firma </w:t>
            </w:r>
            <w:proofErr w:type="spellStart"/>
            <w:r w:rsidRPr="00A52971">
              <w:rPr>
                <w:rFonts w:ascii="Arial Narrow" w:hAnsi="Arial Narrow" w:cs="Arial"/>
              </w:rPr>
              <w:t>Askin</w:t>
            </w:r>
            <w:proofErr w:type="spellEnd"/>
            <w:r w:rsidRPr="00A52971">
              <w:rPr>
                <w:rFonts w:ascii="Arial Narrow" w:hAnsi="Arial Narrow" w:cs="Arial"/>
              </w:rPr>
              <w:t xml:space="preserve"> &amp; Co. </w:t>
            </w:r>
            <w:proofErr w:type="spellStart"/>
            <w:r w:rsidRPr="00A52971">
              <w:rPr>
                <w:rFonts w:ascii="Arial Narrow" w:hAnsi="Arial Narrow" w:cs="Arial"/>
              </w:rPr>
              <w:t>s.r.o.Nový</w:t>
            </w:r>
            <w:proofErr w:type="spellEnd"/>
            <w:r w:rsidRPr="00A52971">
              <w:rPr>
                <w:rFonts w:ascii="Arial Narrow" w:hAnsi="Arial Narrow" w:cs="Arial"/>
              </w:rPr>
              <w:t xml:space="preserve"> Jičín.</w:t>
            </w:r>
          </w:p>
        </w:tc>
        <w:tc>
          <w:tcPr>
            <w:tcW w:w="1290" w:type="dxa"/>
            <w:tcBorders>
              <w:top w:val="nil"/>
              <w:left w:val="nil"/>
              <w:bottom w:val="nil"/>
              <w:right w:val="nil"/>
            </w:tcBorders>
            <w:shd w:val="clear" w:color="auto" w:fill="auto"/>
            <w:noWrap/>
            <w:vAlign w:val="bottom"/>
            <w:hideMark/>
          </w:tcPr>
          <w:p w14:paraId="0766D62E" w14:textId="77777777" w:rsidR="00F844C2" w:rsidRPr="00A52971" w:rsidRDefault="00F844C2" w:rsidP="00507C6F">
            <w:pPr>
              <w:rPr>
                <w:rFonts w:ascii="Arial Narrow" w:hAnsi="Arial Narrow" w:cs="Arial"/>
              </w:rPr>
            </w:pPr>
          </w:p>
        </w:tc>
        <w:tc>
          <w:tcPr>
            <w:tcW w:w="1126" w:type="dxa"/>
            <w:tcBorders>
              <w:top w:val="nil"/>
              <w:left w:val="nil"/>
              <w:bottom w:val="nil"/>
              <w:right w:val="nil"/>
            </w:tcBorders>
            <w:shd w:val="clear" w:color="auto" w:fill="auto"/>
            <w:noWrap/>
            <w:vAlign w:val="bottom"/>
            <w:hideMark/>
          </w:tcPr>
          <w:p w14:paraId="0F334FBF" w14:textId="77777777" w:rsidR="00F844C2" w:rsidRPr="00A52971" w:rsidRDefault="00F844C2" w:rsidP="00507C6F">
            <w:pPr>
              <w:jc w:val="center"/>
            </w:pPr>
          </w:p>
        </w:tc>
        <w:tc>
          <w:tcPr>
            <w:tcW w:w="1290" w:type="dxa"/>
            <w:tcBorders>
              <w:top w:val="nil"/>
              <w:left w:val="nil"/>
              <w:bottom w:val="nil"/>
              <w:right w:val="nil"/>
            </w:tcBorders>
            <w:shd w:val="clear" w:color="auto" w:fill="auto"/>
            <w:noWrap/>
            <w:vAlign w:val="bottom"/>
            <w:hideMark/>
          </w:tcPr>
          <w:p w14:paraId="3E870C3B" w14:textId="77777777" w:rsidR="00F844C2" w:rsidRPr="00A52971" w:rsidRDefault="00F844C2" w:rsidP="00507C6F"/>
        </w:tc>
      </w:tr>
    </w:tbl>
    <w:p w14:paraId="6B707919" w14:textId="77777777" w:rsidR="00F844C2" w:rsidRDefault="00F844C2" w:rsidP="00F844C2">
      <w:pPr>
        <w:jc w:val="both"/>
        <w:rPr>
          <w:b/>
        </w:rPr>
      </w:pPr>
    </w:p>
    <w:p w14:paraId="54E2A227" w14:textId="77777777" w:rsidR="00F844C2" w:rsidRDefault="00F844C2" w:rsidP="00F844C2">
      <w:pPr>
        <w:jc w:val="both"/>
        <w:rPr>
          <w:rFonts w:ascii="Arial Narrow" w:hAnsi="Arial Narrow"/>
          <w:b/>
        </w:rPr>
      </w:pPr>
    </w:p>
    <w:p w14:paraId="15738591" w14:textId="77777777" w:rsidR="00F844C2" w:rsidRPr="007830D7" w:rsidRDefault="00F844C2" w:rsidP="00F844C2">
      <w:pPr>
        <w:jc w:val="both"/>
        <w:rPr>
          <w:rFonts w:ascii="Arial Narrow" w:hAnsi="Arial Narrow"/>
          <w:b/>
        </w:rPr>
      </w:pPr>
      <w:r w:rsidRPr="007830D7">
        <w:rPr>
          <w:rFonts w:ascii="Arial Narrow" w:hAnsi="Arial Narrow"/>
          <w:b/>
        </w:rPr>
        <w:t>Ceny jsou uvedeny v Kč a jsou stanoveny jako maximální.</w:t>
      </w:r>
    </w:p>
    <w:p w14:paraId="0BD7C586" w14:textId="77777777" w:rsidR="00F844C2" w:rsidRPr="007830D7" w:rsidRDefault="00F844C2" w:rsidP="00F844C2">
      <w:pPr>
        <w:jc w:val="both"/>
        <w:rPr>
          <w:rFonts w:ascii="Arial Narrow" w:hAnsi="Arial Narrow"/>
          <w:b/>
        </w:rPr>
      </w:pPr>
    </w:p>
    <w:p w14:paraId="6FC161D8" w14:textId="77777777" w:rsidR="00F844C2" w:rsidRDefault="00F844C2" w:rsidP="00F844C2">
      <w:pPr>
        <w:jc w:val="both"/>
        <w:rPr>
          <w:rFonts w:ascii="Arial Narrow" w:hAnsi="Arial Narrow"/>
        </w:rPr>
      </w:pPr>
      <w:r w:rsidRPr="007830D7">
        <w:rPr>
          <w:rFonts w:ascii="Arial Narrow" w:hAnsi="Arial Narrow"/>
        </w:rPr>
        <w:t xml:space="preserve">Cena za </w:t>
      </w:r>
      <w:r>
        <w:rPr>
          <w:rFonts w:ascii="Arial Narrow" w:hAnsi="Arial Narrow"/>
        </w:rPr>
        <w:t>kompletní dodávku</w:t>
      </w:r>
      <w:r w:rsidRPr="007830D7">
        <w:rPr>
          <w:rFonts w:ascii="Arial Narrow" w:hAnsi="Arial Narrow"/>
        </w:rPr>
        <w:t xml:space="preserve"> </w:t>
      </w:r>
      <w:r>
        <w:rPr>
          <w:rFonts w:ascii="Arial Narrow" w:hAnsi="Arial Narrow"/>
        </w:rPr>
        <w:t xml:space="preserve">kombinovaného analyzátoru předního segmentu oka a přístroje pro diagnostiku suchého oka </w:t>
      </w:r>
      <w:r w:rsidRPr="007830D7">
        <w:rPr>
          <w:rFonts w:ascii="Arial Narrow" w:hAnsi="Arial Narrow"/>
        </w:rPr>
        <w:t xml:space="preserve">s příslušenstvím činí </w:t>
      </w:r>
      <w:r>
        <w:rPr>
          <w:rFonts w:ascii="Arial Narrow" w:hAnsi="Arial Narrow"/>
          <w:b/>
        </w:rPr>
        <w:t>1 657 000,</w:t>
      </w:r>
      <w:proofErr w:type="gramStart"/>
      <w:r>
        <w:rPr>
          <w:rFonts w:ascii="Arial Narrow" w:hAnsi="Arial Narrow"/>
          <w:b/>
        </w:rPr>
        <w:t>00</w:t>
      </w:r>
      <w:r w:rsidRPr="007830D7">
        <w:rPr>
          <w:rFonts w:ascii="Arial Narrow" w:hAnsi="Arial Narrow"/>
          <w:b/>
        </w:rPr>
        <w:t xml:space="preserve">  Kč</w:t>
      </w:r>
      <w:proofErr w:type="gramEnd"/>
      <w:r w:rsidRPr="007830D7">
        <w:rPr>
          <w:rFonts w:ascii="Arial Narrow" w:hAnsi="Arial Narrow"/>
          <w:b/>
        </w:rPr>
        <w:t xml:space="preserve"> bez DPH ,  </w:t>
      </w:r>
      <w:r>
        <w:rPr>
          <w:rFonts w:ascii="Arial Narrow" w:hAnsi="Arial Narrow"/>
          <w:b/>
        </w:rPr>
        <w:t xml:space="preserve">2 004 970,00 </w:t>
      </w:r>
      <w:r w:rsidRPr="007830D7">
        <w:rPr>
          <w:rFonts w:ascii="Arial Narrow" w:hAnsi="Arial Narrow"/>
          <w:b/>
        </w:rPr>
        <w:t>Kč</w:t>
      </w:r>
      <w:r w:rsidRPr="007830D7">
        <w:rPr>
          <w:rFonts w:ascii="Arial Narrow" w:hAnsi="Arial Narrow"/>
        </w:rPr>
        <w:t xml:space="preserve"> </w:t>
      </w:r>
      <w:r w:rsidRPr="007830D7">
        <w:rPr>
          <w:rFonts w:ascii="Arial Narrow" w:hAnsi="Arial Narrow"/>
          <w:b/>
        </w:rPr>
        <w:t>vč. DPH</w:t>
      </w:r>
      <w:r w:rsidRPr="007830D7">
        <w:rPr>
          <w:rFonts w:ascii="Arial Narrow" w:hAnsi="Arial Narrow"/>
        </w:rPr>
        <w:t xml:space="preserve"> a zahrnuje dopravu na místo plnění, instalaci a zaškolení obsluhujícího personálu. </w:t>
      </w:r>
    </w:p>
    <w:p w14:paraId="68D39633" w14:textId="77777777" w:rsidR="00F844C2" w:rsidRDefault="00F844C2" w:rsidP="00F844C2">
      <w:pPr>
        <w:jc w:val="both"/>
        <w:rPr>
          <w:rFonts w:ascii="Arial Narrow" w:hAnsi="Arial Narrow"/>
        </w:rPr>
      </w:pPr>
    </w:p>
    <w:p w14:paraId="183610C0" w14:textId="77777777" w:rsidR="00F844C2" w:rsidRDefault="00F844C2" w:rsidP="00F844C2">
      <w:pPr>
        <w:jc w:val="both"/>
        <w:rPr>
          <w:rFonts w:ascii="Arial Narrow" w:hAnsi="Arial Narrow"/>
        </w:rPr>
      </w:pPr>
    </w:p>
    <w:p w14:paraId="49580CAB" w14:textId="77777777" w:rsidR="00F844C2" w:rsidRPr="00861560" w:rsidRDefault="00F844C2" w:rsidP="00B40FDD">
      <w:pPr>
        <w:tabs>
          <w:tab w:val="left" w:pos="2520"/>
        </w:tabs>
        <w:spacing w:after="120" w:line="276" w:lineRule="auto"/>
        <w:ind w:left="425" w:hanging="425"/>
        <w:jc w:val="both"/>
        <w:rPr>
          <w:rFonts w:ascii="Tahoma" w:hAnsi="Tahoma" w:cs="Tahoma"/>
          <w:b/>
          <w:iCs/>
          <w:sz w:val="20"/>
          <w:szCs w:val="22"/>
          <w:u w:val="single"/>
        </w:rPr>
      </w:pPr>
    </w:p>
    <w:sectPr w:rsidR="00F844C2" w:rsidRPr="00861560" w:rsidSect="00D83A06">
      <w:footerReference w:type="even" r:id="rId9"/>
      <w:footerReference w:type="default" r:id="rId10"/>
      <w:headerReference w:type="first" r:id="rId11"/>
      <w:footerReference w:type="first" r:id="rId12"/>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BCFD6" w14:textId="77777777" w:rsidR="009F57CF" w:rsidRDefault="009F57CF">
      <w:r>
        <w:separator/>
      </w:r>
    </w:p>
    <w:p w14:paraId="025119DD" w14:textId="77777777" w:rsidR="009F57CF" w:rsidRDefault="009F57CF"/>
  </w:endnote>
  <w:endnote w:type="continuationSeparator" w:id="0">
    <w:p w14:paraId="21F081C1" w14:textId="77777777" w:rsidR="009F57CF" w:rsidRDefault="009F57CF">
      <w:r>
        <w:continuationSeparator/>
      </w:r>
    </w:p>
    <w:p w14:paraId="22AE96D1" w14:textId="77777777" w:rsidR="009F57CF" w:rsidRDefault="009F57CF"/>
    <w:p w14:paraId="1EDC9144" w14:textId="77777777" w:rsidR="009F57CF" w:rsidRDefault="009F57CF">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AD26FA">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EB5787">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EB5787">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606CD6BE"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Pr>
        <w:rFonts w:ascii="Verdana" w:hAnsi="Verdana"/>
        <w:sz w:val="18"/>
        <w:szCs w:val="18"/>
      </w:rPr>
      <w:t>4</w:t>
    </w:r>
    <w:r w:rsidRPr="005C4047">
      <w:rPr>
        <w:rFonts w:ascii="Verdana" w:hAnsi="Verdana"/>
        <w:sz w:val="18"/>
        <w:szCs w:val="18"/>
      </w:rPr>
      <w:t>/</w:t>
    </w:r>
    <w:r w:rsidR="0078735D">
      <w:rPr>
        <w:rFonts w:ascii="Verdana" w:hAnsi="Verdana"/>
        <w:sz w:val="18"/>
        <w:szCs w:val="18"/>
      </w:rPr>
      <w:t>4</w:t>
    </w:r>
    <w:r w:rsidR="006E7007">
      <w:rPr>
        <w:rFonts w:ascii="Verdana" w:hAnsi="Verdana"/>
        <w:sz w:val="18"/>
        <w:szCs w:val="18"/>
      </w:rPr>
      <w:t>5</w:t>
    </w:r>
    <w:r>
      <w:rPr>
        <w:rFonts w:ascii="Verdana" w:hAnsi="Verdana"/>
        <w:sz w:val="18"/>
        <w:szCs w:val="18"/>
      </w:rPr>
      <w:t>/</w:t>
    </w:r>
    <w:r w:rsidR="006E7007">
      <w:rPr>
        <w:rFonts w:ascii="Verdana" w:hAnsi="Verdana"/>
        <w:sz w:val="18"/>
        <w:szCs w:val="18"/>
      </w:rPr>
      <w:t>analyzátor-oční</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AD26FA">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EB5787">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7F9BC" w14:textId="77777777" w:rsidR="009F57CF" w:rsidRDefault="009F57CF">
      <w:r>
        <w:separator/>
      </w:r>
    </w:p>
    <w:p w14:paraId="0DA494D7" w14:textId="77777777" w:rsidR="009F57CF" w:rsidRDefault="009F57CF"/>
  </w:footnote>
  <w:footnote w:type="continuationSeparator" w:id="0">
    <w:p w14:paraId="495CB298" w14:textId="77777777" w:rsidR="009F57CF" w:rsidRDefault="009F57CF">
      <w:r>
        <w:continuationSeparator/>
      </w:r>
    </w:p>
    <w:p w14:paraId="043C44C5" w14:textId="77777777" w:rsidR="009F57CF" w:rsidRDefault="009F5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3"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4"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7"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1"/>
  </w:num>
  <w:num w:numId="2">
    <w:abstractNumId w:val="14"/>
  </w:num>
  <w:num w:numId="3">
    <w:abstractNumId w:val="42"/>
  </w:num>
  <w:num w:numId="4">
    <w:abstractNumId w:val="7"/>
  </w:num>
  <w:num w:numId="5">
    <w:abstractNumId w:val="16"/>
  </w:num>
  <w:num w:numId="6">
    <w:abstractNumId w:val="30"/>
  </w:num>
  <w:num w:numId="7">
    <w:abstractNumId w:val="33"/>
  </w:num>
  <w:num w:numId="8">
    <w:abstractNumId w:val="9"/>
  </w:num>
  <w:num w:numId="9">
    <w:abstractNumId w:val="20"/>
  </w:num>
  <w:num w:numId="10">
    <w:abstractNumId w:val="35"/>
  </w:num>
  <w:num w:numId="11">
    <w:abstractNumId w:val="18"/>
  </w:num>
  <w:num w:numId="12">
    <w:abstractNumId w:val="40"/>
  </w:num>
  <w:num w:numId="13">
    <w:abstractNumId w:val="46"/>
  </w:num>
  <w:num w:numId="14">
    <w:abstractNumId w:val="36"/>
  </w:num>
  <w:num w:numId="15">
    <w:abstractNumId w:val="45"/>
  </w:num>
  <w:num w:numId="16">
    <w:abstractNumId w:val="15"/>
  </w:num>
  <w:num w:numId="17">
    <w:abstractNumId w:val="29"/>
  </w:num>
  <w:num w:numId="18">
    <w:abstractNumId w:val="17"/>
  </w:num>
  <w:num w:numId="19">
    <w:abstractNumId w:val="19"/>
  </w:num>
  <w:num w:numId="20">
    <w:abstractNumId w:val="34"/>
  </w:num>
  <w:num w:numId="21">
    <w:abstractNumId w:val="0"/>
  </w:num>
  <w:num w:numId="22">
    <w:abstractNumId w:val="48"/>
  </w:num>
  <w:num w:numId="23">
    <w:abstractNumId w:val="8"/>
  </w:num>
  <w:num w:numId="24">
    <w:abstractNumId w:val="25"/>
  </w:num>
  <w:num w:numId="25">
    <w:abstractNumId w:val="13"/>
  </w:num>
  <w:num w:numId="26">
    <w:abstractNumId w:val="23"/>
  </w:num>
  <w:num w:numId="27">
    <w:abstractNumId w:val="44"/>
  </w:num>
  <w:num w:numId="28">
    <w:abstractNumId w:val="11"/>
  </w:num>
  <w:num w:numId="29">
    <w:abstractNumId w:val="47"/>
  </w:num>
  <w:num w:numId="30">
    <w:abstractNumId w:val="10"/>
  </w:num>
  <w:num w:numId="31">
    <w:abstractNumId w:val="12"/>
  </w:num>
  <w:num w:numId="32">
    <w:abstractNumId w:val="6"/>
  </w:num>
  <w:num w:numId="33">
    <w:abstractNumId w:val="5"/>
  </w:num>
  <w:num w:numId="34">
    <w:abstractNumId w:val="37"/>
  </w:num>
  <w:num w:numId="35">
    <w:abstractNumId w:val="22"/>
  </w:num>
  <w:num w:numId="36">
    <w:abstractNumId w:val="4"/>
  </w:num>
  <w:num w:numId="37">
    <w:abstractNumId w:val="24"/>
  </w:num>
  <w:num w:numId="38">
    <w:abstractNumId w:val="31"/>
  </w:num>
  <w:num w:numId="39">
    <w:abstractNumId w:val="39"/>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 w:numId="44">
    <w:abstractNumId w:val="2"/>
  </w:num>
  <w:num w:numId="45">
    <w:abstractNumId w:val="28"/>
  </w:num>
  <w:num w:numId="46">
    <w:abstractNumId w:val="2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41"/>
  </w:num>
  <w:num w:numId="54">
    <w:abstractNumId w:val="32"/>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C5D35"/>
    <w:rsid w:val="000D162B"/>
    <w:rsid w:val="000D182D"/>
    <w:rsid w:val="000D694E"/>
    <w:rsid w:val="000E1DEB"/>
    <w:rsid w:val="000E22E3"/>
    <w:rsid w:val="000E5A82"/>
    <w:rsid w:val="000F34B6"/>
    <w:rsid w:val="000F4834"/>
    <w:rsid w:val="0010081C"/>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380"/>
    <w:rsid w:val="00174DB9"/>
    <w:rsid w:val="0018468B"/>
    <w:rsid w:val="0018604C"/>
    <w:rsid w:val="001920C4"/>
    <w:rsid w:val="0019224F"/>
    <w:rsid w:val="00193687"/>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709B"/>
    <w:rsid w:val="002B7EB6"/>
    <w:rsid w:val="002C6565"/>
    <w:rsid w:val="002D0B46"/>
    <w:rsid w:val="002D2CAA"/>
    <w:rsid w:val="002D4BDB"/>
    <w:rsid w:val="002D624A"/>
    <w:rsid w:val="002E0B81"/>
    <w:rsid w:val="002E14F5"/>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235E"/>
    <w:rsid w:val="003337D2"/>
    <w:rsid w:val="00333E8F"/>
    <w:rsid w:val="00333F2F"/>
    <w:rsid w:val="003340EC"/>
    <w:rsid w:val="00337A26"/>
    <w:rsid w:val="00340EAC"/>
    <w:rsid w:val="003413DF"/>
    <w:rsid w:val="003436BC"/>
    <w:rsid w:val="003441F4"/>
    <w:rsid w:val="0034429F"/>
    <w:rsid w:val="0034498A"/>
    <w:rsid w:val="00350B77"/>
    <w:rsid w:val="00351FE6"/>
    <w:rsid w:val="00352218"/>
    <w:rsid w:val="00356DDE"/>
    <w:rsid w:val="0035756E"/>
    <w:rsid w:val="00370920"/>
    <w:rsid w:val="00377951"/>
    <w:rsid w:val="00384B6B"/>
    <w:rsid w:val="003871B7"/>
    <w:rsid w:val="00390A2D"/>
    <w:rsid w:val="00392100"/>
    <w:rsid w:val="00392D02"/>
    <w:rsid w:val="00395F66"/>
    <w:rsid w:val="003970A3"/>
    <w:rsid w:val="00397257"/>
    <w:rsid w:val="003A2614"/>
    <w:rsid w:val="003A4493"/>
    <w:rsid w:val="003A45A9"/>
    <w:rsid w:val="003B05B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0A86"/>
    <w:rsid w:val="004126D5"/>
    <w:rsid w:val="00414C09"/>
    <w:rsid w:val="00416ECD"/>
    <w:rsid w:val="00420EF8"/>
    <w:rsid w:val="004235DC"/>
    <w:rsid w:val="00427FA8"/>
    <w:rsid w:val="00430395"/>
    <w:rsid w:val="00433818"/>
    <w:rsid w:val="00437729"/>
    <w:rsid w:val="0044222C"/>
    <w:rsid w:val="004437E9"/>
    <w:rsid w:val="00446C53"/>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0BAD"/>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222"/>
    <w:rsid w:val="0053094A"/>
    <w:rsid w:val="00532BD2"/>
    <w:rsid w:val="005413C4"/>
    <w:rsid w:val="00542288"/>
    <w:rsid w:val="00543C96"/>
    <w:rsid w:val="0054698F"/>
    <w:rsid w:val="005471D6"/>
    <w:rsid w:val="0055279E"/>
    <w:rsid w:val="005540F9"/>
    <w:rsid w:val="0055449E"/>
    <w:rsid w:val="00566FE9"/>
    <w:rsid w:val="005706E1"/>
    <w:rsid w:val="00581103"/>
    <w:rsid w:val="00583D21"/>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723F9"/>
    <w:rsid w:val="00672575"/>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7007"/>
    <w:rsid w:val="006F2DAE"/>
    <w:rsid w:val="006F356D"/>
    <w:rsid w:val="006F3D21"/>
    <w:rsid w:val="006F55E0"/>
    <w:rsid w:val="006F5C2F"/>
    <w:rsid w:val="00705BC6"/>
    <w:rsid w:val="00705F68"/>
    <w:rsid w:val="007107F4"/>
    <w:rsid w:val="00716BEA"/>
    <w:rsid w:val="00717161"/>
    <w:rsid w:val="0072442F"/>
    <w:rsid w:val="0072508C"/>
    <w:rsid w:val="00725172"/>
    <w:rsid w:val="00727E30"/>
    <w:rsid w:val="007304AB"/>
    <w:rsid w:val="00731933"/>
    <w:rsid w:val="00732411"/>
    <w:rsid w:val="00733057"/>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8735D"/>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0E99"/>
    <w:rsid w:val="0081197D"/>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4C01"/>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063"/>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57CF"/>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DB2"/>
    <w:rsid w:val="00A83AE6"/>
    <w:rsid w:val="00A84162"/>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6FA"/>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4200"/>
    <w:rsid w:val="00B45033"/>
    <w:rsid w:val="00B542F2"/>
    <w:rsid w:val="00B54AD2"/>
    <w:rsid w:val="00B55D88"/>
    <w:rsid w:val="00B563A8"/>
    <w:rsid w:val="00B56D7C"/>
    <w:rsid w:val="00B60673"/>
    <w:rsid w:val="00B6133F"/>
    <w:rsid w:val="00B61C73"/>
    <w:rsid w:val="00B63017"/>
    <w:rsid w:val="00B63C03"/>
    <w:rsid w:val="00B66E29"/>
    <w:rsid w:val="00B677D2"/>
    <w:rsid w:val="00B73E2B"/>
    <w:rsid w:val="00B7455C"/>
    <w:rsid w:val="00B805D4"/>
    <w:rsid w:val="00B8371E"/>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3BD1"/>
    <w:rsid w:val="00C5748B"/>
    <w:rsid w:val="00C64C98"/>
    <w:rsid w:val="00C6535E"/>
    <w:rsid w:val="00C67EEC"/>
    <w:rsid w:val="00C716C1"/>
    <w:rsid w:val="00C72894"/>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22E0"/>
    <w:rsid w:val="00CC683A"/>
    <w:rsid w:val="00CD398D"/>
    <w:rsid w:val="00CD5CB9"/>
    <w:rsid w:val="00CE4D87"/>
    <w:rsid w:val="00CE59D2"/>
    <w:rsid w:val="00CF0897"/>
    <w:rsid w:val="00D00004"/>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266E"/>
    <w:rsid w:val="00D9509E"/>
    <w:rsid w:val="00D960B0"/>
    <w:rsid w:val="00D97F29"/>
    <w:rsid w:val="00DA1EA5"/>
    <w:rsid w:val="00DA29FB"/>
    <w:rsid w:val="00DA3255"/>
    <w:rsid w:val="00DA333E"/>
    <w:rsid w:val="00DA38BE"/>
    <w:rsid w:val="00DA403F"/>
    <w:rsid w:val="00DA6F05"/>
    <w:rsid w:val="00DA6FE2"/>
    <w:rsid w:val="00DB3D19"/>
    <w:rsid w:val="00DB69A9"/>
    <w:rsid w:val="00DC4378"/>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17BF5"/>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657C"/>
    <w:rsid w:val="00EA70E9"/>
    <w:rsid w:val="00EB2440"/>
    <w:rsid w:val="00EB5787"/>
    <w:rsid w:val="00EB5B24"/>
    <w:rsid w:val="00EB72C0"/>
    <w:rsid w:val="00EC2082"/>
    <w:rsid w:val="00EC2F17"/>
    <w:rsid w:val="00EC34E4"/>
    <w:rsid w:val="00EC3640"/>
    <w:rsid w:val="00EC466D"/>
    <w:rsid w:val="00EC49AB"/>
    <w:rsid w:val="00EC73D9"/>
    <w:rsid w:val="00ED04D6"/>
    <w:rsid w:val="00ED0F9F"/>
    <w:rsid w:val="00ED39A6"/>
    <w:rsid w:val="00ED4184"/>
    <w:rsid w:val="00ED5F94"/>
    <w:rsid w:val="00ED606A"/>
    <w:rsid w:val="00ED6A27"/>
    <w:rsid w:val="00ED6F2A"/>
    <w:rsid w:val="00EE02C4"/>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50C30"/>
    <w:rsid w:val="00F514D6"/>
    <w:rsid w:val="00F57658"/>
    <w:rsid w:val="00F57C74"/>
    <w:rsid w:val="00F6007D"/>
    <w:rsid w:val="00F609E4"/>
    <w:rsid w:val="00F637E8"/>
    <w:rsid w:val="00F6515B"/>
    <w:rsid w:val="00F65D8D"/>
    <w:rsid w:val="00F81D8E"/>
    <w:rsid w:val="00F82BEA"/>
    <w:rsid w:val="00F844C2"/>
    <w:rsid w:val="00F85064"/>
    <w:rsid w:val="00F90C11"/>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15:docId w15:val="{A68DF145-40B1-4BD4-B81E-93A2DCC1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 w:type="character" w:customStyle="1" w:styleId="Nevyeenzmnka1">
    <w:name w:val="Nevyřešená zmínka1"/>
    <w:basedOn w:val="Standardnpsmoodstavce"/>
    <w:uiPriority w:val="99"/>
    <w:semiHidden/>
    <w:unhideWhenUsed/>
    <w:rsid w:val="002E1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1DFBC-CFC3-4B32-86A2-0E520691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4434</Words>
  <Characters>26167</Characters>
  <Application>Microsoft Office Word</Application>
  <DocSecurity>4</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2024-09-26T09:20:00Z</cp:lastPrinted>
  <dcterms:created xsi:type="dcterms:W3CDTF">2024-10-18T08:01:00Z</dcterms:created>
  <dcterms:modified xsi:type="dcterms:W3CDTF">2024-10-18T08:01:00Z</dcterms:modified>
</cp:coreProperties>
</file>