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E17FF1" w:rsidRPr="00843947" w:rsidRDefault="00E17FF1" w:rsidP="00E17FF1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843947">
        <w:rPr>
          <w:rFonts w:ascii="Arial" w:hAnsi="Arial" w:cs="Arial"/>
          <w:sz w:val="20"/>
          <w:szCs w:val="20"/>
        </w:rPr>
        <w:t xml:space="preserve">uzavřená dle zákona č. 89/2012 Sb., občanského zákoníku </w:t>
      </w:r>
      <w:r w:rsidRPr="005F7A99">
        <w:rPr>
          <w:rFonts w:ascii="Arial" w:hAnsi="Arial" w:cs="Arial"/>
          <w:i/>
          <w:sz w:val="20"/>
          <w:szCs w:val="20"/>
        </w:rPr>
        <w:t xml:space="preserve">(dále jen </w:t>
      </w:r>
      <w:r>
        <w:rPr>
          <w:rFonts w:ascii="Arial" w:hAnsi="Arial" w:cs="Arial"/>
          <w:i/>
          <w:sz w:val="20"/>
          <w:szCs w:val="20"/>
        </w:rPr>
        <w:t>OZ</w:t>
      </w:r>
      <w:r w:rsidRPr="005F7A99">
        <w:rPr>
          <w:rFonts w:ascii="Arial" w:hAnsi="Arial" w:cs="Arial"/>
          <w:i/>
          <w:sz w:val="20"/>
          <w:szCs w:val="20"/>
        </w:rPr>
        <w:t>)</w:t>
      </w:r>
    </w:p>
    <w:p w:rsidR="00065A88" w:rsidRPr="00372CDE" w:rsidRDefault="00065A88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6945FE" w:rsidRDefault="006945FE" w:rsidP="00963A45">
      <w:pPr>
        <w:spacing w:line="360" w:lineRule="auto"/>
        <w:ind w:firstLine="426"/>
        <w:rPr>
          <w:b/>
          <w:bCs/>
          <w:sz w:val="22"/>
          <w:szCs w:val="22"/>
        </w:rPr>
      </w:pPr>
    </w:p>
    <w:p w:rsidR="008245D1" w:rsidRDefault="008245D1" w:rsidP="008245D1">
      <w:pPr>
        <w:pStyle w:val="Default"/>
      </w:pPr>
    </w:p>
    <w:p w:rsidR="008245D1" w:rsidRDefault="008245D1" w:rsidP="008245D1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CROY s.r.o. </w:t>
      </w:r>
    </w:p>
    <w:p w:rsidR="008245D1" w:rsidRDefault="008245D1" w:rsidP="008245D1">
      <w:pPr>
        <w:pStyle w:val="Default"/>
        <w:rPr>
          <w:sz w:val="22"/>
          <w:szCs w:val="22"/>
        </w:rPr>
      </w:pP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Plzeňská 2599, 269 01 Rakovník 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451 47 647 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CZ45147647 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zápis v 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 MS v Praze, spis. zn. C 9201 </w:t>
      </w:r>
    </w:p>
    <w:p w:rsidR="008245D1" w:rsidRDefault="008245D1" w:rsidP="008245D1">
      <w:pPr>
        <w:pStyle w:val="Default"/>
        <w:ind w:firstLine="709"/>
        <w:rPr>
          <w:sz w:val="22"/>
          <w:szCs w:val="22"/>
        </w:rPr>
      </w:pPr>
      <w:r>
        <w:rPr>
          <w:sz w:val="22"/>
          <w:szCs w:val="22"/>
        </w:rPr>
        <w:t>zastoupena: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Ladislavem Vybíralem, jednatelem </w:t>
      </w:r>
    </w:p>
    <w:p w:rsidR="008245D1" w:rsidRDefault="008245D1" w:rsidP="008245D1">
      <w:pPr>
        <w:ind w:left="426"/>
        <w:rPr>
          <w:sz w:val="22"/>
          <w:szCs w:val="22"/>
        </w:rPr>
      </w:pPr>
    </w:p>
    <w:p w:rsidR="00963A45" w:rsidRPr="007A4CDF" w:rsidRDefault="008245D1" w:rsidP="008245D1">
      <w:pPr>
        <w:ind w:left="42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prodávající</w:t>
      </w:r>
      <w:r>
        <w:rPr>
          <w:sz w:val="22"/>
          <w:szCs w:val="22"/>
        </w:rPr>
        <w:t>“)</w:t>
      </w: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2D08F9">
        <w:rPr>
          <w:sz w:val="22"/>
          <w:szCs w:val="22"/>
        </w:rPr>
        <w:t>Ing</w:t>
      </w:r>
      <w:r w:rsidR="006945FE">
        <w:rPr>
          <w:sz w:val="22"/>
          <w:szCs w:val="22"/>
        </w:rPr>
        <w:t xml:space="preserve">. Martinem </w:t>
      </w:r>
      <w:proofErr w:type="spellStart"/>
      <w:r w:rsidR="006945FE">
        <w:rPr>
          <w:sz w:val="22"/>
          <w:szCs w:val="22"/>
        </w:rPr>
        <w:t>Leichterem</w:t>
      </w:r>
      <w:proofErr w:type="spellEnd"/>
      <w:r w:rsidR="006945FE">
        <w:rPr>
          <w:sz w:val="22"/>
          <w:szCs w:val="22"/>
        </w:rPr>
        <w:t>, MBA, předsedou</w:t>
      </w:r>
      <w:r w:rsidR="00FC362D">
        <w:rPr>
          <w:sz w:val="22"/>
          <w:szCs w:val="22"/>
        </w:rPr>
        <w:t xml:space="preserve"> představenstva</w:t>
      </w:r>
      <w:r>
        <w:rPr>
          <w:sz w:val="22"/>
          <w:szCs w:val="22"/>
        </w:rPr>
        <w:t xml:space="preserve"> a</w:t>
      </w:r>
    </w:p>
    <w:p w:rsidR="003E5D65" w:rsidRDefault="002D08F9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BB52F5">
        <w:rPr>
          <w:sz w:val="22"/>
          <w:szCs w:val="22"/>
        </w:rPr>
        <w:t>Pavlem Raškou, členem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5470F" w:rsidRDefault="0035470F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3E5D65" w:rsidRPr="0035470F" w:rsidRDefault="003E5D65" w:rsidP="003E5D65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zakázku s názvem </w:t>
      </w:r>
      <w:r w:rsidR="0035470F">
        <w:rPr>
          <w:sz w:val="22"/>
          <w:szCs w:val="22"/>
        </w:rPr>
        <w:br/>
      </w:r>
      <w:r w:rsidR="0035470F">
        <w:rPr>
          <w:b/>
          <w:sz w:val="22"/>
          <w:szCs w:val="22"/>
        </w:rPr>
        <w:t xml:space="preserve">Dodávka </w:t>
      </w:r>
      <w:r w:rsidR="00040488">
        <w:rPr>
          <w:b/>
          <w:sz w:val="22"/>
          <w:szCs w:val="22"/>
        </w:rPr>
        <w:t xml:space="preserve">automatické sypací </w:t>
      </w:r>
      <w:r w:rsidR="0035470F">
        <w:rPr>
          <w:b/>
          <w:sz w:val="22"/>
          <w:szCs w:val="22"/>
        </w:rPr>
        <w:t>nástav</w:t>
      </w:r>
      <w:r w:rsidR="00040488">
        <w:rPr>
          <w:b/>
          <w:sz w:val="22"/>
          <w:szCs w:val="22"/>
        </w:rPr>
        <w:t>by</w:t>
      </w:r>
      <w:r w:rsidR="0035470F">
        <w:rPr>
          <w:b/>
          <w:sz w:val="22"/>
          <w:szCs w:val="22"/>
        </w:rPr>
        <w:t xml:space="preserve"> </w:t>
      </w:r>
      <w:r w:rsidR="0035470F" w:rsidRPr="0035470F">
        <w:rPr>
          <w:sz w:val="22"/>
          <w:szCs w:val="22"/>
        </w:rPr>
        <w:t>za</w:t>
      </w:r>
      <w:r w:rsidR="00E003BC" w:rsidRPr="00E003BC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potvrzení skutečnosti,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C54950">
      <w:pPr>
        <w:pStyle w:val="Odstavecseseznamem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45360D" w:rsidRDefault="003E5D65" w:rsidP="00C54950">
      <w:pPr>
        <w:pStyle w:val="Odstavecseseznamem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45360D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C54950">
      <w:pPr>
        <w:pStyle w:val="Odstavecseseznamem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5470F" w:rsidRPr="00EB6D33" w:rsidRDefault="003E5D65" w:rsidP="0035470F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5470F" w:rsidRDefault="003E5D65" w:rsidP="0035470F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Předmětem této smlouvy je závazek prodávajícího dodat kupujícímu a převést na kupujícího vlastnické právo </w:t>
      </w:r>
      <w:r w:rsidR="00037A90" w:rsidRPr="00037A90">
        <w:rPr>
          <w:b/>
          <w:sz w:val="22"/>
          <w:szCs w:val="22"/>
        </w:rPr>
        <w:t>k</w:t>
      </w:r>
      <w:r w:rsidR="00040488">
        <w:rPr>
          <w:b/>
          <w:sz w:val="22"/>
          <w:szCs w:val="22"/>
        </w:rPr>
        <w:t> automatické sypací nástavbě</w:t>
      </w:r>
      <w:r w:rsidR="007C3FBE" w:rsidRPr="006E3593">
        <w:rPr>
          <w:b/>
          <w:sz w:val="22"/>
          <w:szCs w:val="22"/>
        </w:rPr>
        <w:t xml:space="preserve"> </w:t>
      </w:r>
      <w:r w:rsidR="00B65EF0">
        <w:rPr>
          <w:b/>
          <w:bCs w:val="0"/>
          <w:sz w:val="22"/>
          <w:szCs w:val="22"/>
        </w:rPr>
        <w:t xml:space="preserve">Schmidt </w:t>
      </w:r>
      <w:proofErr w:type="spellStart"/>
      <w:r w:rsidR="00B65EF0">
        <w:rPr>
          <w:b/>
          <w:bCs w:val="0"/>
          <w:sz w:val="22"/>
          <w:szCs w:val="22"/>
        </w:rPr>
        <w:t>Stratos</w:t>
      </w:r>
      <w:proofErr w:type="spellEnd"/>
      <w:r w:rsidR="00B65EF0">
        <w:rPr>
          <w:b/>
          <w:bCs w:val="0"/>
          <w:sz w:val="22"/>
          <w:szCs w:val="22"/>
        </w:rPr>
        <w:t xml:space="preserve"> 50-36 VESN </w:t>
      </w:r>
      <w:r w:rsidR="00000D22">
        <w:rPr>
          <w:sz w:val="22"/>
          <w:szCs w:val="22"/>
        </w:rPr>
        <w:t>(dále jen „</w:t>
      </w:r>
      <w:r w:rsidRPr="003E5D65">
        <w:rPr>
          <w:b/>
          <w:i/>
          <w:sz w:val="22"/>
          <w:szCs w:val="22"/>
        </w:rPr>
        <w:t>zboží</w:t>
      </w:r>
      <w:r w:rsidR="007C3FBE">
        <w:rPr>
          <w:sz w:val="22"/>
          <w:szCs w:val="22"/>
        </w:rPr>
        <w:t>“), kter</w:t>
      </w:r>
      <w:r w:rsidR="00CF2A6C">
        <w:rPr>
          <w:sz w:val="22"/>
          <w:szCs w:val="22"/>
        </w:rPr>
        <w:t>ý</w:t>
      </w:r>
      <w:r w:rsidR="007C3FBE">
        <w:rPr>
          <w:sz w:val="22"/>
          <w:szCs w:val="22"/>
        </w:rPr>
        <w:t xml:space="preserve"> byl objednán</w:t>
      </w:r>
      <w:r w:rsidR="00000D22">
        <w:rPr>
          <w:sz w:val="22"/>
          <w:szCs w:val="22"/>
        </w:rPr>
        <w:t xml:space="preserve"> na základě krycího listu, je</w:t>
      </w:r>
      <w:r w:rsidR="00DC1C64">
        <w:rPr>
          <w:sz w:val="22"/>
          <w:szCs w:val="22"/>
        </w:rPr>
        <w:t>n</w:t>
      </w:r>
      <w:r w:rsidR="00000D22">
        <w:rPr>
          <w:sz w:val="22"/>
          <w:szCs w:val="22"/>
        </w:rPr>
        <w:t xml:space="preserve">ž tvoří Přílohu č. </w:t>
      </w:r>
      <w:r w:rsidR="00B517DE">
        <w:rPr>
          <w:sz w:val="22"/>
          <w:szCs w:val="22"/>
        </w:rPr>
        <w:t>2</w:t>
      </w:r>
      <w:r w:rsidR="00000D22">
        <w:rPr>
          <w:sz w:val="22"/>
          <w:szCs w:val="22"/>
        </w:rPr>
        <w:t xml:space="preserve"> této smlouvy (dále jen „krycí list“),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EB6D33" w:rsidRPr="00EB6D33" w:rsidRDefault="00EB6D33" w:rsidP="00EB6D33"/>
    <w:p w:rsidR="003E5D65" w:rsidRDefault="004A659B" w:rsidP="003E5D65">
      <w:pPr>
        <w:pStyle w:val="Nadpis1"/>
      </w:pPr>
      <w:r w:rsidRPr="004A659B">
        <w:t>Vlastnické právo</w:t>
      </w:r>
    </w:p>
    <w:p w:rsidR="0035470F" w:rsidRDefault="003E5D65" w:rsidP="0035470F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316182">
        <w:rPr>
          <w:sz w:val="22"/>
          <w:szCs w:val="22"/>
        </w:rPr>
        <w:t>za podmínek uvedených v čl. 7 odst. 7.3. a odst. 7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kupujícího i nebezpečí škody na zboží.</w:t>
      </w:r>
    </w:p>
    <w:p w:rsidR="00EB6D33" w:rsidRPr="00EB6D33" w:rsidRDefault="00EB6D33" w:rsidP="00EB6D33"/>
    <w:p w:rsidR="00963A45" w:rsidRPr="00037A90" w:rsidRDefault="00963A45" w:rsidP="00963A45">
      <w:pPr>
        <w:pStyle w:val="Nadpis1"/>
      </w:pPr>
      <w:r w:rsidRPr="007A4CDF">
        <w:t>Cena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963A45" w:rsidRDefault="003E5D65" w:rsidP="00963A4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na vývoji cen a kursových změnách.  </w:t>
      </w:r>
    </w:p>
    <w:p w:rsidR="008245D1" w:rsidRPr="008245D1" w:rsidRDefault="008245D1" w:rsidP="008245D1">
      <w:pPr>
        <w:ind w:left="709"/>
      </w:pPr>
      <w:r>
        <w:rPr>
          <w:sz w:val="22"/>
          <w:szCs w:val="22"/>
        </w:rPr>
        <w:t>Celková cena činí:</w:t>
      </w:r>
    </w:p>
    <w:p w:rsidR="008245D1" w:rsidRPr="008245D1" w:rsidRDefault="008245D1" w:rsidP="008245D1">
      <w:pPr>
        <w:ind w:firstLine="709"/>
        <w:jc w:val="right"/>
        <w:rPr>
          <w:sz w:val="22"/>
          <w:szCs w:val="22"/>
        </w:rPr>
      </w:pPr>
      <w:r w:rsidRPr="008245D1">
        <w:rPr>
          <w:sz w:val="22"/>
          <w:szCs w:val="22"/>
        </w:rPr>
        <w:t>1 172 600,- Kč bez DPH</w:t>
      </w:r>
    </w:p>
    <w:p w:rsidR="008245D1" w:rsidRPr="008245D1" w:rsidRDefault="008245D1" w:rsidP="008245D1">
      <w:pPr>
        <w:ind w:firstLine="709"/>
        <w:jc w:val="right"/>
        <w:rPr>
          <w:sz w:val="22"/>
          <w:szCs w:val="22"/>
        </w:rPr>
      </w:pPr>
      <w:r w:rsidRPr="008245D1">
        <w:rPr>
          <w:sz w:val="22"/>
          <w:szCs w:val="22"/>
        </w:rPr>
        <w:t>246 246,-Kč DPH</w:t>
      </w:r>
    </w:p>
    <w:p w:rsidR="00963A45" w:rsidRPr="003C3A16" w:rsidRDefault="008245D1" w:rsidP="008245D1">
      <w:pPr>
        <w:ind w:firstLine="709"/>
        <w:jc w:val="right"/>
        <w:rPr>
          <w:sz w:val="22"/>
          <w:szCs w:val="22"/>
        </w:rPr>
      </w:pPr>
      <w:r w:rsidRPr="008245D1">
        <w:rPr>
          <w:sz w:val="22"/>
          <w:szCs w:val="22"/>
        </w:rPr>
        <w:t>1 418 846,-Kč s DPH</w:t>
      </w:r>
    </w:p>
    <w:p w:rsidR="0035470F" w:rsidRDefault="003E5D65" w:rsidP="0035470F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EB6D33" w:rsidRPr="00EB6D33" w:rsidRDefault="00EB6D33" w:rsidP="00EB6D33"/>
    <w:p w:rsidR="003E5D65" w:rsidRDefault="00BA2A48" w:rsidP="003E5D65">
      <w:pPr>
        <w:pStyle w:val="Nadpis1"/>
      </w:pPr>
      <w:r>
        <w:t>Místo dodání</w:t>
      </w:r>
    </w:p>
    <w:p w:rsidR="0035470F" w:rsidRDefault="003E5D65" w:rsidP="0035470F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Předání zboží a zaškolení obsluhy se uskuteční </w:t>
      </w:r>
      <w:r w:rsidR="00F65C15">
        <w:rPr>
          <w:sz w:val="22"/>
          <w:szCs w:val="22"/>
        </w:rPr>
        <w:t>na adrese prodávají</w:t>
      </w:r>
      <w:r w:rsidR="00EB6D33">
        <w:rPr>
          <w:sz w:val="22"/>
          <w:szCs w:val="22"/>
        </w:rPr>
        <w:t>cí</w:t>
      </w:r>
      <w:r w:rsidR="00F65C15">
        <w:rPr>
          <w:sz w:val="22"/>
          <w:szCs w:val="22"/>
        </w:rPr>
        <w:t>ho</w:t>
      </w:r>
      <w:r w:rsidR="00B65EF0">
        <w:rPr>
          <w:sz w:val="22"/>
          <w:szCs w:val="22"/>
        </w:rPr>
        <w:t>:</w:t>
      </w:r>
    </w:p>
    <w:p w:rsidR="00B65EF0" w:rsidRPr="00B65EF0" w:rsidRDefault="00B771BB" w:rsidP="00B65EF0">
      <w:pPr>
        <w:ind w:left="709"/>
      </w:pPr>
      <w:proofErr w:type="spellStart"/>
      <w:r w:rsidRPr="00B771BB">
        <w:t>Croy</w:t>
      </w:r>
      <w:proofErr w:type="spellEnd"/>
      <w:r w:rsidRPr="00B771BB">
        <w:t>, s.r.o., Plzeňská 2599, 269 01 Rakovník</w:t>
      </w:r>
    </w:p>
    <w:p w:rsidR="00EB6D33" w:rsidRPr="00EB6D33" w:rsidRDefault="00EB6D33" w:rsidP="00EB6D33"/>
    <w:p w:rsidR="00BB5067" w:rsidRPr="001F7550" w:rsidRDefault="00BB5067" w:rsidP="00BB5067">
      <w:pPr>
        <w:pStyle w:val="Nadpis1"/>
      </w:pPr>
      <w:r w:rsidRPr="00926656">
        <w:lastRenderedPageBreak/>
        <w:t>Termín dodání a převzetí zboží</w:t>
      </w:r>
    </w:p>
    <w:p w:rsidR="0035470F" w:rsidRPr="00B6728B" w:rsidRDefault="00BB5067" w:rsidP="00B6728B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bCs w:val="0"/>
          <w:sz w:val="22"/>
          <w:szCs w:val="22"/>
        </w:rPr>
        <w:t>7.1.</w:t>
      </w:r>
      <w:r w:rsidR="001F7550">
        <w:rPr>
          <w:bCs w:val="0"/>
          <w:sz w:val="22"/>
          <w:szCs w:val="22"/>
        </w:rPr>
        <w:tab/>
      </w:r>
      <w:r w:rsidRPr="00BB5067">
        <w:rPr>
          <w:bCs w:val="0"/>
          <w:sz w:val="22"/>
          <w:szCs w:val="22"/>
        </w:rPr>
        <w:t xml:space="preserve">Prodávající se zavazuje dodat zboží </w:t>
      </w:r>
      <w:r w:rsidRPr="00BB5067">
        <w:rPr>
          <w:sz w:val="22"/>
          <w:szCs w:val="22"/>
        </w:rPr>
        <w:t xml:space="preserve">a zaškolit obsluhu v místě plnění </w:t>
      </w:r>
      <w:r w:rsidR="00B6728B">
        <w:rPr>
          <w:bCs w:val="0"/>
          <w:sz w:val="22"/>
          <w:szCs w:val="22"/>
        </w:rPr>
        <w:t xml:space="preserve">nejpozději do </w:t>
      </w:r>
      <w:r w:rsidR="00B65EF0" w:rsidRPr="00B65EF0">
        <w:rPr>
          <w:bCs w:val="0"/>
          <w:sz w:val="22"/>
          <w:szCs w:val="22"/>
        </w:rPr>
        <w:t>31. 12. 2024.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Smlouvy.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čl. 7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C54950">
      <w:pPr>
        <w:pStyle w:val="Odstavecseseznamem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ve spojení s jinými nebránily řádnému užívání zboží. Nevyužije-li kupující svého práva nepřevzít </w:t>
      </w:r>
      <w:r w:rsidR="00B6728B">
        <w:rPr>
          <w:sz w:val="22"/>
          <w:szCs w:val="22"/>
        </w:rPr>
        <w:t>zboží</w:t>
      </w:r>
      <w:r w:rsidRPr="00BB5067">
        <w:rPr>
          <w:sz w:val="22"/>
          <w:szCs w:val="22"/>
        </w:rPr>
        <w:t xml:space="preserve">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ně záruční doba dle čl. 10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BB5067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3E5D65" w:rsidRDefault="00BB5067" w:rsidP="00526CD6">
      <w:pPr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</w:t>
      </w:r>
      <w:r w:rsidR="00CF2A6C">
        <w:rPr>
          <w:sz w:val="22"/>
          <w:szCs w:val="22"/>
        </w:rPr>
        <w:t>prodávajícího</w:t>
      </w:r>
      <w:r w:rsidRPr="00935D32">
        <w:rPr>
          <w:sz w:val="22"/>
          <w:szCs w:val="22"/>
        </w:rPr>
        <w:t xml:space="preserve">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>(viz čl.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 xml:space="preserve">1.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>této smlouvy) prodlouží o dobu, ve které</w:t>
      </w:r>
      <w:r w:rsidR="00D445A2">
        <w:rPr>
          <w:sz w:val="22"/>
          <w:szCs w:val="22"/>
        </w:rPr>
        <w:t xml:space="preserve"> nemůže dodavatel zboží dodat, </w:t>
      </w:r>
      <w:r w:rsidRPr="00935D32">
        <w:rPr>
          <w:sz w:val="22"/>
          <w:szCs w:val="22"/>
        </w:rPr>
        <w:t xml:space="preserve">přičemž se výslovně stanovuje, že na takovéto prodloužení doby dodání zboží nelze uplatnit sankce stanovené </w:t>
      </w:r>
      <w:r w:rsidR="00F65C15">
        <w:rPr>
          <w:sz w:val="22"/>
          <w:szCs w:val="22"/>
        </w:rPr>
        <w:br/>
      </w:r>
      <w:r w:rsidRPr="00935D32">
        <w:rPr>
          <w:sz w:val="22"/>
          <w:szCs w:val="22"/>
        </w:rPr>
        <w:t>v čl.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BB5067" w:rsidRDefault="00BB5067" w:rsidP="00EB6D33">
      <w:pPr>
        <w:rPr>
          <w:sz w:val="22"/>
          <w:szCs w:val="22"/>
        </w:rPr>
      </w:pPr>
    </w:p>
    <w:p w:rsidR="003E5D65" w:rsidRPr="00BB5067" w:rsidRDefault="004A659B" w:rsidP="003E5D65">
      <w:pPr>
        <w:pStyle w:val="Nadpis1"/>
        <w:rPr>
          <w:bCs/>
          <w:sz w:val="22"/>
          <w:szCs w:val="22"/>
        </w:rPr>
      </w:pPr>
      <w:r w:rsidRPr="00BB5067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 xml:space="preserve">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zakázky</w:t>
      </w:r>
      <w:r w:rsidRPr="003E5D65">
        <w:rPr>
          <w:sz w:val="22"/>
          <w:szCs w:val="22"/>
        </w:rPr>
        <w:t>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35470F" w:rsidRDefault="003E5D65" w:rsidP="0035470F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EB6D33" w:rsidRPr="00EB6D33" w:rsidRDefault="00EB6D33" w:rsidP="00EB6D33"/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Pr="001E1C6E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</w:t>
      </w:r>
      <w:r w:rsidR="007618B0" w:rsidRPr="001E1C6E">
        <w:rPr>
          <w:sz w:val="22"/>
          <w:szCs w:val="22"/>
        </w:rPr>
        <w:tab/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</w:t>
      </w:r>
      <w:r w:rsidR="001E1C6E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6359C5" w:rsidRDefault="007618B0" w:rsidP="003C737C">
      <w:pPr>
        <w:spacing w:before="240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 9.</w:t>
      </w:r>
      <w:r w:rsidR="007D5F74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C737C">
        <w:rPr>
          <w:sz w:val="22"/>
          <w:szCs w:val="22"/>
        </w:rPr>
        <w:t xml:space="preserve">             </w:t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7D5F74" w:rsidRPr="007D5F74" w:rsidRDefault="007D5F74" w:rsidP="00C54950">
      <w:pPr>
        <w:pStyle w:val="Odrazka2"/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firmu, sídlo a daňové identifikační číslo kupujícího,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obchodní firmu/název, sídlo a daňové identifikační číslo prodávajícího,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evidenční číslo daňového dokladu,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 xml:space="preserve">seznam a popis dodaného zboží, 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vystavení faktury,</w:t>
      </w:r>
    </w:p>
    <w:p w:rsidR="007D5F74" w:rsidRPr="007D5F74" w:rsidRDefault="007D5F74" w:rsidP="00C54950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2544F3" w:rsidRPr="002544F3" w:rsidRDefault="007D5F74" w:rsidP="002544F3">
      <w:pPr>
        <w:numPr>
          <w:ilvl w:val="1"/>
          <w:numId w:val="12"/>
        </w:numPr>
        <w:spacing w:before="60" w:after="60" w:line="276" w:lineRule="auto"/>
        <w:jc w:val="both"/>
        <w:rPr>
          <w:sz w:val="22"/>
          <w:szCs w:val="22"/>
        </w:rPr>
      </w:pPr>
      <w:r w:rsidRPr="007D5F74">
        <w:rPr>
          <w:sz w:val="22"/>
          <w:szCs w:val="22"/>
        </w:rPr>
        <w:t>cen</w:t>
      </w:r>
      <w:r w:rsidR="006359C5">
        <w:rPr>
          <w:sz w:val="22"/>
          <w:szCs w:val="22"/>
        </w:rPr>
        <w:t>u</w:t>
      </w:r>
      <w:r w:rsidRPr="007D5F74">
        <w:rPr>
          <w:sz w:val="22"/>
          <w:szCs w:val="22"/>
        </w:rPr>
        <w:t xml:space="preserve"> plnění</w:t>
      </w:r>
      <w:r w:rsidR="002544F3">
        <w:rPr>
          <w:sz w:val="22"/>
          <w:szCs w:val="22"/>
        </w:rPr>
        <w:t>.</w:t>
      </w:r>
    </w:p>
    <w:p w:rsidR="002544F3" w:rsidRDefault="002544F3" w:rsidP="00F65C15">
      <w:pPr>
        <w:pStyle w:val="Adresa"/>
      </w:pPr>
    </w:p>
    <w:p w:rsidR="00873FA7" w:rsidRPr="00EB6D33" w:rsidRDefault="00EB6D33" w:rsidP="00EB6D33">
      <w:pPr>
        <w:pStyle w:val="Adresa"/>
        <w:ind w:left="705" w:hanging="705"/>
        <w:jc w:val="both"/>
        <w:rPr>
          <w:sz w:val="22"/>
        </w:rPr>
      </w:pPr>
      <w:r>
        <w:rPr>
          <w:sz w:val="22"/>
        </w:rPr>
        <w:t>9.5.</w:t>
      </w:r>
      <w:r>
        <w:rPr>
          <w:sz w:val="22"/>
        </w:rPr>
        <w:tab/>
      </w:r>
      <w:r>
        <w:rPr>
          <w:sz w:val="22"/>
        </w:rPr>
        <w:tab/>
      </w:r>
      <w:r w:rsidR="007D5F74" w:rsidRPr="00EB6D33">
        <w:rPr>
          <w:sz w:val="22"/>
        </w:rPr>
        <w:t xml:space="preserve">Pokud faktura nebude vystavena v souladu s platebními podmínkami stanovenými smlouvou nebo nebude splňovat požadované zákonné náležitosti, je kupující oprávněn daňový </w:t>
      </w:r>
      <w:proofErr w:type="gramStart"/>
      <w:r w:rsidR="007D5F74" w:rsidRPr="00EB6D33">
        <w:rPr>
          <w:sz w:val="22"/>
        </w:rPr>
        <w:t>doklad - fakturu</w:t>
      </w:r>
      <w:proofErr w:type="gramEnd"/>
      <w:r w:rsidR="007D5F74" w:rsidRPr="00EB6D33">
        <w:rPr>
          <w:sz w:val="22"/>
        </w:rPr>
        <w:t xml:space="preserve"> prodávajícímu do data splatnosti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</w:t>
      </w:r>
      <w:proofErr w:type="gramStart"/>
      <w:r w:rsidR="007D5F74" w:rsidRPr="00EB6D33">
        <w:rPr>
          <w:sz w:val="22"/>
        </w:rPr>
        <w:t>dokladu - faktury</w:t>
      </w:r>
      <w:proofErr w:type="gramEnd"/>
      <w:r w:rsidR="007D5F74" w:rsidRPr="00EB6D33">
        <w:rPr>
          <w:sz w:val="22"/>
        </w:rPr>
        <w:t xml:space="preserve"> kupujícímu. </w:t>
      </w:r>
    </w:p>
    <w:p w:rsidR="00D66F89" w:rsidRDefault="00EB6D33" w:rsidP="00EB6D33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rPr>
          <w:sz w:val="22"/>
          <w:szCs w:val="22"/>
        </w:rPr>
      </w:pPr>
      <w:r>
        <w:rPr>
          <w:sz w:val="22"/>
          <w:szCs w:val="22"/>
        </w:rPr>
        <w:t xml:space="preserve">9.6.       </w:t>
      </w:r>
      <w:r w:rsidR="003E5D65" w:rsidRPr="003E5D65">
        <w:rPr>
          <w:sz w:val="22"/>
          <w:szCs w:val="22"/>
        </w:rPr>
        <w:t xml:space="preserve">Fakturační údaje kupujícího jsou uvedeny v článku 1. této smlouvy. </w:t>
      </w:r>
    </w:p>
    <w:p w:rsidR="007D5F74" w:rsidRDefault="007D5F74" w:rsidP="007D5F74"/>
    <w:p w:rsidR="007D5F74" w:rsidRDefault="00EB6D33" w:rsidP="00EB6D33">
      <w:pPr>
        <w:ind w:left="705" w:hanging="705"/>
        <w:rPr>
          <w:sz w:val="22"/>
          <w:szCs w:val="22"/>
        </w:rPr>
      </w:pPr>
      <w:r>
        <w:rPr>
          <w:sz w:val="22"/>
          <w:szCs w:val="22"/>
        </w:rPr>
        <w:t>9.7.</w:t>
      </w:r>
      <w:r>
        <w:rPr>
          <w:sz w:val="22"/>
          <w:szCs w:val="22"/>
        </w:rPr>
        <w:tab/>
      </w:r>
      <w:r w:rsidR="007D5F74" w:rsidRPr="003E5D65">
        <w:rPr>
          <w:sz w:val="22"/>
          <w:szCs w:val="22"/>
        </w:rPr>
        <w:t>Prodávající prohlašuje, že v </w:t>
      </w:r>
      <w:r w:rsidR="007D5F74">
        <w:rPr>
          <w:sz w:val="22"/>
          <w:szCs w:val="22"/>
        </w:rPr>
        <w:t>Příloze</w:t>
      </w:r>
      <w:r w:rsidR="007D5F74" w:rsidRPr="003E5D65">
        <w:rPr>
          <w:sz w:val="22"/>
          <w:szCs w:val="22"/>
        </w:rPr>
        <w:t xml:space="preserve"> </w:t>
      </w:r>
      <w:r w:rsidR="007D5F74">
        <w:rPr>
          <w:sz w:val="22"/>
          <w:szCs w:val="22"/>
        </w:rPr>
        <w:t xml:space="preserve">č. 1 </w:t>
      </w:r>
      <w:proofErr w:type="gramStart"/>
      <w:r w:rsidR="007D5F74">
        <w:rPr>
          <w:sz w:val="22"/>
          <w:szCs w:val="22"/>
        </w:rPr>
        <w:t xml:space="preserve">- </w:t>
      </w:r>
      <w:r w:rsidR="007D5F74" w:rsidRPr="003E5D65">
        <w:rPr>
          <w:sz w:val="22"/>
          <w:szCs w:val="22"/>
        </w:rPr>
        <w:t xml:space="preserve"> </w:t>
      </w:r>
      <w:r w:rsidR="007D5F74" w:rsidRPr="00B517DE">
        <w:rPr>
          <w:rFonts w:eastAsia="Arial Unicode MS"/>
          <w:sz w:val="22"/>
          <w:szCs w:val="22"/>
        </w:rPr>
        <w:t>Doplňující</w:t>
      </w:r>
      <w:proofErr w:type="gramEnd"/>
      <w:r w:rsidR="007D5F74" w:rsidRPr="00B517DE">
        <w:rPr>
          <w:rFonts w:eastAsia="Arial Unicode MS"/>
          <w:sz w:val="22"/>
          <w:szCs w:val="22"/>
        </w:rPr>
        <w:t xml:space="preserve"> kontaktní údaje </w:t>
      </w:r>
      <w:r w:rsidR="007D5F74" w:rsidRPr="003E5D65">
        <w:rPr>
          <w:sz w:val="22"/>
          <w:szCs w:val="22"/>
        </w:rPr>
        <w:t>této smlouvy uvedl</w:t>
      </w:r>
      <w:r w:rsidR="007D5F74">
        <w:rPr>
          <w:sz w:val="22"/>
          <w:szCs w:val="22"/>
        </w:rPr>
        <w:t xml:space="preserve"> svůj</w:t>
      </w:r>
      <w:r>
        <w:rPr>
          <w:sz w:val="22"/>
          <w:szCs w:val="22"/>
        </w:rPr>
        <w:t xml:space="preserve"> </w:t>
      </w:r>
      <w:r w:rsidR="007D5F74">
        <w:rPr>
          <w:sz w:val="22"/>
          <w:szCs w:val="22"/>
        </w:rPr>
        <w:t>bankovní účet, který je uveřejněn v Registru plátců.</w:t>
      </w:r>
    </w:p>
    <w:p w:rsidR="009C55FC" w:rsidRDefault="009C55FC" w:rsidP="007D5F74"/>
    <w:p w:rsidR="009C55FC" w:rsidRDefault="00EB6D33" w:rsidP="00EB6D3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9.8.</w:t>
      </w:r>
      <w:r>
        <w:rPr>
          <w:sz w:val="22"/>
          <w:szCs w:val="22"/>
        </w:rPr>
        <w:tab/>
      </w:r>
      <w:r w:rsidR="009C55FC" w:rsidRPr="00433D4E">
        <w:rPr>
          <w:sz w:val="22"/>
          <w:szCs w:val="22"/>
        </w:rPr>
        <w:t>Kupující provede úhradu v rámci lhůty splatnosti na bankovní účet prodávajícího uvedený</w:t>
      </w:r>
      <w:r w:rsidR="009C55F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9C55FC">
        <w:rPr>
          <w:sz w:val="22"/>
          <w:szCs w:val="22"/>
        </w:rPr>
        <w:t xml:space="preserve">na daňovém dokladu – faktuře </w:t>
      </w:r>
      <w:r w:rsidR="009C55FC" w:rsidRPr="00433D4E">
        <w:rPr>
          <w:sz w:val="22"/>
          <w:szCs w:val="22"/>
        </w:rPr>
        <w:t xml:space="preserve">pouze za předpokladu, že tento účet bude ke dni platby </w:t>
      </w:r>
      <w:r w:rsidR="009C55FC" w:rsidRPr="00433D4E">
        <w:rPr>
          <w:sz w:val="22"/>
          <w:szCs w:val="22"/>
        </w:rPr>
        <w:lastRenderedPageBreak/>
        <w:t>zveřejněný</w:t>
      </w:r>
      <w:r w:rsidR="009C55FC">
        <w:rPr>
          <w:sz w:val="22"/>
          <w:szCs w:val="22"/>
        </w:rPr>
        <w:t xml:space="preserve"> správcem daně. </w:t>
      </w:r>
      <w:r w:rsidR="009C55FC" w:rsidRPr="00433D4E">
        <w:rPr>
          <w:sz w:val="22"/>
          <w:szCs w:val="22"/>
        </w:rPr>
        <w:t>V případě, že tato podmínka nebude splněna, kupující uhradí pouze částku bez DPH, a doplatek</w:t>
      </w:r>
      <w:r w:rsidR="009C55FC">
        <w:rPr>
          <w:sz w:val="22"/>
          <w:szCs w:val="22"/>
        </w:rPr>
        <w:t xml:space="preserve"> </w:t>
      </w:r>
      <w:r w:rsidR="009C55FC" w:rsidRPr="009C55FC">
        <w:rPr>
          <w:sz w:val="22"/>
          <w:szCs w:val="22"/>
        </w:rPr>
        <w:t>bude uhrazen prodávajícímu až po zveřejnění čísla účtu</w:t>
      </w:r>
      <w:r w:rsidR="009C55FC">
        <w:rPr>
          <w:sz w:val="22"/>
          <w:szCs w:val="22"/>
        </w:rPr>
        <w:t xml:space="preserve"> v registru plátců. V případě, že účet nebude zveřejněn po uplynutí lhůty stanovené kupujícím, bude DPH uhrazeno místně příslušnému správci daně prodávajícího.</w:t>
      </w:r>
    </w:p>
    <w:p w:rsidR="009C55FC" w:rsidRDefault="009C55FC" w:rsidP="009C55FC"/>
    <w:p w:rsidR="009C55FC" w:rsidRDefault="00EB6D33" w:rsidP="00EB6D33">
      <w:pPr>
        <w:jc w:val="both"/>
        <w:rPr>
          <w:sz w:val="22"/>
        </w:rPr>
      </w:pPr>
      <w:r>
        <w:rPr>
          <w:sz w:val="22"/>
        </w:rPr>
        <w:t>9.9.</w:t>
      </w:r>
      <w:r>
        <w:rPr>
          <w:sz w:val="22"/>
        </w:rPr>
        <w:tab/>
      </w:r>
      <w:r w:rsidR="009C55FC" w:rsidRPr="009C55FC">
        <w:rPr>
          <w:sz w:val="22"/>
        </w:rPr>
        <w:t xml:space="preserve">Nezaplacení DPH kupujícím prodávajícímu z důvodů uvedených v čl. 9. odst. 9. </w:t>
      </w:r>
      <w:r w:rsidR="00F65C15">
        <w:rPr>
          <w:sz w:val="22"/>
        </w:rPr>
        <w:t>5</w:t>
      </w:r>
      <w:r w:rsidR="009C55FC" w:rsidRPr="009C55FC">
        <w:rPr>
          <w:sz w:val="22"/>
        </w:rPr>
        <w:t>. není</w:t>
      </w:r>
      <w:r w:rsidR="009C55FC">
        <w:rPr>
          <w:sz w:val="22"/>
        </w:rPr>
        <w:t xml:space="preserve"> </w:t>
      </w:r>
    </w:p>
    <w:p w:rsidR="009C55FC" w:rsidRPr="009C55FC" w:rsidRDefault="009C55FC" w:rsidP="00EB6D33">
      <w:pPr>
        <w:ind w:firstLine="709"/>
        <w:jc w:val="both"/>
        <w:rPr>
          <w:sz w:val="22"/>
        </w:rPr>
      </w:pPr>
      <w:r>
        <w:rPr>
          <w:sz w:val="22"/>
        </w:rPr>
        <w:t>považováno za prodlení s placením kupní ceny.</w:t>
      </w:r>
    </w:p>
    <w:p w:rsidR="00D1601C" w:rsidRDefault="00D1601C" w:rsidP="00D1601C"/>
    <w:p w:rsidR="003E5D65" w:rsidRDefault="00EB6D33" w:rsidP="003E5D65">
      <w:pPr>
        <w:rPr>
          <w:sz w:val="22"/>
          <w:szCs w:val="22"/>
        </w:rPr>
      </w:pPr>
      <w:r>
        <w:rPr>
          <w:sz w:val="22"/>
          <w:szCs w:val="22"/>
        </w:rPr>
        <w:t>9.10</w:t>
      </w:r>
      <w:r>
        <w:rPr>
          <w:sz w:val="22"/>
          <w:szCs w:val="22"/>
        </w:rPr>
        <w:tab/>
      </w:r>
      <w:r w:rsidR="00D1601C">
        <w:rPr>
          <w:sz w:val="22"/>
          <w:szCs w:val="22"/>
        </w:rPr>
        <w:t xml:space="preserve">Kupující </w:t>
      </w:r>
      <w:r w:rsidR="00D1601C" w:rsidRPr="00D1601C">
        <w:rPr>
          <w:b/>
          <w:sz w:val="22"/>
          <w:szCs w:val="22"/>
        </w:rPr>
        <w:t>neposkytuje zálohy</w:t>
      </w:r>
      <w:r w:rsidR="00D1601C">
        <w:rPr>
          <w:sz w:val="22"/>
          <w:szCs w:val="22"/>
        </w:rPr>
        <w:t xml:space="preserve"> na dodávané zboží.</w:t>
      </w:r>
    </w:p>
    <w:p w:rsidR="00EB6D33" w:rsidRPr="00EB6D33" w:rsidRDefault="00EB6D33" w:rsidP="003E5D65">
      <w:pPr>
        <w:rPr>
          <w:sz w:val="22"/>
          <w:szCs w:val="22"/>
        </w:rPr>
      </w:pP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záruční doba na zboží </w:t>
      </w:r>
      <w:r w:rsidR="003E5D65" w:rsidRPr="001911CB">
        <w:rPr>
          <w:sz w:val="22"/>
          <w:szCs w:val="22"/>
        </w:rPr>
        <w:t>24 měsíců</w:t>
      </w:r>
      <w:r w:rsidRPr="001911CB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C54950">
      <w:pPr>
        <w:pStyle w:val="Odrazka2"/>
        <w:numPr>
          <w:ilvl w:val="1"/>
          <w:numId w:val="13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3E5D65" w:rsidRDefault="003E5D65" w:rsidP="00EB6D3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bookmarkStart w:id="0" w:name="_Hlk179291985"/>
      <w:r w:rsidRPr="003E5D65">
        <w:rPr>
          <w:sz w:val="22"/>
          <w:szCs w:val="22"/>
        </w:rPr>
        <w:t xml:space="preserve">Smluvní strany </w:t>
      </w:r>
      <w:bookmarkEnd w:id="0"/>
      <w:r w:rsidRPr="003E5D65">
        <w:rPr>
          <w:sz w:val="22"/>
          <w:szCs w:val="22"/>
        </w:rPr>
        <w:t xml:space="preserve">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  <w:r w:rsidR="00060F5A" w:rsidRPr="00EB6D33">
        <w:rPr>
          <w:sz w:val="22"/>
          <w:szCs w:val="22"/>
        </w:rPr>
        <w:tab/>
      </w:r>
    </w:p>
    <w:p w:rsidR="00EB6D33" w:rsidRPr="00EB6D33" w:rsidRDefault="00EB6D33" w:rsidP="00EB6D33"/>
    <w:p w:rsidR="00E17FF1" w:rsidRPr="00E17FF1" w:rsidRDefault="00F54638" w:rsidP="00BB1774">
      <w:pPr>
        <w:pStyle w:val="Nadpis1"/>
      </w:pPr>
      <w:r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</w:t>
      </w:r>
      <w:r w:rsidRPr="003E5D65">
        <w:rPr>
          <w:sz w:val="22"/>
          <w:szCs w:val="22"/>
        </w:rPr>
        <w:lastRenderedPageBreak/>
        <w:t>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Nebude-li faktura</w:t>
      </w:r>
      <w:r w:rsidR="00BB1774">
        <w:rPr>
          <w:sz w:val="22"/>
          <w:szCs w:val="22"/>
        </w:rPr>
        <w:t xml:space="preserve"> uhrazena ve lhůtě splatnosti, je kupující povinen zaplatit </w:t>
      </w:r>
      <w:r w:rsidR="002544F3">
        <w:rPr>
          <w:sz w:val="22"/>
          <w:szCs w:val="22"/>
        </w:rPr>
        <w:t>prodávajícímu</w:t>
      </w:r>
      <w:r w:rsidR="00BB1774">
        <w:rPr>
          <w:sz w:val="22"/>
          <w:szCs w:val="22"/>
        </w:rPr>
        <w:t xml:space="preserve">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smluvní pokutu ve výši </w:t>
      </w:r>
      <w:r w:rsidRPr="00433D4E">
        <w:rPr>
          <w:sz w:val="22"/>
          <w:szCs w:val="22"/>
        </w:rPr>
        <w:t>1.000,-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FA4F31" w:rsidRDefault="003E5D65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5470F" w:rsidRPr="0035470F" w:rsidRDefault="0035470F" w:rsidP="0035470F"/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C54950">
      <w:pPr>
        <w:pStyle w:val="Odrazka2"/>
        <w:numPr>
          <w:ilvl w:val="1"/>
          <w:numId w:val="11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C54950">
      <w:pPr>
        <w:pStyle w:val="Odrazka2"/>
        <w:numPr>
          <w:ilvl w:val="1"/>
          <w:numId w:val="11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C54950">
      <w:pPr>
        <w:pStyle w:val="Odrazka2"/>
        <w:numPr>
          <w:ilvl w:val="1"/>
          <w:numId w:val="11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1F7550" w:rsidRPr="001F7550" w:rsidRDefault="00E17FF1" w:rsidP="001F755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</w:t>
      </w:r>
      <w:r w:rsidR="001F7550">
        <w:rPr>
          <w:sz w:val="22"/>
          <w:szCs w:val="22"/>
        </w:rPr>
        <w:t>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2544F3" w:rsidRDefault="002544F3" w:rsidP="002544F3"/>
    <w:p w:rsidR="002544F3" w:rsidRPr="002544F3" w:rsidRDefault="002544F3" w:rsidP="002544F3">
      <w:pPr>
        <w:ind w:left="705" w:hanging="705"/>
        <w:jc w:val="both"/>
      </w:pPr>
      <w:r>
        <w:t>12.7.</w:t>
      </w:r>
      <w:r>
        <w:tab/>
      </w:r>
      <w:r w:rsidRPr="003E5D65">
        <w:rPr>
          <w:sz w:val="22"/>
          <w:szCs w:val="22"/>
        </w:rPr>
        <w:t>Smluvní strany</w:t>
      </w:r>
      <w:r>
        <w:rPr>
          <w:sz w:val="22"/>
          <w:szCs w:val="22"/>
        </w:rPr>
        <w:t xml:space="preserve"> uzavírají tuto smlouvu </w:t>
      </w:r>
      <w:r w:rsidRPr="002544F3">
        <w:rPr>
          <w:sz w:val="22"/>
          <w:szCs w:val="22"/>
        </w:rPr>
        <w:t>se zákonem č. 110/2019 Sb., o zpracování osobních údajů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>
        <w:rPr>
          <w:sz w:val="22"/>
          <w:szCs w:val="22"/>
        </w:rPr>
        <w:t>.</w:t>
      </w:r>
    </w:p>
    <w:p w:rsidR="0035470F" w:rsidRPr="0035470F" w:rsidRDefault="0035470F" w:rsidP="0035470F"/>
    <w:p w:rsidR="00963A45" w:rsidRPr="001911CB" w:rsidRDefault="00963A45" w:rsidP="00963A45">
      <w:pPr>
        <w:pStyle w:val="Nadpis1"/>
      </w:pPr>
      <w:r w:rsidRPr="007A4CDF">
        <w:lastRenderedPageBreak/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</w:t>
      </w:r>
      <w:r w:rsidRPr="008245D1">
        <w:rPr>
          <w:sz w:val="22"/>
          <w:szCs w:val="22"/>
        </w:rPr>
        <w:t>písemnými</w:t>
      </w:r>
      <w:r w:rsidRPr="003E5D65">
        <w:rPr>
          <w:sz w:val="22"/>
          <w:szCs w:val="22"/>
        </w:rPr>
        <w:t xml:space="preserve">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2076B9">
        <w:rPr>
          <w:sz w:val="22"/>
          <w:szCs w:val="22"/>
        </w:rPr>
        <w:t xml:space="preserve"> je podepsána elektronicky.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E17FF1" w:rsidRPr="00FA4F31" w:rsidRDefault="00E17FF1" w:rsidP="00037A90">
      <w:pPr>
        <w:jc w:val="both"/>
        <w:rPr>
          <w:b/>
          <w:sz w:val="22"/>
          <w:szCs w:val="22"/>
        </w:rPr>
      </w:pPr>
      <w:r w:rsidRPr="00E17FF1">
        <w:rPr>
          <w:sz w:val="22"/>
          <w:szCs w:val="22"/>
        </w:rPr>
        <w:t>13.8.</w:t>
      </w:r>
      <w:r>
        <w:rPr>
          <w:sz w:val="22"/>
          <w:szCs w:val="22"/>
        </w:rPr>
        <w:tab/>
        <w:t>P</w:t>
      </w:r>
      <w:r w:rsidRPr="00E17FF1">
        <w:rPr>
          <w:sz w:val="22"/>
          <w:szCs w:val="22"/>
        </w:rPr>
        <w:t xml:space="preserve">rodávající bere na vědomí, že smlouva bude uveřejněna v registru smluv způsobem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umožňující dálkový přístup. Prodávající prohlašuje, že tato smlouva neobsahuje údaje,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které tvoří předmět jeho </w:t>
      </w:r>
      <w:r w:rsidR="00465D11">
        <w:rPr>
          <w:sz w:val="22"/>
          <w:szCs w:val="22"/>
        </w:rPr>
        <w:t>o</w:t>
      </w:r>
      <w:r w:rsidR="00E774B4">
        <w:rPr>
          <w:sz w:val="22"/>
          <w:szCs w:val="22"/>
        </w:rPr>
        <w:t>b</w:t>
      </w:r>
      <w:r w:rsidRPr="00E17FF1">
        <w:rPr>
          <w:sz w:val="22"/>
          <w:szCs w:val="22"/>
        </w:rPr>
        <w:t xml:space="preserve">chodního tajemství podle § 504 zákona č. 89/2012 Sb.,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občanský zákoník. </w:t>
      </w:r>
      <w:r>
        <w:rPr>
          <w:sz w:val="22"/>
          <w:szCs w:val="22"/>
        </w:rPr>
        <w:t>S</w:t>
      </w:r>
      <w:r w:rsidRPr="00E17FF1">
        <w:rPr>
          <w:sz w:val="22"/>
          <w:szCs w:val="22"/>
        </w:rPr>
        <w:t xml:space="preserve">mluvní strany se dohodly na tom, že uveřejnění v registru smluv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>provede kupující.</w:t>
      </w:r>
    </w:p>
    <w:p w:rsidR="00963A45" w:rsidRDefault="00963A45" w:rsidP="00963A45">
      <w:pPr>
        <w:rPr>
          <w:sz w:val="22"/>
          <w:szCs w:val="22"/>
        </w:rPr>
      </w:pPr>
    </w:p>
    <w:p w:rsidR="0035470F" w:rsidRDefault="0035470F" w:rsidP="00963A45">
      <w:pPr>
        <w:rPr>
          <w:sz w:val="22"/>
          <w:szCs w:val="22"/>
        </w:rPr>
      </w:pPr>
    </w:p>
    <w:p w:rsidR="00575B77" w:rsidRPr="007A4CDF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1 – Doplňující kontaktní údaje</w:t>
      </w:r>
      <w:r w:rsidR="002F353C">
        <w:rPr>
          <w:sz w:val="22"/>
          <w:szCs w:val="22"/>
        </w:rPr>
        <w:t xml:space="preserve"> a Příloha č. 2 – Krycí list nabídky.</w:t>
      </w:r>
    </w:p>
    <w:p w:rsidR="00963A45" w:rsidRPr="007A4CDF" w:rsidRDefault="00963A45" w:rsidP="00963A45">
      <w:pPr>
        <w:rPr>
          <w:sz w:val="22"/>
          <w:szCs w:val="22"/>
        </w:rPr>
      </w:pPr>
    </w:p>
    <w:p w:rsidR="001911CB" w:rsidRDefault="001911CB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="002A02EF">
        <w:rPr>
          <w:sz w:val="22"/>
          <w:szCs w:val="22"/>
        </w:rPr>
        <w:t xml:space="preserve">: </w:t>
      </w:r>
      <w:r w:rsidR="009C0563">
        <w:rPr>
          <w:sz w:val="22"/>
          <w:szCs w:val="22"/>
        </w:rPr>
        <w:t>17.10.2024</w:t>
      </w:r>
      <w:r w:rsidRPr="007A4CDF">
        <w:rPr>
          <w:sz w:val="22"/>
          <w:szCs w:val="22"/>
        </w:rPr>
        <w:t xml:space="preserve">          </w:t>
      </w:r>
      <w:r w:rsidR="009C0563">
        <w:rPr>
          <w:sz w:val="22"/>
          <w:szCs w:val="22"/>
        </w:rPr>
        <w:tab/>
      </w:r>
      <w:r w:rsidR="009C0563">
        <w:rPr>
          <w:sz w:val="22"/>
          <w:szCs w:val="22"/>
        </w:rPr>
        <w:tab/>
      </w:r>
      <w:r w:rsidRPr="007A4CDF">
        <w:rPr>
          <w:sz w:val="22"/>
          <w:szCs w:val="22"/>
        </w:rPr>
        <w:t xml:space="preserve">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Pr="002A02EF">
        <w:rPr>
          <w:sz w:val="22"/>
          <w:szCs w:val="22"/>
        </w:rPr>
        <w:t>V </w:t>
      </w:r>
      <w:r w:rsidR="009C0563">
        <w:rPr>
          <w:sz w:val="22"/>
          <w:szCs w:val="22"/>
        </w:rPr>
        <w:t>Rakovníku</w:t>
      </w:r>
      <w:r w:rsidRPr="002A02EF">
        <w:rPr>
          <w:sz w:val="22"/>
          <w:szCs w:val="22"/>
        </w:rPr>
        <w:t xml:space="preserve">  dne </w:t>
      </w:r>
      <w:r w:rsidR="009C0563">
        <w:rPr>
          <w:sz w:val="22"/>
          <w:szCs w:val="22"/>
        </w:rPr>
        <w:t>15.10.2024</w:t>
      </w:r>
    </w:p>
    <w:p w:rsidR="001911CB" w:rsidRDefault="001911CB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A15A94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9C0563">
        <w:rPr>
          <w:sz w:val="22"/>
          <w:szCs w:val="22"/>
        </w:rPr>
        <w:t>Ing. Ladislav Vybíral, jednatel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A15A94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Ing. </w:t>
      </w:r>
      <w:r w:rsidR="000A2C1E">
        <w:rPr>
          <w:rFonts w:eastAsia="Arial Unicode MS"/>
          <w:sz w:val="22"/>
          <w:szCs w:val="22"/>
        </w:rPr>
        <w:t>Pavel Raška</w:t>
      </w:r>
    </w:p>
    <w:p w:rsidR="0035470F" w:rsidRDefault="002F353C" w:rsidP="003E5D6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člen představenstva</w:t>
      </w:r>
    </w:p>
    <w:p w:rsidR="0035470F" w:rsidRDefault="0035470F" w:rsidP="003E5D65">
      <w:pPr>
        <w:rPr>
          <w:rFonts w:eastAsia="Arial Unicode MS"/>
          <w:sz w:val="22"/>
          <w:szCs w:val="22"/>
        </w:rPr>
      </w:pPr>
    </w:p>
    <w:p w:rsidR="001A052C" w:rsidRDefault="001A052C" w:rsidP="003E5D65"/>
    <w:p w:rsidR="00EB6D33" w:rsidRDefault="00EB6D33" w:rsidP="003E5D65"/>
    <w:p w:rsidR="003E5D65" w:rsidRDefault="001911CB" w:rsidP="003E5D65">
      <w:r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1911CB" w:rsidRDefault="001911CB" w:rsidP="001911CB">
      <w:pPr>
        <w:jc w:val="center"/>
      </w:pPr>
      <w:r>
        <w:t>(údaje, které se v Registru smluv neuveřejňují)</w:t>
      </w:r>
    </w:p>
    <w:p w:rsidR="001911CB" w:rsidRDefault="001911CB" w:rsidP="001911CB">
      <w:pPr>
        <w:jc w:val="center"/>
      </w:pPr>
    </w:p>
    <w:p w:rsidR="001911CB" w:rsidRDefault="001911CB" w:rsidP="001911CB">
      <w:pPr>
        <w:jc w:val="center"/>
      </w:pPr>
    </w:p>
    <w:p w:rsidR="001911CB" w:rsidRPr="00D50351" w:rsidRDefault="001911CB" w:rsidP="001911CB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Prodávající:</w:t>
      </w:r>
    </w:p>
    <w:p w:rsidR="001911CB" w:rsidRPr="00D50351" w:rsidRDefault="001911CB" w:rsidP="001911CB">
      <w:pPr>
        <w:rPr>
          <w:sz w:val="22"/>
          <w:szCs w:val="22"/>
        </w:rPr>
      </w:pPr>
    </w:p>
    <w:p w:rsidR="001911CB" w:rsidRPr="00D50351" w:rsidRDefault="001911CB" w:rsidP="001911CB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</w:t>
      </w:r>
      <w:r w:rsidR="00D50351" w:rsidRPr="00D50351">
        <w:rPr>
          <w:sz w:val="22"/>
          <w:szCs w:val="22"/>
        </w:rPr>
        <w:t>:</w:t>
      </w:r>
      <w:r w:rsidR="008245D1">
        <w:rPr>
          <w:sz w:val="22"/>
          <w:szCs w:val="22"/>
        </w:rPr>
        <w:t xml:space="preserve"> </w:t>
      </w:r>
    </w:p>
    <w:p w:rsidR="008245D1" w:rsidRPr="008245D1" w:rsidRDefault="00D50351" w:rsidP="008245D1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 w:rsidR="008245D1">
        <w:rPr>
          <w:sz w:val="22"/>
          <w:szCs w:val="22"/>
        </w:rPr>
        <w:t xml:space="preserve"> 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 w:rsidR="00883B19">
        <w:rPr>
          <w:sz w:val="22"/>
          <w:szCs w:val="22"/>
        </w:rPr>
        <w:t>: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  <w:r w:rsidR="008245D1">
        <w:rPr>
          <w:sz w:val="22"/>
          <w:szCs w:val="22"/>
        </w:rPr>
        <w:t xml:space="preserve"> 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  <w:r w:rsidR="008245D1">
        <w:rPr>
          <w:sz w:val="22"/>
          <w:szCs w:val="22"/>
        </w:rPr>
        <w:t xml:space="preserve"> </w:t>
      </w:r>
    </w:p>
    <w:p w:rsidR="008245D1" w:rsidRPr="008C6F75" w:rsidRDefault="00D50351" w:rsidP="00EF30AB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8C6F75">
        <w:rPr>
          <w:sz w:val="22"/>
          <w:szCs w:val="22"/>
        </w:rPr>
        <w:t>e-mail:</w:t>
      </w:r>
      <w:r w:rsidR="008245D1" w:rsidRPr="008C6F75"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Kupující: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>
        <w:rPr>
          <w:sz w:val="22"/>
          <w:szCs w:val="22"/>
        </w:rPr>
        <w:t>: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  <w:r>
        <w:rPr>
          <w:sz w:val="22"/>
          <w:szCs w:val="22"/>
        </w:rPr>
        <w:t xml:space="preserve"> 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  <w:r w:rsidR="00883B19">
        <w:rPr>
          <w:sz w:val="22"/>
          <w:szCs w:val="22"/>
        </w:rPr>
        <w:t xml:space="preserve"> </w:t>
      </w:r>
    </w:p>
    <w:p w:rsidR="00D50351" w:rsidRPr="00D50351" w:rsidRDefault="00D50351" w:rsidP="00C54950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83B19">
        <w:rPr>
          <w:sz w:val="22"/>
          <w:szCs w:val="22"/>
        </w:rPr>
        <w:t xml:space="preserve"> </w:t>
      </w:r>
    </w:p>
    <w:p w:rsidR="00D50351" w:rsidRPr="001911CB" w:rsidRDefault="00D50351" w:rsidP="00D50351"/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EB6D33" w:rsidRDefault="00EB6D33" w:rsidP="008245D1">
      <w:pPr>
        <w:rPr>
          <w:rFonts w:eastAsia="Arial Unicode MS"/>
          <w:sz w:val="22"/>
          <w:szCs w:val="22"/>
        </w:rPr>
      </w:pPr>
    </w:p>
    <w:p w:rsidR="001A052C" w:rsidRPr="007B35C5" w:rsidRDefault="001A052C" w:rsidP="001A052C"/>
    <w:p w:rsidR="00897DC9" w:rsidRPr="007B35C5" w:rsidRDefault="00771D4E" w:rsidP="00897DC9">
      <w:r w:rsidRPr="007B35C5">
        <w:lastRenderedPageBreak/>
        <w:t>Příloha č. 2</w:t>
      </w:r>
    </w:p>
    <w:p w:rsidR="007B35C5" w:rsidRPr="00881534" w:rsidRDefault="007B35C5" w:rsidP="007B35C5">
      <w:pPr>
        <w:pStyle w:val="Nadpis3"/>
        <w:numPr>
          <w:ilvl w:val="0"/>
          <w:numId w:val="0"/>
        </w:numPr>
        <w:ind w:left="567"/>
        <w:jc w:val="center"/>
        <w:rPr>
          <w:rFonts w:cs="Times New Roman"/>
          <w:b/>
          <w:szCs w:val="28"/>
        </w:rPr>
      </w:pPr>
      <w:r w:rsidRPr="00881534">
        <w:rPr>
          <w:rFonts w:cs="Times New Roman"/>
          <w:b/>
          <w:szCs w:val="28"/>
        </w:rPr>
        <w:t>Krycí list nabídky</w:t>
      </w:r>
    </w:p>
    <w:p w:rsidR="007B35C5" w:rsidRPr="007B35C5" w:rsidRDefault="007B35C5" w:rsidP="00232DA1">
      <w:pPr>
        <w:jc w:val="center"/>
      </w:pPr>
      <w:r w:rsidRPr="007B35C5">
        <w:t xml:space="preserve">         na zakázku</w:t>
      </w:r>
    </w:p>
    <w:p w:rsidR="007B35C5" w:rsidRPr="00232DA1" w:rsidRDefault="007B35C5" w:rsidP="00232DA1">
      <w:pPr>
        <w:jc w:val="center"/>
        <w:rPr>
          <w:b/>
          <w:sz w:val="20"/>
          <w:szCs w:val="20"/>
        </w:rPr>
      </w:pPr>
      <w:r w:rsidRPr="007B35C5">
        <w:rPr>
          <w:b/>
        </w:rPr>
        <w:t>„Automatická sypací nástavba</w:t>
      </w:r>
      <w:r w:rsidRPr="007B35C5">
        <w:rPr>
          <w:b/>
          <w:sz w:val="20"/>
          <w:szCs w:val="20"/>
        </w:rPr>
        <w:t>“</w:t>
      </w:r>
    </w:p>
    <w:p w:rsidR="007B35C5" w:rsidRPr="007B35C5" w:rsidRDefault="007B35C5" w:rsidP="007B35C5">
      <w:pPr>
        <w:pStyle w:val="Nadpis1"/>
        <w:numPr>
          <w:ilvl w:val="0"/>
          <w:numId w:val="0"/>
        </w:numPr>
        <w:ind w:left="1134"/>
        <w:rPr>
          <w:rFonts w:cs="Times New Roman"/>
          <w:szCs w:val="24"/>
          <w:u w:val="single"/>
        </w:rPr>
      </w:pPr>
      <w:r w:rsidRPr="007B35C5">
        <w:rPr>
          <w:rFonts w:cs="Times New Roman"/>
          <w:szCs w:val="24"/>
          <w:u w:val="single"/>
        </w:rPr>
        <w:t xml:space="preserve">Údaje o uchazeči </w:t>
      </w:r>
    </w:p>
    <w:p w:rsidR="007B35C5" w:rsidRPr="007B35C5" w:rsidRDefault="007B35C5" w:rsidP="007B35C5"/>
    <w:tbl>
      <w:tblPr>
        <w:tblW w:w="921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2"/>
      </w:tblGrid>
      <w:tr w:rsidR="007B35C5" w:rsidRPr="007B35C5" w:rsidTr="003402AB">
        <w:trPr>
          <w:trHeight w:val="39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7B35C5" w:rsidRPr="007B35C5" w:rsidRDefault="007B35C5" w:rsidP="003402AB">
            <w:r w:rsidRPr="007B35C5">
              <w:t>Obchodní firma nebo název</w:t>
            </w:r>
          </w:p>
          <w:p w:rsidR="007B35C5" w:rsidRPr="007B35C5" w:rsidRDefault="007B35C5" w:rsidP="003402AB">
            <w:r w:rsidRPr="007B35C5">
              <w:t>(jedná-li se o právnickou osobu)</w:t>
            </w:r>
          </w:p>
          <w:p w:rsidR="007B35C5" w:rsidRPr="007B35C5" w:rsidRDefault="007B35C5" w:rsidP="003402AB">
            <w:r w:rsidRPr="007B35C5">
              <w:t>Obchodní firma nebo jméno a příjmení</w:t>
            </w:r>
          </w:p>
          <w:p w:rsidR="007B35C5" w:rsidRPr="007B35C5" w:rsidRDefault="007B35C5" w:rsidP="003402AB">
            <w:pPr>
              <w:jc w:val="both"/>
            </w:pPr>
            <w:r w:rsidRPr="007B35C5">
              <w:t>(jedná-li se o fyzickou osobu)</w:t>
            </w:r>
          </w:p>
        </w:tc>
        <w:tc>
          <w:tcPr>
            <w:tcW w:w="45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35C5" w:rsidRPr="007B35C5" w:rsidRDefault="00F16050" w:rsidP="003402AB">
            <w:pPr>
              <w:jc w:val="both"/>
            </w:pPr>
            <w:proofErr w:type="spellStart"/>
            <w:r>
              <w:t>Croy</w:t>
            </w:r>
            <w:proofErr w:type="spellEnd"/>
            <w:r>
              <w:t>, s.r.o.</w:t>
            </w:r>
          </w:p>
        </w:tc>
      </w:tr>
      <w:tr w:rsidR="007B35C5" w:rsidRPr="007B35C5" w:rsidTr="003402AB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7B35C5" w:rsidRPr="007B35C5" w:rsidRDefault="007B35C5" w:rsidP="003402AB">
            <w:r w:rsidRPr="007B35C5">
              <w:t>Sídlo</w:t>
            </w:r>
          </w:p>
          <w:p w:rsidR="007B35C5" w:rsidRPr="007B35C5" w:rsidRDefault="007B35C5" w:rsidP="003402AB">
            <w:r w:rsidRPr="007B35C5">
              <w:t>(jedná-li se o právnickou osobu)</w:t>
            </w:r>
          </w:p>
          <w:p w:rsidR="007B35C5" w:rsidRPr="007B35C5" w:rsidRDefault="007B35C5" w:rsidP="003402AB">
            <w:r w:rsidRPr="007B35C5">
              <w:t xml:space="preserve">Místo </w:t>
            </w:r>
            <w:proofErr w:type="gramStart"/>
            <w:r w:rsidRPr="007B35C5">
              <w:t>podnikání</w:t>
            </w:r>
            <w:proofErr w:type="gramEnd"/>
            <w:r w:rsidRPr="007B35C5">
              <w:t xml:space="preserve"> popř. místo trvalého pobytu</w:t>
            </w:r>
          </w:p>
          <w:p w:rsidR="007B35C5" w:rsidRPr="007B35C5" w:rsidRDefault="007B35C5" w:rsidP="003402AB">
            <w:pPr>
              <w:jc w:val="both"/>
            </w:pPr>
            <w:r w:rsidRPr="007B35C5">
              <w:t>(jedná-li se o fyzickou osobu)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35C5" w:rsidRPr="007B35C5" w:rsidRDefault="00F16050" w:rsidP="003402AB">
            <w:pPr>
              <w:jc w:val="both"/>
            </w:pPr>
            <w:r>
              <w:t>Plzeňská 2599, 269 01 Rakovník</w:t>
            </w:r>
          </w:p>
        </w:tc>
      </w:tr>
      <w:tr w:rsidR="007B35C5" w:rsidRPr="007B35C5" w:rsidTr="003402AB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7B35C5" w:rsidRPr="007B35C5" w:rsidRDefault="007B35C5" w:rsidP="003402AB">
            <w:pPr>
              <w:jc w:val="both"/>
            </w:pPr>
            <w:r w:rsidRPr="007B35C5">
              <w:t>Právní forma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35C5" w:rsidRPr="007B35C5" w:rsidRDefault="00F16050" w:rsidP="003402AB">
            <w:pPr>
              <w:jc w:val="both"/>
            </w:pPr>
            <w:r>
              <w:t>Společnost s ručením omezeným</w:t>
            </w:r>
          </w:p>
        </w:tc>
      </w:tr>
      <w:tr w:rsidR="007B35C5" w:rsidRPr="007B35C5" w:rsidTr="003402AB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hideMark/>
          </w:tcPr>
          <w:p w:rsidR="007B35C5" w:rsidRPr="007B35C5" w:rsidRDefault="007B35C5" w:rsidP="003402AB">
            <w:pPr>
              <w:jc w:val="both"/>
            </w:pPr>
            <w:r w:rsidRPr="007B35C5">
              <w:t>IČ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35C5" w:rsidRPr="007B35C5" w:rsidRDefault="00F16050" w:rsidP="003402AB">
            <w:pPr>
              <w:jc w:val="both"/>
            </w:pPr>
            <w:r>
              <w:t>45147647</w:t>
            </w:r>
          </w:p>
        </w:tc>
      </w:tr>
      <w:tr w:rsidR="007B35C5" w:rsidRPr="007B35C5" w:rsidTr="003402AB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7B35C5" w:rsidRPr="007B35C5" w:rsidRDefault="007B35C5" w:rsidP="003402AB">
            <w:pPr>
              <w:jc w:val="both"/>
            </w:pPr>
            <w:r w:rsidRPr="007B35C5">
              <w:t>Telefon</w:t>
            </w:r>
          </w:p>
        </w:tc>
        <w:tc>
          <w:tcPr>
            <w:tcW w:w="4532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35C5" w:rsidRPr="007B35C5" w:rsidRDefault="007B35C5" w:rsidP="003402AB">
            <w:pPr>
              <w:jc w:val="both"/>
            </w:pPr>
          </w:p>
        </w:tc>
      </w:tr>
      <w:tr w:rsidR="007B35C5" w:rsidRPr="007B35C5" w:rsidTr="003402AB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7B35C5" w:rsidRPr="007B35C5" w:rsidRDefault="007B35C5" w:rsidP="003402AB">
            <w:pPr>
              <w:jc w:val="both"/>
            </w:pPr>
            <w:r w:rsidRPr="007B35C5">
              <w:t>Fax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35C5" w:rsidRPr="007B35C5" w:rsidRDefault="007B35C5" w:rsidP="003402AB">
            <w:pPr>
              <w:jc w:val="both"/>
            </w:pPr>
          </w:p>
        </w:tc>
      </w:tr>
      <w:tr w:rsidR="007B35C5" w:rsidRPr="007B35C5" w:rsidTr="003402AB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7B35C5" w:rsidRPr="007B35C5" w:rsidRDefault="007B35C5" w:rsidP="003402AB">
            <w:pPr>
              <w:jc w:val="both"/>
            </w:pPr>
            <w:r w:rsidRPr="007B35C5">
              <w:t>E-mail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B35C5" w:rsidRPr="007B35C5" w:rsidRDefault="007B35C5" w:rsidP="003402AB">
            <w:pPr>
              <w:jc w:val="both"/>
            </w:pPr>
          </w:p>
        </w:tc>
      </w:tr>
      <w:tr w:rsidR="007B35C5" w:rsidRPr="007B35C5" w:rsidTr="003402AB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7B35C5" w:rsidRPr="007B35C5" w:rsidRDefault="007B35C5" w:rsidP="003402AB">
            <w:r w:rsidRPr="007B35C5">
              <w:t>Kontaktní osoba pro</w:t>
            </w:r>
          </w:p>
          <w:p w:rsidR="007B35C5" w:rsidRPr="007B35C5" w:rsidRDefault="007B35C5" w:rsidP="003402AB">
            <w:pPr>
              <w:jc w:val="both"/>
            </w:pPr>
            <w:r w:rsidRPr="007B35C5">
              <w:t>jednání ve věci nabídky</w:t>
            </w:r>
          </w:p>
        </w:tc>
        <w:tc>
          <w:tcPr>
            <w:tcW w:w="45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5C5" w:rsidRPr="007B35C5" w:rsidRDefault="007B35C5" w:rsidP="003402AB">
            <w:pPr>
              <w:jc w:val="both"/>
            </w:pPr>
          </w:p>
        </w:tc>
      </w:tr>
    </w:tbl>
    <w:p w:rsidR="007B35C5" w:rsidRPr="007B35C5" w:rsidRDefault="007B35C5" w:rsidP="007B35C5">
      <w:pPr>
        <w:jc w:val="both"/>
      </w:pPr>
    </w:p>
    <w:p w:rsidR="007B35C5" w:rsidRPr="007B35C5" w:rsidRDefault="007B35C5" w:rsidP="007B35C5">
      <w:pPr>
        <w:jc w:val="both"/>
      </w:pPr>
      <w:r w:rsidRPr="007B35C5">
        <w:t xml:space="preserve">   </w:t>
      </w:r>
      <w:r w:rsidRPr="007B35C5">
        <w:rPr>
          <w:b/>
          <w:u w:val="single"/>
        </w:rPr>
        <w:t>Požadavky na provedení</w:t>
      </w:r>
      <w:r w:rsidRPr="007B35C5">
        <w:rPr>
          <w:u w:val="single"/>
        </w:rPr>
        <w:t>:</w:t>
      </w:r>
    </w:p>
    <w:p w:rsidR="007B35C5" w:rsidRPr="007B35C5" w:rsidRDefault="007B35C5" w:rsidP="007B35C5">
      <w:pPr>
        <w:rPr>
          <w:b/>
          <w:sz w:val="20"/>
          <w:szCs w:val="20"/>
        </w:rPr>
      </w:pPr>
      <w:r w:rsidRPr="007B35C5">
        <w:rPr>
          <w:b/>
          <w:sz w:val="20"/>
          <w:szCs w:val="20"/>
        </w:rPr>
        <w:t xml:space="preserve">       </w:t>
      </w:r>
    </w:p>
    <w:p w:rsidR="007B35C5" w:rsidRPr="007B35C5" w:rsidRDefault="007B35C5" w:rsidP="007B35C5">
      <w:pPr>
        <w:pStyle w:val="Zkladntext2"/>
        <w:spacing w:after="0" w:line="240" w:lineRule="auto"/>
        <w:ind w:right="-2"/>
        <w:jc w:val="both"/>
        <w:rPr>
          <w:noProof/>
          <w:sz w:val="22"/>
        </w:rPr>
      </w:pPr>
      <w:r w:rsidRPr="007B35C5">
        <w:rPr>
          <w:noProof/>
          <w:sz w:val="22"/>
        </w:rPr>
        <w:t>Automatická sypací nástavba pro nákladní vozidlo pro posyp vozovky zkrápěnými chemickými rozmrazovacími látkami.</w:t>
      </w:r>
    </w:p>
    <w:p w:rsidR="007B35C5" w:rsidRPr="007B35C5" w:rsidRDefault="007B35C5" w:rsidP="007B35C5">
      <w:pPr>
        <w:rPr>
          <w:noProof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B35C5" w:rsidRPr="007B35C5" w:rsidTr="003402AB">
        <w:tc>
          <w:tcPr>
            <w:tcW w:w="8008" w:type="dxa"/>
          </w:tcPr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>pásový systém vyskladňování materiálu s drobícím zařízením</w:t>
            </w:r>
          </w:p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 xml:space="preserve">centrální ovládací pult s LCD displejem </w:t>
            </w:r>
          </w:p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>odklápěcí střecha, ovládání ze země pomocí lanovodu</w:t>
            </w:r>
          </w:p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>síto 100x100 mm proti vniknutí větších kamenů do sypače</w:t>
            </w:r>
          </w:p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proofErr w:type="spellStart"/>
            <w:r w:rsidRPr="00232DA1">
              <w:rPr>
                <w:sz w:val="24"/>
              </w:rPr>
              <w:t>solankový</w:t>
            </w:r>
            <w:proofErr w:type="spellEnd"/>
            <w:r w:rsidRPr="00232DA1">
              <w:rPr>
                <w:sz w:val="24"/>
              </w:rPr>
              <w:t xml:space="preserve"> systém min.  2 400 l odpovídající normě EN 15597</w:t>
            </w:r>
          </w:p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>dávkování sůl: 5-40 g/m</w:t>
            </w:r>
            <w:r w:rsidRPr="00232DA1">
              <w:rPr>
                <w:sz w:val="24"/>
                <w:vertAlign w:val="superscript"/>
              </w:rPr>
              <w:t>2</w:t>
            </w:r>
            <w:r w:rsidRPr="00232DA1">
              <w:rPr>
                <w:sz w:val="24"/>
              </w:rPr>
              <w:t>, dávkování po 1</w:t>
            </w:r>
            <w:r w:rsidR="00AA549C">
              <w:rPr>
                <w:sz w:val="24"/>
              </w:rPr>
              <w:t xml:space="preserve"> </w:t>
            </w:r>
            <w:r w:rsidRPr="00232DA1">
              <w:rPr>
                <w:sz w:val="24"/>
              </w:rPr>
              <w:t>g/m</w:t>
            </w:r>
            <w:r w:rsidRPr="00232DA1">
              <w:rPr>
                <w:sz w:val="24"/>
                <w:vertAlign w:val="superscript"/>
              </w:rPr>
              <w:t>2</w:t>
            </w:r>
          </w:p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>dávkování písek/štěrk: 30-320 g/m</w:t>
            </w:r>
            <w:r w:rsidRPr="00232DA1">
              <w:rPr>
                <w:sz w:val="24"/>
                <w:vertAlign w:val="superscript"/>
              </w:rPr>
              <w:t>2</w:t>
            </w:r>
            <w:r w:rsidRPr="00232DA1">
              <w:rPr>
                <w:sz w:val="24"/>
              </w:rPr>
              <w:t>, dávkování po 5 g/m</w:t>
            </w:r>
            <w:r w:rsidRPr="00232DA1">
              <w:rPr>
                <w:sz w:val="24"/>
                <w:vertAlign w:val="superscript"/>
              </w:rPr>
              <w:t>2</w:t>
            </w:r>
          </w:p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 xml:space="preserve">nouzové ovládání sypače vzadu pomocí ventilů, zaručena funkce při poruše </w:t>
            </w:r>
            <w:proofErr w:type="spellStart"/>
            <w:r w:rsidRPr="00232DA1">
              <w:rPr>
                <w:sz w:val="24"/>
              </w:rPr>
              <w:t>ovl</w:t>
            </w:r>
            <w:proofErr w:type="spellEnd"/>
            <w:r w:rsidRPr="00232DA1">
              <w:rPr>
                <w:sz w:val="24"/>
              </w:rPr>
              <w:t>. pultu</w:t>
            </w:r>
          </w:p>
        </w:tc>
      </w:tr>
      <w:tr w:rsidR="007B35C5" w:rsidRPr="007B35C5" w:rsidTr="003402AB">
        <w:tc>
          <w:tcPr>
            <w:tcW w:w="8008" w:type="dxa"/>
          </w:tcPr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 xml:space="preserve">elektronické </w:t>
            </w:r>
            <w:proofErr w:type="spellStart"/>
            <w:proofErr w:type="gramStart"/>
            <w:r w:rsidRPr="00232DA1">
              <w:rPr>
                <w:sz w:val="24"/>
              </w:rPr>
              <w:t>nastavení.symetrie</w:t>
            </w:r>
            <w:proofErr w:type="spellEnd"/>
            <w:proofErr w:type="gramEnd"/>
            <w:r w:rsidRPr="00232DA1">
              <w:rPr>
                <w:sz w:val="24"/>
              </w:rPr>
              <w:t xml:space="preserve"> sypání, synchronizace s šířkou posypu </w:t>
            </w:r>
          </w:p>
        </w:tc>
      </w:tr>
      <w:tr w:rsidR="007B35C5" w:rsidRPr="007B35C5" w:rsidTr="003402AB">
        <w:tc>
          <w:tcPr>
            <w:tcW w:w="8008" w:type="dxa"/>
          </w:tcPr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 xml:space="preserve">elektronická kontrola posypu bez styku s materiálem </w:t>
            </w:r>
          </w:p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>tlačítko max. množství, možnost vysýpání při stojícím vozidle</w:t>
            </w:r>
          </w:p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 xml:space="preserve">kontrola sypání světlometem + kontrola </w:t>
            </w:r>
            <w:proofErr w:type="spellStart"/>
            <w:r w:rsidRPr="00232DA1">
              <w:rPr>
                <w:sz w:val="24"/>
              </w:rPr>
              <w:t>infra</w:t>
            </w:r>
            <w:proofErr w:type="spellEnd"/>
            <w:r w:rsidRPr="00232DA1">
              <w:rPr>
                <w:sz w:val="24"/>
              </w:rPr>
              <w:t>-světlem</w:t>
            </w:r>
          </w:p>
        </w:tc>
      </w:tr>
      <w:tr w:rsidR="007B35C5" w:rsidRPr="007B35C5" w:rsidTr="003402AB">
        <w:tc>
          <w:tcPr>
            <w:tcW w:w="8008" w:type="dxa"/>
          </w:tcPr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>rozmetací kotouč z nerez materiálu pro pracovní šířku 2-12 m</w:t>
            </w:r>
          </w:p>
        </w:tc>
      </w:tr>
      <w:tr w:rsidR="007B35C5" w:rsidRPr="007B35C5" w:rsidTr="003402AB">
        <w:trPr>
          <w:trHeight w:val="96"/>
        </w:trPr>
        <w:tc>
          <w:tcPr>
            <w:tcW w:w="8008" w:type="dxa"/>
          </w:tcPr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>plynová vzpěra na zvedání rozmetadla, pojistka, výškově stavitelné rozmetadlo</w:t>
            </w:r>
          </w:p>
        </w:tc>
      </w:tr>
      <w:tr w:rsidR="007B35C5" w:rsidRPr="007B35C5" w:rsidTr="003402AB">
        <w:trPr>
          <w:trHeight w:val="348"/>
        </w:trPr>
        <w:tc>
          <w:tcPr>
            <w:tcW w:w="8008" w:type="dxa"/>
          </w:tcPr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>2x výstražný oranžový maják LED vzadu na sypači</w:t>
            </w:r>
          </w:p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>výstražná oranžová alej vzadu na sypači</w:t>
            </w:r>
          </w:p>
          <w:p w:rsidR="007B35C5" w:rsidRPr="00232DA1" w:rsidRDefault="007B35C5" w:rsidP="00C54950">
            <w:pPr>
              <w:pStyle w:val="Seznamsodrkami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</w:pPr>
            <w:r w:rsidRPr="00232DA1">
              <w:t>odstavné prostředky, výškově stavitelné s nosností 3,0 t</w:t>
            </w:r>
          </w:p>
          <w:p w:rsidR="007B35C5" w:rsidRPr="00232DA1" w:rsidRDefault="007B35C5" w:rsidP="00C54950">
            <w:pPr>
              <w:pStyle w:val="Zkladntext"/>
              <w:numPr>
                <w:ilvl w:val="0"/>
                <w:numId w:val="17"/>
              </w:numPr>
              <w:tabs>
                <w:tab w:val="left" w:pos="567"/>
                <w:tab w:val="left" w:pos="2268"/>
                <w:tab w:val="left" w:pos="4253"/>
                <w:tab w:val="left" w:pos="6237"/>
                <w:tab w:val="left" w:pos="7088"/>
                <w:tab w:val="decimal" w:pos="8789"/>
              </w:tabs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232DA1">
              <w:rPr>
                <w:sz w:val="24"/>
              </w:rPr>
              <w:t>lakování RAL 2011 – komunální oranžová</w:t>
            </w:r>
          </w:p>
        </w:tc>
      </w:tr>
    </w:tbl>
    <w:p w:rsidR="007B35C5" w:rsidRPr="007B35C5" w:rsidRDefault="007B35C5" w:rsidP="007B35C5">
      <w:pPr>
        <w:pStyle w:val="Odstavecseseznamem"/>
        <w:rPr>
          <w:noProof/>
        </w:rPr>
      </w:pPr>
    </w:p>
    <w:p w:rsidR="007B35C5" w:rsidRPr="007B35C5" w:rsidRDefault="007B35C5" w:rsidP="007B35C5">
      <w:pPr>
        <w:pStyle w:val="Odstavecseseznamem"/>
        <w:rPr>
          <w:noProof/>
        </w:rPr>
      </w:pPr>
    </w:p>
    <w:p w:rsidR="007B35C5" w:rsidRPr="007B35C5" w:rsidRDefault="007B35C5" w:rsidP="007B35C5">
      <w:pPr>
        <w:pStyle w:val="Zkladntext2"/>
        <w:spacing w:after="0" w:line="240" w:lineRule="auto"/>
        <w:ind w:right="-2"/>
        <w:jc w:val="both"/>
        <w:rPr>
          <w:noProof/>
        </w:rPr>
      </w:pPr>
      <w:r w:rsidRPr="007B35C5">
        <w:rPr>
          <w:noProof/>
        </w:rPr>
        <w:t>Centrální ovládací pult umístěn v kabině řidiče s funkcemi min:</w:t>
      </w:r>
    </w:p>
    <w:p w:rsidR="007B35C5" w:rsidRPr="007B35C5" w:rsidRDefault="007B35C5" w:rsidP="00C54950">
      <w:pPr>
        <w:pStyle w:val="Zkladntext2"/>
        <w:numPr>
          <w:ilvl w:val="0"/>
          <w:numId w:val="16"/>
        </w:numPr>
        <w:spacing w:after="0" w:line="240" w:lineRule="auto"/>
        <w:ind w:right="-2"/>
        <w:jc w:val="both"/>
        <w:rPr>
          <w:noProof/>
        </w:rPr>
      </w:pPr>
      <w:r w:rsidRPr="007B35C5">
        <w:rPr>
          <w:noProof/>
        </w:rPr>
        <w:lastRenderedPageBreak/>
        <w:t>nastavení množství posypu,</w:t>
      </w:r>
    </w:p>
    <w:p w:rsidR="007B35C5" w:rsidRPr="007B35C5" w:rsidRDefault="007B35C5" w:rsidP="00C54950">
      <w:pPr>
        <w:pStyle w:val="Zkladntext2"/>
        <w:numPr>
          <w:ilvl w:val="0"/>
          <w:numId w:val="16"/>
        </w:numPr>
        <w:spacing w:after="0" w:line="240" w:lineRule="auto"/>
        <w:ind w:right="-2"/>
        <w:jc w:val="both"/>
        <w:rPr>
          <w:noProof/>
        </w:rPr>
      </w:pPr>
      <w:r w:rsidRPr="007B35C5">
        <w:rPr>
          <w:noProof/>
        </w:rPr>
        <w:t>nastavení šířky posypu,</w:t>
      </w:r>
    </w:p>
    <w:p w:rsidR="007B35C5" w:rsidRPr="007B35C5" w:rsidRDefault="007B35C5" w:rsidP="00C54950">
      <w:pPr>
        <w:pStyle w:val="Zkladntext2"/>
        <w:numPr>
          <w:ilvl w:val="0"/>
          <w:numId w:val="16"/>
        </w:numPr>
        <w:spacing w:after="0" w:line="240" w:lineRule="auto"/>
        <w:ind w:right="-2"/>
        <w:jc w:val="both"/>
        <w:rPr>
          <w:noProof/>
        </w:rPr>
      </w:pPr>
      <w:r w:rsidRPr="007B35C5">
        <w:rPr>
          <w:noProof/>
        </w:rPr>
        <w:t>volba druhu materiálu s možností předprogramování,</w:t>
      </w:r>
    </w:p>
    <w:p w:rsidR="007B35C5" w:rsidRPr="007B35C5" w:rsidRDefault="007B35C5" w:rsidP="00C54950">
      <w:pPr>
        <w:pStyle w:val="Zkladntext2"/>
        <w:numPr>
          <w:ilvl w:val="0"/>
          <w:numId w:val="16"/>
        </w:numPr>
        <w:spacing w:after="0" w:line="240" w:lineRule="auto"/>
        <w:ind w:right="-2"/>
        <w:jc w:val="both"/>
        <w:rPr>
          <w:noProof/>
        </w:rPr>
      </w:pPr>
      <w:r w:rsidRPr="007B35C5">
        <w:rPr>
          <w:noProof/>
        </w:rPr>
        <w:t>ovládání zkrápění (</w:t>
      </w:r>
      <w:bookmarkStart w:id="1" w:name="OLE_LINK2"/>
      <w:r w:rsidRPr="007B35C5">
        <w:rPr>
          <w:noProof/>
        </w:rPr>
        <w:t>zap/vyp</w:t>
      </w:r>
      <w:bookmarkEnd w:id="1"/>
      <w:r w:rsidRPr="007B35C5">
        <w:rPr>
          <w:noProof/>
        </w:rPr>
        <w:t xml:space="preserve"> a nastavení procentuálního poměru),</w:t>
      </w:r>
    </w:p>
    <w:p w:rsidR="007B35C5" w:rsidRPr="007B35C5" w:rsidRDefault="007B35C5" w:rsidP="00C54950">
      <w:pPr>
        <w:pStyle w:val="Zkladntext2"/>
        <w:numPr>
          <w:ilvl w:val="0"/>
          <w:numId w:val="16"/>
        </w:numPr>
        <w:spacing w:after="0" w:line="240" w:lineRule="auto"/>
        <w:ind w:right="-2"/>
        <w:jc w:val="both"/>
        <w:rPr>
          <w:noProof/>
        </w:rPr>
      </w:pPr>
      <w:r w:rsidRPr="007B35C5">
        <w:rPr>
          <w:noProof/>
        </w:rPr>
        <w:t xml:space="preserve">zap/vyp majáků </w:t>
      </w:r>
    </w:p>
    <w:p w:rsidR="007B35C5" w:rsidRPr="007B35C5" w:rsidRDefault="007B35C5" w:rsidP="00C54950">
      <w:pPr>
        <w:pStyle w:val="Zkladntext2"/>
        <w:numPr>
          <w:ilvl w:val="0"/>
          <w:numId w:val="16"/>
        </w:numPr>
        <w:spacing w:after="0" w:line="240" w:lineRule="auto"/>
        <w:ind w:right="-2"/>
        <w:jc w:val="both"/>
        <w:rPr>
          <w:noProof/>
        </w:rPr>
      </w:pPr>
      <w:r w:rsidRPr="007B35C5">
        <w:rPr>
          <w:noProof/>
        </w:rPr>
        <w:t>zap/vyp posypu,</w:t>
      </w:r>
    </w:p>
    <w:p w:rsidR="007B35C5" w:rsidRPr="007B35C5" w:rsidRDefault="007B35C5" w:rsidP="00C54950">
      <w:pPr>
        <w:pStyle w:val="Zkladntext2"/>
        <w:numPr>
          <w:ilvl w:val="0"/>
          <w:numId w:val="16"/>
        </w:numPr>
        <w:spacing w:after="0" w:line="240" w:lineRule="auto"/>
        <w:ind w:right="-2"/>
        <w:jc w:val="both"/>
        <w:rPr>
          <w:noProof/>
        </w:rPr>
      </w:pPr>
      <w:r w:rsidRPr="007B35C5">
        <w:rPr>
          <w:noProof/>
        </w:rPr>
        <w:t>možnost sledování sledovat spotřebu soli a solanky</w:t>
      </w:r>
    </w:p>
    <w:p w:rsidR="007B35C5" w:rsidRPr="007B35C5" w:rsidRDefault="007B35C5" w:rsidP="00C54950">
      <w:pPr>
        <w:pStyle w:val="Zkladntext2"/>
        <w:numPr>
          <w:ilvl w:val="0"/>
          <w:numId w:val="16"/>
        </w:numPr>
        <w:spacing w:after="0" w:line="240" w:lineRule="auto"/>
        <w:ind w:right="-2"/>
        <w:jc w:val="both"/>
        <w:rPr>
          <w:noProof/>
        </w:rPr>
      </w:pPr>
      <w:r w:rsidRPr="007B35C5">
        <w:rPr>
          <w:noProof/>
        </w:rPr>
        <w:t>ovládací panel bude mít grafický displej s menu v českém jazyce,</w:t>
      </w:r>
      <w:bookmarkStart w:id="2" w:name="_Hlk535393107"/>
    </w:p>
    <w:bookmarkEnd w:id="2"/>
    <w:p w:rsidR="007B35C5" w:rsidRPr="007B35C5" w:rsidRDefault="007B35C5" w:rsidP="007B35C5">
      <w:pPr>
        <w:pStyle w:val="Zkladntext2"/>
        <w:spacing w:after="0" w:line="240" w:lineRule="auto"/>
        <w:ind w:right="-2"/>
        <w:jc w:val="both"/>
        <w:rPr>
          <w:noProof/>
        </w:rPr>
      </w:pPr>
    </w:p>
    <w:p w:rsidR="007B35C5" w:rsidRPr="007B35C5" w:rsidRDefault="007B35C5" w:rsidP="007B35C5">
      <w:pPr>
        <w:pStyle w:val="Zkladntext2"/>
        <w:spacing w:after="0" w:line="240" w:lineRule="auto"/>
        <w:ind w:right="-2"/>
        <w:jc w:val="both"/>
        <w:rPr>
          <w:b/>
          <w:bCs/>
          <w:noProof/>
        </w:rPr>
      </w:pPr>
      <w:r w:rsidRPr="007B35C5">
        <w:rPr>
          <w:b/>
          <w:bCs/>
          <w:noProof/>
        </w:rPr>
        <w:t>Požadovaná součást nabídky:</w:t>
      </w:r>
    </w:p>
    <w:p w:rsidR="007B35C5" w:rsidRPr="007B35C5" w:rsidRDefault="007B35C5" w:rsidP="007B35C5">
      <w:pPr>
        <w:pStyle w:val="Zkladntext2"/>
        <w:spacing w:after="0" w:line="240" w:lineRule="auto"/>
        <w:ind w:right="-2"/>
        <w:jc w:val="both"/>
        <w:rPr>
          <w:b/>
          <w:bCs/>
          <w:noProof/>
        </w:rPr>
      </w:pPr>
    </w:p>
    <w:p w:rsidR="007B35C5" w:rsidRPr="007B35C5" w:rsidRDefault="007B35C5" w:rsidP="00C54950">
      <w:pPr>
        <w:pStyle w:val="Zkladntext2"/>
        <w:numPr>
          <w:ilvl w:val="0"/>
          <w:numId w:val="16"/>
        </w:numPr>
        <w:spacing w:after="0" w:line="240" w:lineRule="auto"/>
        <w:ind w:right="-2"/>
        <w:jc w:val="both"/>
        <w:rPr>
          <w:noProof/>
        </w:rPr>
      </w:pPr>
      <w:r w:rsidRPr="007B35C5">
        <w:rPr>
          <w:noProof/>
        </w:rPr>
        <w:t>sypač musí být kompatibilní s komunální hydraulikou Schmidt ANB 2 (50l/200 bar)</w:t>
      </w:r>
    </w:p>
    <w:p w:rsidR="007B35C5" w:rsidRPr="007B35C5" w:rsidRDefault="007B35C5" w:rsidP="00C54950">
      <w:pPr>
        <w:pStyle w:val="Zkladntext2"/>
        <w:numPr>
          <w:ilvl w:val="0"/>
          <w:numId w:val="16"/>
        </w:numPr>
        <w:spacing w:after="0" w:line="240" w:lineRule="auto"/>
        <w:ind w:right="-2"/>
        <w:jc w:val="both"/>
        <w:rPr>
          <w:noProof/>
        </w:rPr>
      </w:pPr>
      <w:r w:rsidRPr="007B35C5">
        <w:rPr>
          <w:noProof/>
        </w:rPr>
        <w:t xml:space="preserve">mezirám pro hydraulický odstavný systém Faun Samosběrná zametací nástavba), který je součástí podvozku - NVN MB Arocs, VIN:  </w:t>
      </w:r>
      <w:bookmarkStart w:id="3" w:name="_GoBack"/>
      <w:bookmarkEnd w:id="3"/>
      <w:r w:rsidRPr="007B35C5">
        <w:rPr>
          <w:noProof/>
        </w:rPr>
        <w:t>– středisko Cheb</w:t>
      </w:r>
    </w:p>
    <w:p w:rsidR="007B35C5" w:rsidRPr="007B35C5" w:rsidRDefault="007B35C5" w:rsidP="00C54950">
      <w:pPr>
        <w:pStyle w:val="Zkladntext2"/>
        <w:numPr>
          <w:ilvl w:val="0"/>
          <w:numId w:val="16"/>
        </w:numPr>
        <w:spacing w:after="0" w:line="240" w:lineRule="auto"/>
        <w:ind w:right="-2"/>
        <w:jc w:val="both"/>
        <w:rPr>
          <w:noProof/>
        </w:rPr>
      </w:pPr>
      <w:r w:rsidRPr="007B35C5">
        <w:rPr>
          <w:noProof/>
        </w:rPr>
        <w:t>dovybavení podvozku bočními zábranami</w:t>
      </w:r>
    </w:p>
    <w:p w:rsidR="007B35C5" w:rsidRPr="00232DA1" w:rsidRDefault="007B35C5" w:rsidP="007B35C5">
      <w:pPr>
        <w:spacing w:line="168" w:lineRule="auto"/>
        <w:rPr>
          <w:sz w:val="28"/>
        </w:rPr>
      </w:pPr>
    </w:p>
    <w:p w:rsidR="007B35C5" w:rsidRPr="00232DA1" w:rsidRDefault="007B35C5" w:rsidP="007B35C5">
      <w:pPr>
        <w:spacing w:after="160" w:line="168" w:lineRule="auto"/>
        <w:rPr>
          <w:rFonts w:eastAsia="Calibri"/>
          <w:szCs w:val="20"/>
          <w:lang w:eastAsia="en-US"/>
        </w:rPr>
      </w:pPr>
      <w:r w:rsidRPr="00232DA1">
        <w:rPr>
          <w:rFonts w:eastAsia="Calibri"/>
          <w:szCs w:val="20"/>
          <w:lang w:eastAsia="en-US"/>
        </w:rPr>
        <w:t>Další požadavky:</w:t>
      </w:r>
    </w:p>
    <w:p w:rsidR="007B35C5" w:rsidRPr="00232DA1" w:rsidRDefault="007B35C5" w:rsidP="007B35C5">
      <w:pPr>
        <w:spacing w:after="160" w:line="168" w:lineRule="auto"/>
        <w:rPr>
          <w:rFonts w:eastAsia="Calibri"/>
          <w:szCs w:val="20"/>
          <w:lang w:eastAsia="en-US"/>
        </w:rPr>
      </w:pPr>
      <w:r w:rsidRPr="00232DA1">
        <w:rPr>
          <w:rFonts w:eastAsia="Calibri"/>
          <w:szCs w:val="20"/>
          <w:lang w:eastAsia="en-US"/>
        </w:rPr>
        <w:t>- záruční a pozáruční servis</w:t>
      </w:r>
    </w:p>
    <w:p w:rsidR="007B35C5" w:rsidRPr="00232DA1" w:rsidRDefault="007B35C5" w:rsidP="007B35C5">
      <w:pPr>
        <w:spacing w:after="160" w:line="168" w:lineRule="auto"/>
        <w:rPr>
          <w:rFonts w:eastAsia="Calibri"/>
          <w:szCs w:val="20"/>
          <w:lang w:eastAsia="en-US"/>
        </w:rPr>
      </w:pPr>
      <w:r w:rsidRPr="00232DA1">
        <w:rPr>
          <w:rFonts w:eastAsia="Calibri"/>
          <w:szCs w:val="20"/>
          <w:lang w:eastAsia="en-US"/>
        </w:rPr>
        <w:t>- zaškolení obsluhy</w:t>
      </w:r>
    </w:p>
    <w:p w:rsidR="007B35C5" w:rsidRPr="00232DA1" w:rsidRDefault="007B35C5" w:rsidP="007B35C5">
      <w:pPr>
        <w:spacing w:after="160" w:line="168" w:lineRule="auto"/>
        <w:rPr>
          <w:rFonts w:eastAsia="Calibri"/>
          <w:szCs w:val="20"/>
          <w:lang w:eastAsia="en-US"/>
        </w:rPr>
      </w:pPr>
      <w:r w:rsidRPr="00232DA1">
        <w:rPr>
          <w:rFonts w:eastAsia="Calibri"/>
          <w:szCs w:val="20"/>
          <w:lang w:eastAsia="en-US"/>
        </w:rPr>
        <w:t>- návod na obsluhu a údržbu v češtině</w:t>
      </w:r>
    </w:p>
    <w:p w:rsidR="007B35C5" w:rsidRPr="00232DA1" w:rsidRDefault="007B35C5" w:rsidP="007B35C5">
      <w:pPr>
        <w:spacing w:after="160" w:line="168" w:lineRule="auto"/>
        <w:rPr>
          <w:rFonts w:eastAsia="Calibri"/>
          <w:szCs w:val="20"/>
          <w:lang w:eastAsia="en-US"/>
        </w:rPr>
      </w:pPr>
      <w:r w:rsidRPr="00232DA1">
        <w:rPr>
          <w:rFonts w:eastAsia="Calibri"/>
          <w:szCs w:val="20"/>
          <w:lang w:eastAsia="en-US"/>
        </w:rPr>
        <w:t>- nastavení dávkování a vystavení protokolu dle TP 127</w:t>
      </w:r>
    </w:p>
    <w:p w:rsidR="007B35C5" w:rsidRPr="00232DA1" w:rsidRDefault="007B35C5" w:rsidP="007B35C5">
      <w:pPr>
        <w:spacing w:after="160" w:line="168" w:lineRule="auto"/>
        <w:rPr>
          <w:rFonts w:eastAsia="Calibri"/>
          <w:szCs w:val="20"/>
          <w:lang w:eastAsia="en-US"/>
        </w:rPr>
      </w:pPr>
      <w:r w:rsidRPr="00232DA1">
        <w:rPr>
          <w:rFonts w:eastAsia="Calibri"/>
          <w:szCs w:val="20"/>
          <w:lang w:eastAsia="en-US"/>
        </w:rPr>
        <w:t xml:space="preserve">- sypačová nástavba musí splňovat podmínky pro provoz na pozemních komunikacích dle    </w:t>
      </w:r>
    </w:p>
    <w:p w:rsidR="007B35C5" w:rsidRPr="00232DA1" w:rsidRDefault="007B35C5" w:rsidP="007B35C5">
      <w:pPr>
        <w:spacing w:after="160" w:line="168" w:lineRule="auto"/>
        <w:rPr>
          <w:rFonts w:eastAsia="Calibri"/>
          <w:szCs w:val="20"/>
          <w:lang w:eastAsia="en-US"/>
        </w:rPr>
      </w:pPr>
      <w:r w:rsidRPr="00232DA1">
        <w:rPr>
          <w:rFonts w:eastAsia="Calibri"/>
          <w:szCs w:val="20"/>
          <w:lang w:eastAsia="en-US"/>
        </w:rPr>
        <w:t xml:space="preserve">  platných právních norem včetně hygienických</w:t>
      </w:r>
    </w:p>
    <w:p w:rsidR="007B35C5" w:rsidRPr="00232DA1" w:rsidRDefault="007B35C5" w:rsidP="007B35C5">
      <w:pPr>
        <w:spacing w:after="160" w:line="168" w:lineRule="auto"/>
        <w:rPr>
          <w:rFonts w:eastAsia="Calibri"/>
          <w:szCs w:val="20"/>
          <w:lang w:eastAsia="en-US"/>
        </w:rPr>
      </w:pPr>
      <w:r w:rsidRPr="00232DA1">
        <w:rPr>
          <w:rFonts w:eastAsia="Calibri"/>
          <w:szCs w:val="20"/>
          <w:lang w:eastAsia="en-US"/>
        </w:rPr>
        <w:t>- dodání technického osvědčení výměnných nástaveb</w:t>
      </w:r>
    </w:p>
    <w:p w:rsidR="007B35C5" w:rsidRPr="00232DA1" w:rsidRDefault="007B35C5" w:rsidP="007B35C5">
      <w:pPr>
        <w:spacing w:after="160" w:line="168" w:lineRule="auto"/>
        <w:rPr>
          <w:rFonts w:eastAsia="Calibri"/>
          <w:szCs w:val="20"/>
          <w:lang w:eastAsia="en-US"/>
        </w:rPr>
      </w:pPr>
      <w:r w:rsidRPr="00232DA1">
        <w:rPr>
          <w:rFonts w:eastAsia="Calibri"/>
          <w:szCs w:val="20"/>
          <w:lang w:eastAsia="en-US"/>
        </w:rPr>
        <w:t>- termín dodání – leden 2025 (možno i dříve) a doba záruky</w:t>
      </w:r>
    </w:p>
    <w:p w:rsidR="007B35C5" w:rsidRPr="00232DA1" w:rsidRDefault="007B35C5" w:rsidP="007B35C5">
      <w:pPr>
        <w:spacing w:after="160" w:line="168" w:lineRule="auto"/>
        <w:rPr>
          <w:rFonts w:eastAsia="Calibri"/>
          <w:sz w:val="28"/>
          <w:szCs w:val="22"/>
          <w:lang w:eastAsia="en-US"/>
        </w:rPr>
      </w:pPr>
      <w:r w:rsidRPr="00232DA1">
        <w:rPr>
          <w:rFonts w:eastAsia="Calibri"/>
          <w:sz w:val="28"/>
          <w:szCs w:val="22"/>
          <w:lang w:eastAsia="en-US"/>
        </w:rPr>
        <w:t xml:space="preserve">- </w:t>
      </w:r>
      <w:r w:rsidRPr="00232DA1">
        <w:rPr>
          <w:rFonts w:eastAsia="Calibri"/>
          <w:szCs w:val="20"/>
          <w:lang w:eastAsia="en-US"/>
        </w:rPr>
        <w:t>veškeré návody v češtině včetně technického osvědčení výměnných nástaveb</w:t>
      </w:r>
    </w:p>
    <w:p w:rsidR="007B35C5" w:rsidRPr="007B35C5" w:rsidRDefault="007B35C5" w:rsidP="007B35C5"/>
    <w:p w:rsidR="007B35C5" w:rsidRPr="007B35C5" w:rsidRDefault="007B35C5" w:rsidP="007B35C5">
      <w:pPr>
        <w:rPr>
          <w:b/>
          <w:color w:val="000000"/>
        </w:rPr>
      </w:pPr>
    </w:p>
    <w:p w:rsidR="007B35C5" w:rsidRPr="007B35C5" w:rsidRDefault="007B35C5" w:rsidP="007B35C5">
      <w:pPr>
        <w:jc w:val="both"/>
        <w:rPr>
          <w:b/>
        </w:rPr>
      </w:pPr>
      <w:r w:rsidRPr="007B35C5">
        <w:rPr>
          <w:b/>
        </w:rPr>
        <w:t>Termín dodání: nejpozději do 31. 1. 2025 (možno i dříve)</w:t>
      </w:r>
    </w:p>
    <w:p w:rsidR="007B35C5" w:rsidRPr="007B35C5" w:rsidRDefault="007B35C5" w:rsidP="007B35C5"/>
    <w:p w:rsidR="007B35C5" w:rsidRPr="007B35C5" w:rsidRDefault="007B35C5" w:rsidP="007B35C5">
      <w:pPr>
        <w:rPr>
          <w:b/>
        </w:rPr>
      </w:pPr>
      <w:r w:rsidRPr="007B35C5">
        <w:rPr>
          <w:b/>
        </w:rPr>
        <w:t xml:space="preserve">Záruka: </w:t>
      </w:r>
      <w:r w:rsidR="008245D1">
        <w:rPr>
          <w:b/>
        </w:rPr>
        <w:t>24 měsíců</w:t>
      </w:r>
      <w:r w:rsidRPr="007B35C5">
        <w:rPr>
          <w:b/>
        </w:rPr>
        <w:t xml:space="preserve"> (doplní uchazeč, min. 24 měsíců)</w:t>
      </w:r>
    </w:p>
    <w:p w:rsidR="007B35C5" w:rsidRDefault="007B35C5" w:rsidP="00183FE4">
      <w:pPr>
        <w:pStyle w:val="Nadpis1"/>
        <w:numPr>
          <w:ilvl w:val="0"/>
          <w:numId w:val="0"/>
        </w:numPr>
        <w:ind w:left="1134" w:hanging="1134"/>
        <w:rPr>
          <w:rFonts w:cs="Times New Roman"/>
          <w:szCs w:val="24"/>
        </w:rPr>
      </w:pPr>
      <w:r w:rsidRPr="007B35C5">
        <w:rPr>
          <w:rFonts w:cs="Times New Roman"/>
          <w:szCs w:val="24"/>
        </w:rPr>
        <w:t xml:space="preserve">Cenová nabídka </w:t>
      </w:r>
    </w:p>
    <w:p w:rsidR="00183FE4" w:rsidRPr="00183FE4" w:rsidRDefault="00183FE4" w:rsidP="00183FE4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7B35C5" w:rsidRPr="007B35C5" w:rsidTr="003402AB">
        <w:trPr>
          <w:cantSplit/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B35C5" w:rsidRPr="007B35C5" w:rsidRDefault="007B35C5" w:rsidP="003402AB">
            <w:pPr>
              <w:rPr>
                <w:b/>
              </w:rPr>
            </w:pPr>
          </w:p>
          <w:p w:rsidR="007B35C5" w:rsidRPr="007B35C5" w:rsidRDefault="007B35C5" w:rsidP="003402AB">
            <w:pPr>
              <w:rPr>
                <w:b/>
              </w:rPr>
            </w:pPr>
            <w:r w:rsidRPr="007B35C5">
              <w:rPr>
                <w:b/>
              </w:rPr>
              <w:t>Nabídková cena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5C5" w:rsidRPr="007B35C5" w:rsidRDefault="008245D1" w:rsidP="008245D1">
            <w:pPr>
              <w:jc w:val="right"/>
              <w:rPr>
                <w:b/>
              </w:rPr>
            </w:pPr>
            <w:r w:rsidRPr="008245D1">
              <w:rPr>
                <w:b/>
              </w:rPr>
              <w:t>1 172 600,00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B35C5" w:rsidRPr="007B35C5" w:rsidRDefault="007B35C5" w:rsidP="003402AB">
            <w:pPr>
              <w:pStyle w:val="Nadpis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B35C5">
              <w:rPr>
                <w:rFonts w:ascii="Times New Roman" w:hAnsi="Times New Roman" w:cs="Times New Roman"/>
                <w:b/>
              </w:rPr>
              <w:t>Kč</w:t>
            </w:r>
          </w:p>
        </w:tc>
      </w:tr>
      <w:tr w:rsidR="007B35C5" w:rsidRPr="007B35C5" w:rsidTr="003402AB">
        <w:trPr>
          <w:cantSplit/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B35C5" w:rsidRPr="007B35C5" w:rsidRDefault="007B35C5" w:rsidP="003402AB">
            <w:pPr>
              <w:pStyle w:val="Nadpis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35C5">
              <w:rPr>
                <w:rFonts w:ascii="Times New Roman" w:hAnsi="Times New Roman" w:cs="Times New Roman"/>
                <w:color w:val="000000" w:themeColor="text1"/>
              </w:rPr>
              <w:t xml:space="preserve">Celkem 21 %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45D1" w:rsidRPr="008245D1" w:rsidRDefault="008245D1" w:rsidP="008245D1">
            <w:pPr>
              <w:pStyle w:val="Default"/>
              <w:jc w:val="right"/>
            </w:pPr>
            <w:r w:rsidRPr="008245D1">
              <w:t xml:space="preserve">246 246,00 </w:t>
            </w:r>
          </w:p>
          <w:p w:rsidR="007B35C5" w:rsidRPr="007B35C5" w:rsidRDefault="007B35C5" w:rsidP="003402AB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B35C5" w:rsidRPr="007B35C5" w:rsidRDefault="007B35C5" w:rsidP="003402AB">
            <w:pPr>
              <w:pStyle w:val="Nadpis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B35C5">
              <w:rPr>
                <w:rFonts w:ascii="Times New Roman" w:hAnsi="Times New Roman" w:cs="Times New Roman"/>
                <w:color w:val="000000" w:themeColor="text1"/>
              </w:rPr>
              <w:t>Kč</w:t>
            </w:r>
          </w:p>
        </w:tc>
      </w:tr>
      <w:tr w:rsidR="007B35C5" w:rsidRPr="007B35C5" w:rsidTr="003402AB">
        <w:trPr>
          <w:cantSplit/>
          <w:trHeight w:val="698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B35C5" w:rsidRPr="007B35C5" w:rsidRDefault="007B35C5" w:rsidP="003402AB"/>
          <w:p w:rsidR="007B35C5" w:rsidRPr="007B35C5" w:rsidRDefault="007B35C5" w:rsidP="003402AB">
            <w:r w:rsidRPr="007B35C5">
              <w:t xml:space="preserve">Celková cena včetně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5D1" w:rsidRPr="001F6FF5" w:rsidRDefault="008245D1" w:rsidP="008245D1">
            <w:pPr>
              <w:pStyle w:val="Default"/>
              <w:jc w:val="right"/>
            </w:pPr>
            <w:r w:rsidRPr="001F6FF5">
              <w:t xml:space="preserve">1 418 846,00 </w:t>
            </w:r>
          </w:p>
          <w:p w:rsidR="007B35C5" w:rsidRPr="007B35C5" w:rsidRDefault="007B35C5" w:rsidP="003402AB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B35C5" w:rsidRPr="007B35C5" w:rsidRDefault="007B35C5" w:rsidP="003402AB">
            <w:pPr>
              <w:pStyle w:val="Nadpis5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7B35C5">
              <w:rPr>
                <w:rFonts w:ascii="Times New Roman" w:hAnsi="Times New Roman" w:cs="Times New Roman"/>
                <w:color w:val="000000" w:themeColor="text1"/>
              </w:rPr>
              <w:t>Kč</w:t>
            </w:r>
          </w:p>
        </w:tc>
      </w:tr>
    </w:tbl>
    <w:p w:rsidR="007B35C5" w:rsidRPr="007B35C5" w:rsidRDefault="007B35C5" w:rsidP="007B35C5">
      <w:r w:rsidRPr="007B35C5">
        <w:tab/>
      </w:r>
    </w:p>
    <w:p w:rsidR="007B35C5" w:rsidRPr="007B35C5" w:rsidRDefault="007B35C5" w:rsidP="007B35C5">
      <w:r w:rsidRPr="007B35C5">
        <w:tab/>
      </w:r>
      <w:r w:rsidRPr="007B35C5">
        <w:tab/>
      </w:r>
      <w:r w:rsidRPr="007B35C5">
        <w:tab/>
      </w:r>
      <w:r w:rsidRPr="007B35C5">
        <w:tab/>
      </w:r>
      <w:r w:rsidRPr="007B35C5">
        <w:tab/>
      </w:r>
      <w:r w:rsidRPr="007B35C5">
        <w:tab/>
      </w:r>
      <w:r w:rsidRPr="007B35C5">
        <w:tab/>
      </w:r>
      <w:r w:rsidRPr="007B35C5">
        <w:tab/>
      </w:r>
    </w:p>
    <w:p w:rsidR="007B35C5" w:rsidRPr="007B35C5" w:rsidRDefault="007B35C5" w:rsidP="007B35C5">
      <w:r w:rsidRPr="007B35C5">
        <w:t>V .................................. dne</w:t>
      </w:r>
    </w:p>
    <w:p w:rsidR="007B35C5" w:rsidRPr="007B35C5" w:rsidRDefault="007B35C5" w:rsidP="007B35C5">
      <w:pPr>
        <w:pBdr>
          <w:bottom w:val="single" w:sz="12" w:space="1" w:color="auto"/>
        </w:pBdr>
        <w:tabs>
          <w:tab w:val="center" w:pos="6804"/>
        </w:tabs>
        <w:ind w:left="4956"/>
      </w:pPr>
    </w:p>
    <w:p w:rsidR="007B35C5" w:rsidRPr="007B35C5" w:rsidRDefault="007B35C5" w:rsidP="007B35C5">
      <w:pPr>
        <w:tabs>
          <w:tab w:val="center" w:pos="6804"/>
        </w:tabs>
        <w:ind w:left="4956"/>
      </w:pPr>
      <w:r w:rsidRPr="007B35C5">
        <w:t xml:space="preserve">             jméno a podpis</w:t>
      </w:r>
    </w:p>
    <w:p w:rsidR="00B00086" w:rsidRPr="00232DA1" w:rsidRDefault="007B35C5" w:rsidP="00232DA1">
      <w:pPr>
        <w:tabs>
          <w:tab w:val="center" w:pos="6804"/>
        </w:tabs>
        <w:ind w:firstLine="708"/>
        <w:rPr>
          <w:i/>
        </w:rPr>
      </w:pPr>
      <w:r w:rsidRPr="007B35C5">
        <w:tab/>
        <w:t>oprávněného zástupce uchazeče</w:t>
      </w:r>
    </w:p>
    <w:sectPr w:rsidR="00B00086" w:rsidRPr="00232DA1" w:rsidSect="00A3057D">
      <w:footerReference w:type="even" r:id="rId8"/>
      <w:footerReference w:type="default" r:id="rId9"/>
      <w:headerReference w:type="first" r:id="rId10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E6" w:rsidRDefault="00B024E6">
      <w:r>
        <w:separator/>
      </w:r>
    </w:p>
  </w:endnote>
  <w:endnote w:type="continuationSeparator" w:id="0">
    <w:p w:rsidR="00B024E6" w:rsidRDefault="00B0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5C2AAD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A05541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83769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E6" w:rsidRDefault="00B024E6">
      <w:r>
        <w:separator/>
      </w:r>
    </w:p>
  </w:footnote>
  <w:footnote w:type="continuationSeparator" w:id="0">
    <w:p w:rsidR="00B024E6" w:rsidRDefault="00B0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1F" w:rsidRDefault="0059691F">
    <w:pPr>
      <w:pStyle w:val="Zhlav"/>
    </w:pPr>
    <w:r>
      <w:tab/>
    </w:r>
    <w:r>
      <w:tab/>
      <w:t xml:space="preserve">Příloha č. </w:t>
    </w:r>
    <w:r w:rsidR="00040488">
      <w:t>4</w:t>
    </w:r>
    <w:r>
      <w:t xml:space="preserve"> – Kupní smlouva, návrh</w:t>
    </w:r>
  </w:p>
  <w:p w:rsidR="00065A88" w:rsidRDefault="00065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FFFFFFFE"/>
    <w:multiLevelType w:val="singleLevel"/>
    <w:tmpl w:val="4704B322"/>
    <w:lvl w:ilvl="0">
      <w:numFmt w:val="decimal"/>
      <w:lvlText w:val="*"/>
      <w:lvlJc w:val="left"/>
    </w:lvl>
  </w:abstractNum>
  <w:abstractNum w:abstractNumId="3" w15:restartNumberingAfterBreak="0">
    <w:nsid w:val="0B882280"/>
    <w:multiLevelType w:val="hybridMultilevel"/>
    <w:tmpl w:val="0994B326"/>
    <w:lvl w:ilvl="0" w:tplc="0318E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10"/>
  </w:num>
  <w:num w:numId="8">
    <w:abstractNumId w:val="0"/>
  </w:num>
  <w:num w:numId="9">
    <w:abstractNumId w:val="15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1"/>
  </w:num>
  <w:num w:numId="15">
    <w:abstractNumId w:val="13"/>
  </w:num>
  <w:num w:numId="16">
    <w:abstractNumId w:val="3"/>
  </w:num>
  <w:num w:numId="1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37A90"/>
    <w:rsid w:val="000403EA"/>
    <w:rsid w:val="00040488"/>
    <w:rsid w:val="0004547E"/>
    <w:rsid w:val="00050F13"/>
    <w:rsid w:val="00053B71"/>
    <w:rsid w:val="00060F5A"/>
    <w:rsid w:val="000616F8"/>
    <w:rsid w:val="00065A88"/>
    <w:rsid w:val="000732E2"/>
    <w:rsid w:val="00085432"/>
    <w:rsid w:val="000903EE"/>
    <w:rsid w:val="000907A8"/>
    <w:rsid w:val="000957B6"/>
    <w:rsid w:val="00096A66"/>
    <w:rsid w:val="000A2C1E"/>
    <w:rsid w:val="000B4EF9"/>
    <w:rsid w:val="000E3E63"/>
    <w:rsid w:val="000E4FE6"/>
    <w:rsid w:val="000F11EE"/>
    <w:rsid w:val="00104434"/>
    <w:rsid w:val="00105289"/>
    <w:rsid w:val="001067B0"/>
    <w:rsid w:val="00106806"/>
    <w:rsid w:val="00110B87"/>
    <w:rsid w:val="001129F1"/>
    <w:rsid w:val="001159D9"/>
    <w:rsid w:val="00117B76"/>
    <w:rsid w:val="00121C3E"/>
    <w:rsid w:val="0012273C"/>
    <w:rsid w:val="00124777"/>
    <w:rsid w:val="00125D0A"/>
    <w:rsid w:val="00125F8A"/>
    <w:rsid w:val="00137DFC"/>
    <w:rsid w:val="00141260"/>
    <w:rsid w:val="00143987"/>
    <w:rsid w:val="0014797F"/>
    <w:rsid w:val="001542D6"/>
    <w:rsid w:val="001568BE"/>
    <w:rsid w:val="00162425"/>
    <w:rsid w:val="00164176"/>
    <w:rsid w:val="00170D32"/>
    <w:rsid w:val="001825F0"/>
    <w:rsid w:val="0018319F"/>
    <w:rsid w:val="00183FE4"/>
    <w:rsid w:val="00184617"/>
    <w:rsid w:val="001852EB"/>
    <w:rsid w:val="001911CB"/>
    <w:rsid w:val="001973BE"/>
    <w:rsid w:val="001A052C"/>
    <w:rsid w:val="001A3724"/>
    <w:rsid w:val="001B21E4"/>
    <w:rsid w:val="001D44B9"/>
    <w:rsid w:val="001D5A62"/>
    <w:rsid w:val="001D6419"/>
    <w:rsid w:val="001D7F50"/>
    <w:rsid w:val="001E1C6E"/>
    <w:rsid w:val="001E2636"/>
    <w:rsid w:val="001F310E"/>
    <w:rsid w:val="001F5CDF"/>
    <w:rsid w:val="001F6FF5"/>
    <w:rsid w:val="001F7550"/>
    <w:rsid w:val="00204F3B"/>
    <w:rsid w:val="002076B9"/>
    <w:rsid w:val="00215188"/>
    <w:rsid w:val="00215545"/>
    <w:rsid w:val="00232738"/>
    <w:rsid w:val="00232DA1"/>
    <w:rsid w:val="00235649"/>
    <w:rsid w:val="00236FBA"/>
    <w:rsid w:val="00237B15"/>
    <w:rsid w:val="00245B3A"/>
    <w:rsid w:val="00246CEB"/>
    <w:rsid w:val="00250BA4"/>
    <w:rsid w:val="0025258A"/>
    <w:rsid w:val="002544F3"/>
    <w:rsid w:val="00257B53"/>
    <w:rsid w:val="00261383"/>
    <w:rsid w:val="00261FDE"/>
    <w:rsid w:val="002650DC"/>
    <w:rsid w:val="00266A93"/>
    <w:rsid w:val="00273176"/>
    <w:rsid w:val="00274753"/>
    <w:rsid w:val="00277731"/>
    <w:rsid w:val="00294664"/>
    <w:rsid w:val="002A02EF"/>
    <w:rsid w:val="002A2B24"/>
    <w:rsid w:val="002A4F2E"/>
    <w:rsid w:val="002B53C4"/>
    <w:rsid w:val="002D08F9"/>
    <w:rsid w:val="002D63C2"/>
    <w:rsid w:val="002E0499"/>
    <w:rsid w:val="002E559F"/>
    <w:rsid w:val="002F1B06"/>
    <w:rsid w:val="002F353C"/>
    <w:rsid w:val="002F5ED2"/>
    <w:rsid w:val="00301F99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6280"/>
    <w:rsid w:val="00336331"/>
    <w:rsid w:val="0035470F"/>
    <w:rsid w:val="0036100B"/>
    <w:rsid w:val="00370A65"/>
    <w:rsid w:val="00373E78"/>
    <w:rsid w:val="0037488F"/>
    <w:rsid w:val="00377DBD"/>
    <w:rsid w:val="00380264"/>
    <w:rsid w:val="00382B1F"/>
    <w:rsid w:val="00383174"/>
    <w:rsid w:val="00394C73"/>
    <w:rsid w:val="00395E85"/>
    <w:rsid w:val="00396678"/>
    <w:rsid w:val="003A0C69"/>
    <w:rsid w:val="003A2451"/>
    <w:rsid w:val="003A6F47"/>
    <w:rsid w:val="003B1986"/>
    <w:rsid w:val="003B3CD1"/>
    <w:rsid w:val="003C3A16"/>
    <w:rsid w:val="003C709D"/>
    <w:rsid w:val="003C737C"/>
    <w:rsid w:val="003D73ED"/>
    <w:rsid w:val="003E44C4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639C4"/>
    <w:rsid w:val="00465937"/>
    <w:rsid w:val="00465D11"/>
    <w:rsid w:val="00473DB2"/>
    <w:rsid w:val="004846A2"/>
    <w:rsid w:val="004A4BF1"/>
    <w:rsid w:val="004A55AD"/>
    <w:rsid w:val="004A659B"/>
    <w:rsid w:val="004B12E1"/>
    <w:rsid w:val="004B6A7C"/>
    <w:rsid w:val="004B723E"/>
    <w:rsid w:val="004C0080"/>
    <w:rsid w:val="004C449E"/>
    <w:rsid w:val="004C775C"/>
    <w:rsid w:val="004D3A83"/>
    <w:rsid w:val="004D65B6"/>
    <w:rsid w:val="004E7AC5"/>
    <w:rsid w:val="004F23AE"/>
    <w:rsid w:val="00503DD0"/>
    <w:rsid w:val="00515DE7"/>
    <w:rsid w:val="0051769C"/>
    <w:rsid w:val="005262B2"/>
    <w:rsid w:val="00526CD6"/>
    <w:rsid w:val="0054122F"/>
    <w:rsid w:val="00550BAE"/>
    <w:rsid w:val="00556687"/>
    <w:rsid w:val="0056040A"/>
    <w:rsid w:val="00571C9A"/>
    <w:rsid w:val="00574983"/>
    <w:rsid w:val="00575B77"/>
    <w:rsid w:val="00580178"/>
    <w:rsid w:val="005859A2"/>
    <w:rsid w:val="005863DC"/>
    <w:rsid w:val="00586906"/>
    <w:rsid w:val="00593CCC"/>
    <w:rsid w:val="0059691F"/>
    <w:rsid w:val="005A2BEB"/>
    <w:rsid w:val="005A3924"/>
    <w:rsid w:val="005A7A18"/>
    <w:rsid w:val="005B056B"/>
    <w:rsid w:val="005B6D5C"/>
    <w:rsid w:val="005C210E"/>
    <w:rsid w:val="005C2AAD"/>
    <w:rsid w:val="005C53AF"/>
    <w:rsid w:val="005D24AD"/>
    <w:rsid w:val="005E00B0"/>
    <w:rsid w:val="005E0ECD"/>
    <w:rsid w:val="005E7670"/>
    <w:rsid w:val="005F78D4"/>
    <w:rsid w:val="0060385E"/>
    <w:rsid w:val="0060508B"/>
    <w:rsid w:val="00605E37"/>
    <w:rsid w:val="006112FF"/>
    <w:rsid w:val="00617E9B"/>
    <w:rsid w:val="00621574"/>
    <w:rsid w:val="006353D9"/>
    <w:rsid w:val="006359C5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2B50"/>
    <w:rsid w:val="0069255B"/>
    <w:rsid w:val="006945FE"/>
    <w:rsid w:val="006959DF"/>
    <w:rsid w:val="006A1727"/>
    <w:rsid w:val="006A6962"/>
    <w:rsid w:val="006A7C4F"/>
    <w:rsid w:val="006B51D2"/>
    <w:rsid w:val="006C527F"/>
    <w:rsid w:val="006D1758"/>
    <w:rsid w:val="006D51E7"/>
    <w:rsid w:val="006E0E84"/>
    <w:rsid w:val="006E243C"/>
    <w:rsid w:val="006E3593"/>
    <w:rsid w:val="006E4DB1"/>
    <w:rsid w:val="006F0A59"/>
    <w:rsid w:val="006F1BC7"/>
    <w:rsid w:val="006F3343"/>
    <w:rsid w:val="006F47DA"/>
    <w:rsid w:val="007113C3"/>
    <w:rsid w:val="00712D40"/>
    <w:rsid w:val="00715EDD"/>
    <w:rsid w:val="00732D27"/>
    <w:rsid w:val="00734BAB"/>
    <w:rsid w:val="00736372"/>
    <w:rsid w:val="007618B0"/>
    <w:rsid w:val="00762B7F"/>
    <w:rsid w:val="00771D4E"/>
    <w:rsid w:val="00771E0A"/>
    <w:rsid w:val="00772CAB"/>
    <w:rsid w:val="007758C2"/>
    <w:rsid w:val="007816A5"/>
    <w:rsid w:val="00782CAE"/>
    <w:rsid w:val="00792DDE"/>
    <w:rsid w:val="0079729D"/>
    <w:rsid w:val="00797CD5"/>
    <w:rsid w:val="007A476A"/>
    <w:rsid w:val="007B35C5"/>
    <w:rsid w:val="007B412B"/>
    <w:rsid w:val="007B5DAA"/>
    <w:rsid w:val="007C3FBE"/>
    <w:rsid w:val="007D0A13"/>
    <w:rsid w:val="007D5F74"/>
    <w:rsid w:val="007E3019"/>
    <w:rsid w:val="007F5CEB"/>
    <w:rsid w:val="007F7D2E"/>
    <w:rsid w:val="008130FF"/>
    <w:rsid w:val="00815D5B"/>
    <w:rsid w:val="008245D1"/>
    <w:rsid w:val="0083041A"/>
    <w:rsid w:val="008355BA"/>
    <w:rsid w:val="00841BD3"/>
    <w:rsid w:val="00841C97"/>
    <w:rsid w:val="008459CC"/>
    <w:rsid w:val="008465D7"/>
    <w:rsid w:val="0084767E"/>
    <w:rsid w:val="00856019"/>
    <w:rsid w:val="00860EAC"/>
    <w:rsid w:val="00860FB7"/>
    <w:rsid w:val="008618EE"/>
    <w:rsid w:val="00861CEC"/>
    <w:rsid w:val="0086532C"/>
    <w:rsid w:val="00873FA7"/>
    <w:rsid w:val="00881534"/>
    <w:rsid w:val="00883B19"/>
    <w:rsid w:val="00885890"/>
    <w:rsid w:val="00897288"/>
    <w:rsid w:val="00897781"/>
    <w:rsid w:val="00897DC9"/>
    <w:rsid w:val="008B0BCE"/>
    <w:rsid w:val="008B1A1B"/>
    <w:rsid w:val="008C6F75"/>
    <w:rsid w:val="008E44E9"/>
    <w:rsid w:val="008F0271"/>
    <w:rsid w:val="008F24E4"/>
    <w:rsid w:val="008F3EB3"/>
    <w:rsid w:val="008F76A1"/>
    <w:rsid w:val="009001AB"/>
    <w:rsid w:val="00902188"/>
    <w:rsid w:val="00902C3C"/>
    <w:rsid w:val="009120C4"/>
    <w:rsid w:val="00912C4C"/>
    <w:rsid w:val="0091348E"/>
    <w:rsid w:val="00923CE1"/>
    <w:rsid w:val="009270CC"/>
    <w:rsid w:val="00940DC0"/>
    <w:rsid w:val="0096047B"/>
    <w:rsid w:val="00963A45"/>
    <w:rsid w:val="00976FAF"/>
    <w:rsid w:val="009773D1"/>
    <w:rsid w:val="009804C0"/>
    <w:rsid w:val="00983674"/>
    <w:rsid w:val="00984E19"/>
    <w:rsid w:val="00995C08"/>
    <w:rsid w:val="009A4DCB"/>
    <w:rsid w:val="009B5D82"/>
    <w:rsid w:val="009C0563"/>
    <w:rsid w:val="009C55FC"/>
    <w:rsid w:val="009D1850"/>
    <w:rsid w:val="009E302F"/>
    <w:rsid w:val="009E3CEC"/>
    <w:rsid w:val="009E510E"/>
    <w:rsid w:val="009E6FEF"/>
    <w:rsid w:val="009F3F32"/>
    <w:rsid w:val="00A019CD"/>
    <w:rsid w:val="00A05541"/>
    <w:rsid w:val="00A12AAE"/>
    <w:rsid w:val="00A14A8B"/>
    <w:rsid w:val="00A15A94"/>
    <w:rsid w:val="00A252BD"/>
    <w:rsid w:val="00A3057D"/>
    <w:rsid w:val="00A32949"/>
    <w:rsid w:val="00A35F09"/>
    <w:rsid w:val="00A3737C"/>
    <w:rsid w:val="00A41429"/>
    <w:rsid w:val="00A51F93"/>
    <w:rsid w:val="00A6370B"/>
    <w:rsid w:val="00A6664B"/>
    <w:rsid w:val="00A75FD7"/>
    <w:rsid w:val="00A84F6C"/>
    <w:rsid w:val="00AA549C"/>
    <w:rsid w:val="00AC11E5"/>
    <w:rsid w:val="00AC7A30"/>
    <w:rsid w:val="00B00086"/>
    <w:rsid w:val="00B00B91"/>
    <w:rsid w:val="00B024E6"/>
    <w:rsid w:val="00B06C5C"/>
    <w:rsid w:val="00B1205F"/>
    <w:rsid w:val="00B1339C"/>
    <w:rsid w:val="00B25548"/>
    <w:rsid w:val="00B269DC"/>
    <w:rsid w:val="00B26D16"/>
    <w:rsid w:val="00B35B1C"/>
    <w:rsid w:val="00B43415"/>
    <w:rsid w:val="00B50BEC"/>
    <w:rsid w:val="00B51432"/>
    <w:rsid w:val="00B517DE"/>
    <w:rsid w:val="00B57E05"/>
    <w:rsid w:val="00B64705"/>
    <w:rsid w:val="00B65EF0"/>
    <w:rsid w:val="00B6728B"/>
    <w:rsid w:val="00B771BB"/>
    <w:rsid w:val="00B91F79"/>
    <w:rsid w:val="00B92C64"/>
    <w:rsid w:val="00B96DDB"/>
    <w:rsid w:val="00BA1C69"/>
    <w:rsid w:val="00BA274D"/>
    <w:rsid w:val="00BA2A48"/>
    <w:rsid w:val="00BA3980"/>
    <w:rsid w:val="00BA4E7E"/>
    <w:rsid w:val="00BB1774"/>
    <w:rsid w:val="00BB1E04"/>
    <w:rsid w:val="00BB3FC4"/>
    <w:rsid w:val="00BB5067"/>
    <w:rsid w:val="00BB52F5"/>
    <w:rsid w:val="00BB75E7"/>
    <w:rsid w:val="00BD0209"/>
    <w:rsid w:val="00BE0F3F"/>
    <w:rsid w:val="00BF629B"/>
    <w:rsid w:val="00BF698A"/>
    <w:rsid w:val="00C01A51"/>
    <w:rsid w:val="00C02B0B"/>
    <w:rsid w:val="00C111EB"/>
    <w:rsid w:val="00C118FD"/>
    <w:rsid w:val="00C12981"/>
    <w:rsid w:val="00C13129"/>
    <w:rsid w:val="00C22C58"/>
    <w:rsid w:val="00C359D7"/>
    <w:rsid w:val="00C54950"/>
    <w:rsid w:val="00C572F6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277F"/>
    <w:rsid w:val="00CA5EB2"/>
    <w:rsid w:val="00CB15CB"/>
    <w:rsid w:val="00CB5814"/>
    <w:rsid w:val="00CB5BD3"/>
    <w:rsid w:val="00CC163F"/>
    <w:rsid w:val="00CC1C4D"/>
    <w:rsid w:val="00CC61A9"/>
    <w:rsid w:val="00CC720A"/>
    <w:rsid w:val="00CD1F9A"/>
    <w:rsid w:val="00CD295C"/>
    <w:rsid w:val="00CE3B16"/>
    <w:rsid w:val="00CF12D0"/>
    <w:rsid w:val="00CF2A6C"/>
    <w:rsid w:val="00CF35A1"/>
    <w:rsid w:val="00CF4694"/>
    <w:rsid w:val="00CF5AB3"/>
    <w:rsid w:val="00D01DEA"/>
    <w:rsid w:val="00D10614"/>
    <w:rsid w:val="00D10F2C"/>
    <w:rsid w:val="00D1601C"/>
    <w:rsid w:val="00D255F3"/>
    <w:rsid w:val="00D41E2A"/>
    <w:rsid w:val="00D43304"/>
    <w:rsid w:val="00D43B78"/>
    <w:rsid w:val="00D445A2"/>
    <w:rsid w:val="00D45DDB"/>
    <w:rsid w:val="00D50097"/>
    <w:rsid w:val="00D50351"/>
    <w:rsid w:val="00D60BE1"/>
    <w:rsid w:val="00D66F89"/>
    <w:rsid w:val="00D73BDE"/>
    <w:rsid w:val="00D817FF"/>
    <w:rsid w:val="00D83769"/>
    <w:rsid w:val="00D84F61"/>
    <w:rsid w:val="00D91604"/>
    <w:rsid w:val="00D922A1"/>
    <w:rsid w:val="00DA7D60"/>
    <w:rsid w:val="00DB0617"/>
    <w:rsid w:val="00DB3EDE"/>
    <w:rsid w:val="00DB4725"/>
    <w:rsid w:val="00DB522B"/>
    <w:rsid w:val="00DC08C1"/>
    <w:rsid w:val="00DC137C"/>
    <w:rsid w:val="00DC1A1C"/>
    <w:rsid w:val="00DC1C64"/>
    <w:rsid w:val="00DC2981"/>
    <w:rsid w:val="00DE47B8"/>
    <w:rsid w:val="00E003BC"/>
    <w:rsid w:val="00E018C5"/>
    <w:rsid w:val="00E07237"/>
    <w:rsid w:val="00E10FD4"/>
    <w:rsid w:val="00E11807"/>
    <w:rsid w:val="00E12574"/>
    <w:rsid w:val="00E17FF1"/>
    <w:rsid w:val="00E23498"/>
    <w:rsid w:val="00E23F95"/>
    <w:rsid w:val="00E2600C"/>
    <w:rsid w:val="00E40FFE"/>
    <w:rsid w:val="00E44595"/>
    <w:rsid w:val="00E52408"/>
    <w:rsid w:val="00E55CC3"/>
    <w:rsid w:val="00E57469"/>
    <w:rsid w:val="00E57702"/>
    <w:rsid w:val="00E57F70"/>
    <w:rsid w:val="00E605CF"/>
    <w:rsid w:val="00E646B4"/>
    <w:rsid w:val="00E6535F"/>
    <w:rsid w:val="00E7665D"/>
    <w:rsid w:val="00E774B4"/>
    <w:rsid w:val="00E80337"/>
    <w:rsid w:val="00E821F8"/>
    <w:rsid w:val="00E8596E"/>
    <w:rsid w:val="00E9159E"/>
    <w:rsid w:val="00E9440D"/>
    <w:rsid w:val="00E9510B"/>
    <w:rsid w:val="00E97192"/>
    <w:rsid w:val="00EA24E2"/>
    <w:rsid w:val="00EB5F22"/>
    <w:rsid w:val="00EB6D33"/>
    <w:rsid w:val="00EC25CA"/>
    <w:rsid w:val="00ED320A"/>
    <w:rsid w:val="00EF42F6"/>
    <w:rsid w:val="00EF74FC"/>
    <w:rsid w:val="00F048F5"/>
    <w:rsid w:val="00F049D1"/>
    <w:rsid w:val="00F131C4"/>
    <w:rsid w:val="00F15793"/>
    <w:rsid w:val="00F16050"/>
    <w:rsid w:val="00F25470"/>
    <w:rsid w:val="00F377AB"/>
    <w:rsid w:val="00F404DA"/>
    <w:rsid w:val="00F40DDF"/>
    <w:rsid w:val="00F46201"/>
    <w:rsid w:val="00F54638"/>
    <w:rsid w:val="00F65C15"/>
    <w:rsid w:val="00F700AF"/>
    <w:rsid w:val="00F815B4"/>
    <w:rsid w:val="00F82BF9"/>
    <w:rsid w:val="00F834A1"/>
    <w:rsid w:val="00F8440A"/>
    <w:rsid w:val="00F85F6B"/>
    <w:rsid w:val="00F90734"/>
    <w:rsid w:val="00F90865"/>
    <w:rsid w:val="00F91577"/>
    <w:rsid w:val="00F95F3D"/>
    <w:rsid w:val="00FA0D96"/>
    <w:rsid w:val="00FA0FF0"/>
    <w:rsid w:val="00FA2FF0"/>
    <w:rsid w:val="00FA4F31"/>
    <w:rsid w:val="00FA6B97"/>
    <w:rsid w:val="00FC1B6B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E094A5A"/>
  <w15:docId w15:val="{1A61E7D6-F9DA-4805-885D-0FFFFC9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5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9B5D82"/>
    <w:pPr>
      <w:numPr>
        <w:ilvl w:val="1"/>
      </w:numPr>
      <w:tabs>
        <w:tab w:val="clear" w:pos="1418"/>
        <w:tab w:val="num" w:pos="1134"/>
      </w:tabs>
      <w:ind w:left="1134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B35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B35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B35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aliases w:val="lb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7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sz w:val="24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semiHidden/>
    <w:rsid w:val="007B35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semiHidden/>
    <w:rsid w:val="007B35C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7B35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paragraph" w:styleId="Zkladntext2">
    <w:name w:val="Body Text 2"/>
    <w:basedOn w:val="Normln"/>
    <w:link w:val="Zkladntext2Char"/>
    <w:semiHidden/>
    <w:unhideWhenUsed/>
    <w:rsid w:val="007B35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B35C5"/>
    <w:rPr>
      <w:sz w:val="24"/>
      <w:szCs w:val="24"/>
      <w:lang w:val="cs-CZ" w:eastAsia="cs-CZ"/>
    </w:rPr>
  </w:style>
  <w:style w:type="character" w:customStyle="1" w:styleId="OdstavecseseznamemChar">
    <w:name w:val="Odstavec se seznamem Char"/>
    <w:link w:val="Odstavecseseznamem"/>
    <w:rsid w:val="007B35C5"/>
    <w:rPr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7D5F74"/>
    <w:rPr>
      <w:rFonts w:cs="Arial"/>
      <w:bCs/>
      <w:iCs/>
      <w:sz w:val="24"/>
      <w:szCs w:val="28"/>
      <w:lang w:val="cs-CZ" w:eastAsia="cs-CZ"/>
    </w:rPr>
  </w:style>
  <w:style w:type="paragraph" w:customStyle="1" w:styleId="Default">
    <w:name w:val="Default"/>
    <w:rsid w:val="008245D1"/>
    <w:pPr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nhideWhenUsed/>
    <w:rsid w:val="008245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D0B0-EB19-456B-9B0B-0A967CCE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9</TotalTime>
  <Pages>10</Pages>
  <Words>2978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Hespodariková Martina</cp:lastModifiedBy>
  <cp:revision>5</cp:revision>
  <cp:lastPrinted>2024-09-09T08:23:00Z</cp:lastPrinted>
  <dcterms:created xsi:type="dcterms:W3CDTF">2024-10-17T09:13:00Z</dcterms:created>
  <dcterms:modified xsi:type="dcterms:W3CDTF">2024-10-17T09:18:00Z</dcterms:modified>
</cp:coreProperties>
</file>