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1240600042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</w:pPr>
      <w:r>
        <w:rPr/>
        <w:t>městys</w:t>
      </w:r>
      <w:r>
        <w:rPr>
          <w:spacing w:val="-8"/>
        </w:rPr>
        <w:t> </w:t>
      </w:r>
      <w:r>
        <w:rPr>
          <w:spacing w:val="-2"/>
        </w:rPr>
        <w:t>Načeradec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756"/>
        <w:jc w:val="left"/>
      </w:pPr>
      <w:r>
        <w:rPr/>
        <w:t>kontaktní adresa:</w:t>
        <w:tab/>
        <w:t>Úřad</w:t>
      </w:r>
      <w:r>
        <w:rPr>
          <w:spacing w:val="-6"/>
        </w:rPr>
        <w:t> </w:t>
      </w:r>
      <w:r>
        <w:rPr/>
        <w:t>městyse</w:t>
      </w:r>
      <w:r>
        <w:rPr>
          <w:spacing w:val="-6"/>
        </w:rPr>
        <w:t> </w:t>
      </w:r>
      <w:r>
        <w:rPr/>
        <w:t>Načeradec,</w:t>
      </w:r>
      <w:r>
        <w:rPr>
          <w:spacing w:val="-4"/>
        </w:rPr>
        <w:t> </w:t>
      </w:r>
      <w:r>
        <w:rPr/>
        <w:t>Zámecké</w:t>
      </w:r>
      <w:r>
        <w:rPr>
          <w:spacing w:val="-6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152,</w:t>
      </w:r>
      <w:r>
        <w:rPr>
          <w:spacing w:val="-6"/>
        </w:rPr>
        <w:t> </w:t>
      </w:r>
      <w:r>
        <w:rPr/>
        <w:t>257</w:t>
      </w:r>
      <w:r>
        <w:rPr>
          <w:spacing w:val="-3"/>
        </w:rPr>
        <w:t> </w:t>
      </w:r>
      <w:r>
        <w:rPr/>
        <w:t>08</w:t>
      </w:r>
      <w:r>
        <w:rPr>
          <w:spacing w:val="-5"/>
        </w:rPr>
        <w:t> </w:t>
      </w:r>
      <w:r>
        <w:rPr/>
        <w:t>Načeradec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00232289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zastoupený:</w:t>
      </w:r>
      <w:r>
        <w:rPr/>
        <w:tab/>
        <w:t>Petrou</w:t>
      </w:r>
      <w:r>
        <w:rPr>
          <w:spacing w:val="-2"/>
        </w:rPr>
        <w:t> </w:t>
      </w:r>
      <w:r>
        <w:rPr/>
        <w:t>B a</w:t>
      </w:r>
      <w:r>
        <w:rPr>
          <w:spacing w:val="-3"/>
        </w:rPr>
        <w:t> </w:t>
      </w:r>
      <w:r>
        <w:rPr/>
        <w:t>r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o n</w:t>
      </w:r>
      <w:r>
        <w:rPr>
          <w:spacing w:val="-2"/>
        </w:rPr>
        <w:t> </w:t>
      </w:r>
      <w:r>
        <w:rPr/>
        <w:t>í</w:t>
      </w:r>
      <w:r>
        <w:rPr>
          <w:spacing w:val="-1"/>
        </w:rPr>
        <w:t> </w:t>
      </w:r>
      <w:r>
        <w:rPr/>
        <w:t>č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 v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7117121/0710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1240600042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0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3"/>
        </w:rPr>
        <w:t> </w:t>
      </w:r>
      <w:r>
        <w:rPr/>
        <w:t>Národního</w:t>
      </w:r>
      <w:r>
        <w:rPr>
          <w:spacing w:val="22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9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6/2024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698" w:lineRule="auto" w:before="6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určena</w:t>
      </w:r>
      <w:r>
        <w:rPr>
          <w:spacing w:val="-9"/>
          <w:sz w:val="20"/>
        </w:rPr>
        <w:t> </w:t>
      </w:r>
      <w:r>
        <w:rPr>
          <w:sz w:val="20"/>
        </w:rPr>
        <w:t>výhradně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akci: (dále jen „projekt“ nebo „akce“).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96" w:right="0" w:firstLine="0"/>
        <w:jc w:val="left"/>
        <w:rPr>
          <w:b/>
          <w:sz w:val="20"/>
        </w:rPr>
      </w:pPr>
      <w:r>
        <w:rPr>
          <w:b/>
          <w:sz w:val="20"/>
        </w:rPr>
        <w:t>„Vodovod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Dolní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Lhota“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1" w:top="1060" w:bottom="960" w:left="1320" w:right="1020"/>
          <w:cols w:num="2" w:equalWidth="0">
            <w:col w:w="3849" w:space="40"/>
            <w:col w:w="6011"/>
          </w:cols>
        </w:sectPr>
      </w:pPr>
    </w:p>
    <w:p>
      <w:pPr>
        <w:pStyle w:val="Heading1"/>
        <w:spacing w:line="249" w:lineRule="exact" w:before="0"/>
        <w:ind w:right="1057"/>
      </w:pPr>
      <w:r>
        <w:rPr>
          <w:spacing w:val="-5"/>
        </w:rPr>
        <w:t>II.</w:t>
      </w:r>
    </w:p>
    <w:p>
      <w:pPr>
        <w:pStyle w:val="Heading2"/>
        <w:ind w:right="1060"/>
        <w:jc w:val="center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9"/>
          <w:sz w:val="20"/>
        </w:rPr>
        <w:t> </w:t>
      </w:r>
      <w:r>
        <w:rPr>
          <w:sz w:val="20"/>
        </w:rPr>
        <w:t>dotace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295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698,00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> </w:t>
      </w:r>
      <w:r>
        <w:rPr>
          <w:sz w:val="20"/>
        </w:rPr>
        <w:t>(slovy:</w:t>
      </w:r>
      <w:r>
        <w:rPr>
          <w:spacing w:val="-9"/>
          <w:sz w:val="20"/>
        </w:rPr>
        <w:t> </w:t>
      </w:r>
      <w:r>
        <w:rPr>
          <w:sz w:val="20"/>
        </w:rPr>
        <w:t>šest</w:t>
      </w:r>
      <w:r>
        <w:rPr>
          <w:spacing w:val="-10"/>
          <w:sz w:val="20"/>
        </w:rPr>
        <w:t> </w:t>
      </w:r>
      <w:r>
        <w:rPr>
          <w:sz w:val="20"/>
        </w:rPr>
        <w:t>miliónů</w:t>
      </w:r>
      <w:r>
        <w:rPr>
          <w:spacing w:val="-9"/>
          <w:sz w:val="20"/>
        </w:rPr>
        <w:t> </w:t>
      </w:r>
      <w:r>
        <w:rPr>
          <w:sz w:val="20"/>
        </w:rPr>
        <w:t>dvě</w:t>
      </w:r>
      <w:r>
        <w:rPr>
          <w:spacing w:val="-10"/>
          <w:sz w:val="20"/>
        </w:rPr>
        <w:t> </w:t>
      </w:r>
      <w:r>
        <w:rPr>
          <w:sz w:val="20"/>
        </w:rPr>
        <w:t>stě</w:t>
      </w:r>
      <w:r>
        <w:rPr>
          <w:spacing w:val="-10"/>
          <w:sz w:val="20"/>
        </w:rPr>
        <w:t> </w:t>
      </w:r>
      <w:r>
        <w:rPr>
          <w:sz w:val="20"/>
        </w:rPr>
        <w:t>devadesát</w:t>
      </w:r>
      <w:r>
        <w:rPr>
          <w:spacing w:val="-10"/>
          <w:sz w:val="20"/>
        </w:rPr>
        <w:t> </w:t>
      </w:r>
      <w:r>
        <w:rPr>
          <w:sz w:val="20"/>
        </w:rPr>
        <w:t>pět</w:t>
      </w:r>
      <w:r>
        <w:rPr>
          <w:spacing w:val="-10"/>
          <w:sz w:val="20"/>
        </w:rPr>
        <w:t> </w:t>
      </w:r>
      <w:r>
        <w:rPr>
          <w:sz w:val="20"/>
        </w:rPr>
        <w:t>tisíc</w:t>
      </w:r>
      <w:r>
        <w:rPr>
          <w:spacing w:val="-8"/>
          <w:sz w:val="20"/>
        </w:rPr>
        <w:t> </w:t>
      </w:r>
      <w:r>
        <w:rPr>
          <w:sz w:val="20"/>
        </w:rPr>
        <w:t>šest</w:t>
      </w:r>
      <w:r>
        <w:rPr>
          <w:spacing w:val="-10"/>
          <w:sz w:val="20"/>
        </w:rPr>
        <w:t> </w:t>
      </w:r>
      <w:r>
        <w:rPr>
          <w:sz w:val="20"/>
        </w:rPr>
        <w:t>set</w:t>
      </w:r>
      <w:r>
        <w:rPr>
          <w:spacing w:val="-10"/>
          <w:sz w:val="20"/>
        </w:rPr>
        <w:t> </w:t>
      </w:r>
      <w:r>
        <w:rPr>
          <w:sz w:val="20"/>
        </w:rPr>
        <w:t>devadesát osm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10 492 830,00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  <w:jc w:val="center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7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  <w:jc w:val="center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left"/>
        <w:rPr>
          <w:sz w:val="20"/>
        </w:rPr>
      </w:pPr>
      <w:r>
        <w:rPr>
          <w:sz w:val="20"/>
        </w:rPr>
        <w:t>splní účel akce „Vodovod Dolní Lhota“ tím, že akce bude provedena v souladu se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5"/>
          <w:sz w:val="20"/>
        </w:rPr>
        <w:t> </w:t>
      </w:r>
      <w:r>
        <w:rPr>
          <w:sz w:val="20"/>
        </w:rPr>
        <w:t>vodovodu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délce</w:t>
      </w:r>
      <w:r>
        <w:rPr>
          <w:spacing w:val="-7"/>
          <w:sz w:val="20"/>
        </w:rPr>
        <w:t> </w:t>
      </w:r>
      <w:r>
        <w:rPr>
          <w:sz w:val="20"/>
        </w:rPr>
        <w:t>2,29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 zavazuje,</w:t>
      </w:r>
      <w:r>
        <w:rPr>
          <w:spacing w:val="2"/>
          <w:sz w:val="20"/>
        </w:rPr>
        <w:t> </w:t>
      </w:r>
      <w:r>
        <w:rPr>
          <w:sz w:val="20"/>
        </w:rPr>
        <w:t>že</w:t>
      </w:r>
      <w:r>
        <w:rPr>
          <w:spacing w:val="5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termínu</w:t>
      </w:r>
      <w:r>
        <w:rPr>
          <w:spacing w:val="2"/>
          <w:sz w:val="20"/>
        </w:rPr>
        <w:t> </w:t>
      </w:r>
      <w:r>
        <w:rPr>
          <w:sz w:val="20"/>
        </w:rPr>
        <w:t>pro</w:t>
      </w:r>
      <w:r>
        <w:rPr>
          <w:spacing w:val="3"/>
          <w:sz w:val="20"/>
        </w:rPr>
        <w:t> </w:t>
      </w:r>
      <w:r>
        <w:rPr>
          <w:sz w:val="20"/>
        </w:rPr>
        <w:t>závěrečné</w:t>
      </w:r>
      <w:r>
        <w:rPr>
          <w:spacing w:val="1"/>
          <w:sz w:val="20"/>
        </w:rPr>
        <w:t> </w:t>
      </w:r>
      <w:r>
        <w:rPr>
          <w:sz w:val="20"/>
        </w:rPr>
        <w:t>vyhodnocení</w:t>
      </w:r>
      <w:r>
        <w:rPr>
          <w:spacing w:val="4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4"/>
          <w:sz w:val="20"/>
        </w:rPr>
        <w:t> </w:t>
      </w:r>
      <w:r>
        <w:rPr>
          <w:sz w:val="20"/>
        </w:rPr>
        <w:t>„ZVA“)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3"/>
          <w:sz w:val="20"/>
        </w:rPr>
        <w:t> </w:t>
      </w:r>
      <w:r>
        <w:rPr>
          <w:sz w:val="20"/>
        </w:rPr>
        <w:t>nově</w:t>
      </w:r>
      <w:r>
        <w:rPr>
          <w:spacing w:val="2"/>
          <w:sz w:val="20"/>
        </w:rPr>
        <w:t> </w:t>
      </w:r>
      <w:r>
        <w:rPr>
          <w:sz w:val="20"/>
        </w:rPr>
        <w:t>připojeno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24</w:t>
      </w:r>
    </w:p>
    <w:p>
      <w:pPr>
        <w:pStyle w:val="BodyText"/>
        <w:spacing w:before="1"/>
        <w:ind w:left="948"/>
        <w:jc w:val="left"/>
      </w:pPr>
      <w:r>
        <w:rPr/>
        <w:t>obyvatel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vodovod,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1"/>
          <w:sz w:val="20"/>
        </w:rPr>
        <w:t> </w:t>
      </w:r>
      <w:r>
        <w:rPr>
          <w:sz w:val="20"/>
        </w:rPr>
        <w:t>po</w:t>
      </w:r>
      <w:r>
        <w:rPr>
          <w:spacing w:val="22"/>
          <w:sz w:val="20"/>
        </w:rPr>
        <w:t> </w:t>
      </w:r>
      <w:r>
        <w:rPr>
          <w:sz w:val="20"/>
        </w:rPr>
        <w:t>dokončení</w:t>
      </w:r>
      <w:r>
        <w:rPr>
          <w:spacing w:val="21"/>
          <w:sz w:val="20"/>
        </w:rPr>
        <w:t> </w:t>
      </w:r>
      <w:r>
        <w:rPr>
          <w:sz w:val="20"/>
        </w:rPr>
        <w:t>projektu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dodávaná</w:t>
      </w:r>
      <w:r>
        <w:rPr>
          <w:spacing w:val="20"/>
          <w:sz w:val="20"/>
        </w:rPr>
        <w:t> </w:t>
      </w:r>
      <w:r>
        <w:rPr>
          <w:sz w:val="20"/>
        </w:rPr>
        <w:t>pitná</w:t>
      </w:r>
      <w:r>
        <w:rPr>
          <w:spacing w:val="20"/>
          <w:sz w:val="20"/>
        </w:rPr>
        <w:t> </w:t>
      </w:r>
      <w:r>
        <w:rPr>
          <w:sz w:val="20"/>
        </w:rPr>
        <w:t>voda</w:t>
      </w:r>
      <w:r>
        <w:rPr>
          <w:spacing w:val="20"/>
          <w:sz w:val="20"/>
        </w:rPr>
        <w:t> </w:t>
      </w:r>
      <w:r>
        <w:rPr>
          <w:sz w:val="20"/>
        </w:rPr>
        <w:t>splňovat</w:t>
      </w:r>
      <w:r>
        <w:rPr>
          <w:spacing w:val="20"/>
          <w:sz w:val="20"/>
        </w:rPr>
        <w:t> </w:t>
      </w:r>
      <w:r>
        <w:rPr>
          <w:sz w:val="20"/>
        </w:rPr>
        <w:t>hygienické</w:t>
      </w:r>
      <w:r>
        <w:rPr>
          <w:spacing w:val="20"/>
          <w:sz w:val="20"/>
        </w:rPr>
        <w:t> </w:t>
      </w:r>
      <w:r>
        <w:rPr>
          <w:sz w:val="20"/>
        </w:rPr>
        <w:t>požadavky v souladu s platnou legislativou ČR. Likvidace odpadních vod v řešené lokalitě bude v souladu se zákonem č. 254/2001 Sb., vodní zákon, v platném znění a jeho prováděcími předpisy. Po dobu udržitelnosti projektu budou na vyžádání poskytovatele dotace doloženy doklady o řádné likvidaci odpadních vod v dané lokalitě,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3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5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něhož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ohrožen</w:t>
      </w:r>
      <w:r>
        <w:rPr>
          <w:spacing w:val="-8"/>
          <w:sz w:val="20"/>
        </w:rPr>
        <w:t> </w:t>
      </w:r>
      <w:r>
        <w:rPr>
          <w:sz w:val="20"/>
        </w:rPr>
        <w:t>případnou</w:t>
      </w:r>
      <w:r>
        <w:rPr>
          <w:spacing w:val="-8"/>
          <w:sz w:val="20"/>
        </w:rPr>
        <w:t> </w:t>
      </w:r>
      <w:r>
        <w:rPr>
          <w:sz w:val="20"/>
        </w:rPr>
        <w:t>realizací</w:t>
      </w:r>
      <w:r>
        <w:rPr>
          <w:spacing w:val="-8"/>
          <w:sz w:val="20"/>
        </w:rPr>
        <w:t> </w:t>
      </w:r>
      <w:r>
        <w:rPr>
          <w:sz w:val="20"/>
        </w:rPr>
        <w:t>zástavního</w:t>
      </w:r>
      <w:r>
        <w:rPr>
          <w:spacing w:val="-7"/>
          <w:sz w:val="20"/>
        </w:rPr>
        <w:t> </w:t>
      </w:r>
      <w:r>
        <w:rPr>
          <w:sz w:val="20"/>
        </w:rPr>
        <w:t>práva.</w:t>
      </w:r>
      <w:r>
        <w:rPr>
          <w:spacing w:val="-6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51"/>
          <w:sz w:val="20"/>
        </w:rPr>
        <w:t> </w:t>
      </w:r>
      <w:r>
        <w:rPr>
          <w:sz w:val="20"/>
        </w:rPr>
        <w:t>dodržovat</w:t>
      </w:r>
      <w:r>
        <w:rPr>
          <w:spacing w:val="52"/>
          <w:sz w:val="20"/>
        </w:rPr>
        <w:t> </w:t>
      </w:r>
      <w:r>
        <w:rPr>
          <w:sz w:val="20"/>
        </w:rPr>
        <w:t>povinnosti</w:t>
      </w:r>
      <w:r>
        <w:rPr>
          <w:spacing w:val="54"/>
          <w:sz w:val="20"/>
        </w:rPr>
        <w:t> </w:t>
      </w:r>
      <w:r>
        <w:rPr>
          <w:sz w:val="20"/>
        </w:rPr>
        <w:t>podle</w:t>
      </w:r>
      <w:r>
        <w:rPr>
          <w:spacing w:val="51"/>
          <w:sz w:val="20"/>
        </w:rPr>
        <w:t> </w:t>
      </w:r>
      <w:r>
        <w:rPr>
          <w:sz w:val="20"/>
        </w:rPr>
        <w:t>čl.</w:t>
      </w:r>
      <w:r>
        <w:rPr>
          <w:spacing w:val="52"/>
          <w:sz w:val="20"/>
        </w:rPr>
        <w:t> </w:t>
      </w:r>
      <w:r>
        <w:rPr>
          <w:sz w:val="20"/>
        </w:rPr>
        <w:t>10</w:t>
      </w:r>
      <w:r>
        <w:rPr>
          <w:spacing w:val="52"/>
          <w:sz w:val="20"/>
        </w:rPr>
        <w:t> </w:t>
      </w:r>
      <w:r>
        <w:rPr>
          <w:sz w:val="20"/>
        </w:rPr>
        <w:t>písm.</w:t>
      </w:r>
      <w:r>
        <w:rPr>
          <w:spacing w:val="54"/>
          <w:sz w:val="20"/>
        </w:rPr>
        <w:t> </w:t>
      </w:r>
      <w:r>
        <w:rPr>
          <w:sz w:val="20"/>
        </w:rPr>
        <w:t>n)</w:t>
      </w:r>
      <w:r>
        <w:rPr>
          <w:spacing w:val="52"/>
          <w:sz w:val="20"/>
        </w:rPr>
        <w:t> </w:t>
      </w:r>
      <w:r>
        <w:rPr>
          <w:sz w:val="20"/>
        </w:rPr>
        <w:t>Výzvy,</w:t>
      </w:r>
      <w:r>
        <w:rPr>
          <w:spacing w:val="53"/>
          <w:sz w:val="20"/>
        </w:rPr>
        <w:t> </w:t>
      </w:r>
      <w:r>
        <w:rPr>
          <w:sz w:val="20"/>
        </w:rPr>
        <w:t>tj.</w:t>
      </w:r>
      <w:r>
        <w:rPr>
          <w:spacing w:val="52"/>
          <w:sz w:val="20"/>
        </w:rPr>
        <w:t> </w:t>
      </w:r>
      <w:r>
        <w:rPr>
          <w:sz w:val="20"/>
        </w:rPr>
        <w:t>veškeré</w:t>
      </w:r>
      <w:r>
        <w:rPr>
          <w:spacing w:val="51"/>
          <w:sz w:val="20"/>
        </w:rPr>
        <w:t> </w:t>
      </w:r>
      <w:r>
        <w:rPr>
          <w:sz w:val="20"/>
        </w:rPr>
        <w:t>výdaje</w:t>
      </w:r>
      <w:r>
        <w:rPr>
          <w:spacing w:val="51"/>
          <w:sz w:val="20"/>
        </w:rPr>
        <w:t> </w:t>
      </w:r>
      <w:r>
        <w:rPr>
          <w:sz w:val="20"/>
        </w:rPr>
        <w:t>projektu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1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348"/>
        <w:jc w:val="both"/>
        <w:rPr>
          <w:sz w:val="20"/>
        </w:rPr>
      </w:pPr>
      <w:r>
        <w:rPr>
          <w:sz w:val="20"/>
        </w:rPr>
        <w:t>se zavazuje dokončit projekt do konce 06/2025 a o dodržení tohoto termínu Fond bez zbytečného 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(za</w:t>
      </w:r>
      <w:r>
        <w:rPr>
          <w:spacing w:val="-13"/>
          <w:sz w:val="20"/>
        </w:rPr>
        <w:t> </w:t>
      </w: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považuje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7"/>
          <w:sz w:val="20"/>
        </w:rPr>
        <w:t> </w:t>
      </w:r>
      <w:r>
        <w:rPr>
          <w:sz w:val="20"/>
        </w:rPr>
        <w:t>vydání</w:t>
      </w:r>
      <w:r>
        <w:rPr>
          <w:spacing w:val="-13"/>
          <w:sz w:val="20"/>
        </w:rPr>
        <w:t> </w:t>
      </w:r>
      <w:r>
        <w:rPr>
          <w:sz w:val="20"/>
        </w:rPr>
        <w:t>kolaudačního</w:t>
      </w:r>
      <w:r>
        <w:rPr>
          <w:spacing w:val="-10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oznámení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příslušných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183/2006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územním plánování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stavebním</w:t>
      </w:r>
      <w:r>
        <w:rPr>
          <w:spacing w:val="-11"/>
          <w:sz w:val="20"/>
        </w:rPr>
        <w:t> </w:t>
      </w:r>
      <w:r>
        <w:rPr>
          <w:sz w:val="20"/>
        </w:rPr>
        <w:t>řádu,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schválení</w:t>
      </w:r>
      <w:r>
        <w:rPr>
          <w:spacing w:val="-11"/>
          <w:sz w:val="20"/>
        </w:rPr>
        <w:t> </w:t>
      </w:r>
      <w:r>
        <w:rPr>
          <w:sz w:val="20"/>
        </w:rPr>
        <w:t>protokolu</w:t>
      </w:r>
      <w:r>
        <w:rPr>
          <w:spacing w:val="-12"/>
          <w:sz w:val="20"/>
        </w:rPr>
        <w:t> </w:t>
      </w:r>
      <w:r>
        <w:rPr>
          <w:sz w:val="20"/>
        </w:rPr>
        <w:t>o předání a</w:t>
      </w:r>
      <w:r>
        <w:rPr>
          <w:spacing w:val="-4"/>
          <w:sz w:val="20"/>
        </w:rPr>
        <w:t> </w:t>
      </w:r>
      <w:r>
        <w:rPr>
          <w:sz w:val="20"/>
        </w:rPr>
        <w:t>převzetí</w:t>
      </w:r>
      <w:r>
        <w:rPr>
          <w:spacing w:val="-4"/>
          <w:sz w:val="20"/>
        </w:rPr>
        <w:t> </w:t>
      </w:r>
      <w:r>
        <w:rPr>
          <w:sz w:val="20"/>
        </w:rPr>
        <w:t>díla,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jiný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charakteru</w:t>
      </w:r>
      <w:r>
        <w:rPr>
          <w:spacing w:val="-1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(v</w:t>
      </w:r>
      <w:r>
        <w:rPr>
          <w:spacing w:val="-3"/>
          <w:sz w:val="20"/>
        </w:rPr>
        <w:t> </w:t>
      </w:r>
      <w:r>
        <w:rPr>
          <w:sz w:val="20"/>
        </w:rPr>
        <w:t>případech,</w:t>
      </w:r>
      <w:r>
        <w:rPr>
          <w:spacing w:val="-3"/>
          <w:sz w:val="20"/>
        </w:rPr>
        <w:t> </w:t>
      </w:r>
      <w:r>
        <w:rPr>
          <w:sz w:val="20"/>
        </w:rPr>
        <w:t>kde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na realizaci</w:t>
      </w:r>
      <w:r>
        <w:rPr>
          <w:spacing w:val="-4"/>
          <w:sz w:val="20"/>
        </w:rPr>
        <w:t> </w:t>
      </w:r>
      <w:r>
        <w:rPr>
          <w:sz w:val="20"/>
        </w:rPr>
        <w:t>projektu nevyžaduje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7"/>
          <w:sz w:val="20"/>
        </w:rPr>
        <w:t> </w:t>
      </w:r>
      <w:r>
        <w:rPr>
          <w:sz w:val="20"/>
        </w:rPr>
        <w:t>povolení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kolaudační</w:t>
      </w:r>
      <w:r>
        <w:rPr>
          <w:spacing w:val="-7"/>
          <w:sz w:val="20"/>
        </w:rPr>
        <w:t> </w:t>
      </w:r>
      <w:r>
        <w:rPr>
          <w:sz w:val="20"/>
        </w:rPr>
        <w:t>rozhodnutí).</w:t>
      </w:r>
      <w:r>
        <w:rPr>
          <w:spacing w:val="-7"/>
          <w:sz w:val="20"/>
        </w:rPr>
        <w:t> </w:t>
      </w:r>
      <w:r>
        <w:rPr>
          <w:sz w:val="20"/>
        </w:rPr>
        <w:t>Bude-li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akci</w:t>
      </w:r>
      <w:r>
        <w:rPr>
          <w:spacing w:val="-6"/>
          <w:sz w:val="20"/>
        </w:rPr>
        <w:t> </w:t>
      </w:r>
      <w:r>
        <w:rPr>
          <w:sz w:val="20"/>
        </w:rPr>
        <w:t>vydáno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6"/>
          <w:sz w:val="20"/>
        </w:rPr>
        <w:t> </w:t>
      </w:r>
      <w:r>
        <w:rPr>
          <w:sz w:val="20"/>
        </w:rPr>
        <w:t>o užívání stavby, považuje se za termín ukončení akce datum dokumentu vydaného později.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</w:t>
      </w:r>
      <w:r>
        <w:rPr>
          <w:spacing w:val="-5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6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4"/>
        </w:rPr>
        <w:t> </w:t>
      </w:r>
      <w:r>
        <w:rPr/>
        <w:t>přijetí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</w:t>
      </w:r>
      <w:r>
        <w:rPr>
          <w:spacing w:val="-6"/>
        </w:rPr>
        <w:t> </w:t>
      </w: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neoprávněné </w:t>
      </w:r>
      <w:r>
        <w:rPr>
          <w:w w:val="95"/>
        </w:rPr>
        <w:t>použití finančních prostředků poskytnutých z Fondu ve smyslu zákona č. 218/2000 Sb., o rozpočtových </w:t>
      </w:r>
      <w:r>
        <w:rPr/>
        <w:t>pravidlech a o změně některých souvisejících zákonů (rozpočtová pravidla), v platném znění, a že mohou být uplatněny sankce podle tohoto 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0" w:after="0"/>
        <w:ind w:left="876" w:right="110" w:hanging="284"/>
        <w:jc w:val="both"/>
        <w:rPr>
          <w:sz w:val="20"/>
        </w:rPr>
      </w:pPr>
      <w:r>
        <w:rPr>
          <w:sz w:val="20"/>
        </w:rPr>
        <w:t>se zavazuje nejpozději do konce 12/2025 předložit prostřednictvím AIS SFŽP ČR Fondu podklady k ZVA podle čl. 12 písm. d) Výzvy a dále:</w:t>
      </w:r>
    </w:p>
    <w:p>
      <w:pPr>
        <w:pStyle w:val="BodyText"/>
        <w:spacing w:before="121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4"/>
          <w:sz w:val="20"/>
        </w:rPr>
        <w:t> </w:t>
      </w:r>
      <w:r>
        <w:rPr>
          <w:sz w:val="20"/>
        </w:rPr>
        <w:t>pravidla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4"/>
          <w:sz w:val="20"/>
        </w:rPr>
        <w:t> </w:t>
      </w:r>
      <w:r>
        <w:rPr>
          <w:sz w:val="20"/>
        </w:rPr>
        <w:t>zakázek,</w:t>
      </w:r>
      <w:r>
        <w:rPr>
          <w:spacing w:val="-14"/>
          <w:sz w:val="20"/>
        </w:rPr>
        <w:t> </w:t>
      </w:r>
      <w:r>
        <w:rPr>
          <w:sz w:val="20"/>
        </w:rPr>
        <w:t>stanovená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m)</w:t>
      </w:r>
      <w:r>
        <w:rPr>
          <w:spacing w:val="-14"/>
          <w:sz w:val="20"/>
        </w:rPr>
        <w:t> </w:t>
      </w:r>
      <w:r>
        <w:rPr>
          <w:sz w:val="20"/>
        </w:rPr>
        <w:t>Výzvy,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  <w:jc w:val="center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  <w:jc w:val="center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</w:t>
      </w:r>
      <w:r>
        <w:rPr>
          <w:spacing w:val="15"/>
          <w:sz w:val="20"/>
        </w:rPr>
        <w:t> </w:t>
      </w:r>
      <w:r>
        <w:rPr>
          <w:sz w:val="20"/>
        </w:rPr>
        <w:t>a Směrnicí MŽP. V případě</w:t>
      </w:r>
      <w:r>
        <w:rPr>
          <w:spacing w:val="15"/>
          <w:sz w:val="20"/>
        </w:rPr>
        <w:t> </w:t>
      </w:r>
      <w:r>
        <w:rPr>
          <w:sz w:val="20"/>
        </w:rPr>
        <w:t>neuzavření takového dodatku má Fond právo uplatnit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</w:pPr>
      <w:r>
        <w:rPr/>
        <w:t>postup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bodu</w:t>
      </w:r>
      <w:r>
        <w:rPr>
          <w:spacing w:val="-4"/>
        </w:rPr>
        <w:t> </w:t>
      </w:r>
      <w:r>
        <w:rPr>
          <w:spacing w:val="-5"/>
        </w:rPr>
        <w:t>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5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BodyText"/>
        <w:spacing w:before="1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5"/>
        </w:rPr>
        <w:t> </w:t>
      </w:r>
      <w:r>
        <w:rPr/>
        <w:t>vlastnický</w:t>
      </w:r>
      <w:r>
        <w:rPr>
          <w:spacing w:val="-7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1"/>
        <w:ind w:left="0"/>
        <w:jc w:val="left"/>
        <w:rPr>
          <w:sz w:val="28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ind w:left="382"/>
      </w:pPr>
      <w:r>
        <w:rPr/>
        <w:t>Specifické</w:t>
      </w:r>
      <w:r>
        <w:rPr>
          <w:spacing w:val="-10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9"/>
        </w:rPr>
        <w:t> </w:t>
      </w:r>
      <w:r>
        <w:rPr/>
        <w:t>pro</w:t>
      </w:r>
      <w:r>
        <w:rPr>
          <w:spacing w:val="-8"/>
        </w:rPr>
        <w:t> </w:t>
      </w:r>
      <w:r>
        <w:rPr/>
        <w:t>vlastnický</w:t>
      </w:r>
      <w:r>
        <w:rPr>
          <w:spacing w:val="-8"/>
        </w:rPr>
        <w:t> </w:t>
      </w:r>
      <w:r>
        <w:rPr/>
        <w:t>model</w:t>
      </w:r>
      <w:r>
        <w:rPr>
          <w:spacing w:val="-9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0" w:after="0"/>
        <w:ind w:left="1094" w:right="115" w:hanging="45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 v rámci vlastnického modelu, zejména bude platit, že subjekt zodpovědný za provozování je 100% vlastněn vlastníkem dotčené infrastruktury a případnými dalšími veřejnými vlastníky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infrastrukturu</w:t>
      </w:r>
      <w:r>
        <w:rPr>
          <w:spacing w:val="33"/>
          <w:sz w:val="20"/>
        </w:rPr>
        <w:t> </w:t>
      </w:r>
      <w:r>
        <w:rPr>
          <w:sz w:val="20"/>
        </w:rPr>
        <w:t>provozuje</w:t>
      </w:r>
      <w:r>
        <w:rPr>
          <w:spacing w:val="32"/>
          <w:sz w:val="20"/>
        </w:rPr>
        <w:t> </w:t>
      </w:r>
      <w:r>
        <w:rPr>
          <w:sz w:val="20"/>
        </w:rPr>
        <w:t>na</w:t>
      </w:r>
      <w:r>
        <w:rPr>
          <w:spacing w:val="33"/>
          <w:sz w:val="20"/>
        </w:rPr>
        <w:t> </w:t>
      </w:r>
      <w:r>
        <w:rPr>
          <w:sz w:val="20"/>
        </w:rPr>
        <w:t>základě</w:t>
      </w:r>
      <w:r>
        <w:rPr>
          <w:spacing w:val="33"/>
          <w:sz w:val="20"/>
        </w:rPr>
        <w:t> </w:t>
      </w:r>
      <w:r>
        <w:rPr>
          <w:sz w:val="20"/>
        </w:rPr>
        <w:t>smlouvy</w:t>
      </w:r>
      <w:r>
        <w:rPr>
          <w:spacing w:val="34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jiného</w:t>
      </w:r>
      <w:r>
        <w:rPr>
          <w:spacing w:val="34"/>
          <w:sz w:val="20"/>
        </w:rPr>
        <w:t> </w:t>
      </w:r>
      <w:r>
        <w:rPr>
          <w:sz w:val="20"/>
        </w:rPr>
        <w:t>místně</w:t>
      </w:r>
      <w:r>
        <w:rPr>
          <w:spacing w:val="32"/>
          <w:sz w:val="20"/>
        </w:rPr>
        <w:t> </w:t>
      </w:r>
      <w:r>
        <w:rPr>
          <w:sz w:val="20"/>
        </w:rPr>
        <w:t>platného</w:t>
      </w:r>
      <w:r>
        <w:rPr>
          <w:spacing w:val="34"/>
          <w:sz w:val="20"/>
        </w:rPr>
        <w:t> </w:t>
      </w:r>
      <w:r>
        <w:rPr>
          <w:sz w:val="20"/>
        </w:rPr>
        <w:t>pověření a přímo drží povolení k</w:t>
      </w:r>
      <w:r>
        <w:rPr>
          <w:spacing w:val="-1"/>
          <w:sz w:val="20"/>
        </w:rPr>
        <w:t> </w:t>
      </w:r>
      <w:r>
        <w:rPr>
          <w:sz w:val="20"/>
        </w:rPr>
        <w:t>provozování (k modelům provozování infrastruktury a podmínkám stanoveným pro vlastnický model viz dokument „Metodika pro žadatele rozvádějící podmínky přílohy č. 3 Programového dokumentu OPŽP 2021</w:t>
      </w:r>
      <w:r>
        <w:rPr>
          <w:spacing w:val="14"/>
          <w:sz w:val="20"/>
        </w:rPr>
        <w:t> </w:t>
      </w:r>
      <w:r>
        <w:rPr>
          <w:sz w:val="20"/>
        </w:rPr>
        <w:t>– 2027“, dále jen „Metodika“, která je součástí</w:t>
      </w:r>
    </w:p>
    <w:p>
      <w:pPr>
        <w:pStyle w:val="BodyText"/>
        <w:spacing w:line="264" w:lineRule="auto" w:before="2"/>
        <w:ind w:left="1094" w:right="111"/>
      </w:pPr>
      <w:r>
        <w:rPr/>
        <w:t>„Pravidel pro žadatele a příjemce podpory v Operačním programu Životní prostředí pro období 2021–2027“ dále jen „PrŽaP“). Pro účely stanovení podmínek týkajících se provozování vodohospodářské infrastruktury se vodohospodářskou infrastrukturou rozumí celá složka infrastruktury</w:t>
      </w:r>
      <w:r>
        <w:rPr>
          <w:spacing w:val="-1"/>
        </w:rPr>
        <w:t> </w:t>
      </w:r>
      <w:r>
        <w:rPr/>
        <w:t>pořízené</w:t>
      </w:r>
      <w:r>
        <w:rPr>
          <w:spacing w:val="-1"/>
        </w:rPr>
        <w:t> </w:t>
      </w:r>
      <w:r>
        <w:rPr/>
        <w:t>(rekonstruované)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podporou poskytnutou podle</w:t>
      </w:r>
      <w:r>
        <w:rPr>
          <w:spacing w:val="-1"/>
        </w:rPr>
        <w:t> </w:t>
      </w:r>
      <w:r>
        <w:rPr/>
        <w:t>této Smlouvy</w:t>
      </w:r>
      <w:r>
        <w:rPr>
          <w:spacing w:val="-1"/>
        </w:rPr>
        <w:t> </w:t>
      </w:r>
      <w:r>
        <w:rPr/>
        <w:t>(podpořená infrastruktura) a veškerá další infrastruktura provozovaná v této složce na území relevantní obce (podrobněji viz Metodika) společně s podpořenou infrastrukturou v rámci podpořeného vlastnického modelu provozování.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19" w:after="0"/>
        <w:ind w:left="1094" w:right="117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předloží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k posouzení</w:t>
      </w:r>
      <w:r>
        <w:rPr>
          <w:spacing w:val="40"/>
          <w:sz w:val="20"/>
        </w:rPr>
        <w:t> </w:t>
      </w:r>
      <w:r>
        <w:rPr>
          <w:sz w:val="20"/>
        </w:rPr>
        <w:t>aktuální</w:t>
      </w:r>
      <w:r>
        <w:rPr>
          <w:spacing w:val="40"/>
          <w:sz w:val="20"/>
        </w:rPr>
        <w:t> </w:t>
      </w:r>
      <w:r>
        <w:rPr>
          <w:sz w:val="20"/>
        </w:rPr>
        <w:t>verzi</w:t>
      </w:r>
      <w:r>
        <w:rPr>
          <w:spacing w:val="40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</w:t>
      </w:r>
      <w:r>
        <w:rPr>
          <w:spacing w:val="40"/>
          <w:sz w:val="20"/>
        </w:rPr>
        <w:t> </w:t>
      </w:r>
      <w:r>
        <w:rPr>
          <w:sz w:val="20"/>
        </w:rPr>
        <w:t>vyplněnou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manuálem k Nástroji Udržitelnost včetně relevantních příloh. Nástroj bude předložen 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1" w:after="0"/>
        <w:ind w:left="1094" w:right="111" w:hanging="560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 s návrhem Plánu prostředků obnovy vodovodů a/nebo kanalizací schváleným Fondem dle výstupu z Nástroje Udržitelnost. Změna výše prostředků na obnovu vodovodů a/nebo kanalizací je přípustná pouze z důvodu (a) snížení na úroveň, která prokazatelně zajistí nepřekročení hranice sociálně únosné ceny pro vodné a/nebo stočné zveřejňované</w:t>
      </w:r>
      <w:r>
        <w:rPr>
          <w:spacing w:val="-4"/>
          <w:sz w:val="20"/>
        </w:rPr>
        <w:t> </w:t>
      </w:r>
      <w:r>
        <w:rPr>
          <w:sz w:val="20"/>
        </w:rPr>
        <w:t>každoročně</w:t>
      </w:r>
      <w:r>
        <w:rPr>
          <w:spacing w:val="-4"/>
          <w:sz w:val="20"/>
        </w:rPr>
        <w:t> </w:t>
      </w:r>
      <w:r>
        <w:rPr>
          <w:sz w:val="20"/>
        </w:rPr>
        <w:t>Fondem,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(b)</w:t>
      </w:r>
      <w:r>
        <w:rPr>
          <w:spacing w:val="-3"/>
          <w:sz w:val="20"/>
        </w:rPr>
        <w:t> </w:t>
      </w:r>
      <w:r>
        <w:rPr>
          <w:sz w:val="20"/>
        </w:rPr>
        <w:t>snížení</w:t>
      </w:r>
      <w:r>
        <w:rPr>
          <w:spacing w:val="-4"/>
          <w:sz w:val="20"/>
        </w:rPr>
        <w:t> </w:t>
      </w:r>
      <w:r>
        <w:rPr>
          <w:sz w:val="20"/>
        </w:rPr>
        <w:t>na 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prokazatelně</w:t>
      </w:r>
      <w:r>
        <w:rPr>
          <w:spacing w:val="-4"/>
          <w:sz w:val="20"/>
        </w:rPr>
        <w:t> </w:t>
      </w:r>
      <w:r>
        <w:rPr>
          <w:sz w:val="20"/>
        </w:rPr>
        <w:t>vytváří</w:t>
      </w:r>
      <w:r>
        <w:rPr>
          <w:spacing w:val="-4"/>
          <w:sz w:val="20"/>
        </w:rPr>
        <w:t> </w:t>
      </w:r>
      <w:r>
        <w:rPr>
          <w:sz w:val="20"/>
        </w:rPr>
        <w:t>zdroje</w:t>
      </w:r>
      <w:r>
        <w:rPr>
          <w:spacing w:val="-5"/>
          <w:sz w:val="20"/>
        </w:rPr>
        <w:t> </w:t>
      </w:r>
      <w:r>
        <w:rPr>
          <w:sz w:val="20"/>
        </w:rPr>
        <w:t>na obnovu vodovodů a/nebo kanalizací minimálně ve výši „plných odpisů“. V obou případech je nezbytné, aby Fond navrženou odchylku odsouhlasil.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0" w:after="0"/>
        <w:ind w:left="1094" w:right="114" w:hanging="576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0" w:after="0"/>
        <w:ind w:left="1101" w:right="111" w:hanging="5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 na „související provozní smlouvy“ ve smyslu Metodiky s tím, že v případě ukončení platnosti související provozní smlouvy je vlastník infrastruktury, která je předmětem související provozní 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2"/>
        <w:spacing w:line="264" w:lineRule="auto"/>
        <w:ind w:left="382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08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38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1094" w:hanging="452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45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45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45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45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45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45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452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2024-10-16T11:01:30Z</dcterms:created>
  <dcterms:modified xsi:type="dcterms:W3CDTF">2024-10-16T11:01:30Z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2024-10-16T00:00:00Z</vt:filetime>
  </property>
</Properties>
</file>