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0" w:name="bookmark0"/>
      <w:r>
        <w:rPr>
          <w:rStyle w:val="CharStyle6"/>
          <w:b/>
          <w:bCs/>
        </w:rPr>
        <w:t xml:space="preserve">Příloha pachtovní smlouvy </w:t>
      </w:r>
      <w:r>
        <w:rPr>
          <w:rStyle w:val="CharStyle6"/>
          <w:b/>
          <w:bCs/>
          <w:lang w:val="sk-SK" w:eastAsia="sk-SK" w:bidi="sk-SK"/>
        </w:rPr>
        <w:t xml:space="preserve">č. </w:t>
      </w:r>
      <w:r>
        <w:rPr>
          <w:rStyle w:val="CharStyle6"/>
          <w:b/>
          <w:bCs/>
        </w:rPr>
        <w:t>291N24/38</w:t>
      </w:r>
      <w:bookmarkEnd w:id="0"/>
    </w:p>
    <w:tbl>
      <w:tblPr>
        <w:tblOverlap w:val="never"/>
        <w:jc w:val="center"/>
        <w:tblLayout w:type="fixed"/>
      </w:tblPr>
      <w:tblGrid>
        <w:gridCol w:w="4892"/>
        <w:gridCol w:w="5324"/>
      </w:tblGrid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3893" w:val="left"/>
              </w:tabs>
              <w:bidi w:val="0"/>
              <w:spacing w:before="0" w:after="0" w:line="240" w:lineRule="auto"/>
              <w:ind w:left="0" w:right="0" w:firstLine="16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rFonts w:ascii="Arial" w:eastAsia="Arial" w:hAnsi="Arial" w:cs="Arial"/>
                <w:sz w:val="19"/>
                <w:szCs w:val="19"/>
              </w:rPr>
              <w:t>Variabilní symbol: 29112438</w:t>
              <w:tab/>
              <w:t>Uzavřeno: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49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rFonts w:ascii="Arial" w:eastAsia="Arial" w:hAnsi="Arial" w:cs="Arial"/>
                <w:sz w:val="19"/>
                <w:szCs w:val="19"/>
              </w:rPr>
              <w:t>01.10.2024</w:t>
              <w:tab/>
              <w:t xml:space="preserve">Roční pacht: </w:t>
            </w:r>
            <w:r>
              <w:rPr>
                <w:rStyle w:val="CharStyle11"/>
                <w:rFonts w:ascii="Arial" w:eastAsia="Arial" w:hAnsi="Arial" w:cs="Arial"/>
                <w:b/>
                <w:bCs/>
                <w:sz w:val="19"/>
                <w:szCs w:val="19"/>
              </w:rPr>
              <w:t>23 942 Kč</w:t>
            </w:r>
          </w:p>
        </w:tc>
      </w:tr>
      <w:tr>
        <w:trPr>
          <w:trHeight w:val="554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910" w:val="left"/>
                <w:tab w:pos="3879" w:val="left"/>
              </w:tabs>
              <w:bidi w:val="0"/>
              <w:spacing w:before="0" w:after="0" w:line="240" w:lineRule="auto"/>
              <w:ind w:left="0" w:right="0" w:firstLine="16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rFonts w:ascii="Arial" w:eastAsia="Arial" w:hAnsi="Arial" w:cs="Arial"/>
                <w:sz w:val="19"/>
                <w:szCs w:val="19"/>
              </w:rPr>
              <w:t>Datum tisku:</w:t>
              <w:tab/>
              <w:t>01.10.2024</w:t>
              <w:tab/>
              <w:t>Účinná od: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rFonts w:ascii="Arial" w:eastAsia="Arial" w:hAnsi="Arial" w:cs="Arial"/>
                <w:sz w:val="19"/>
                <w:szCs w:val="19"/>
              </w:rPr>
              <w:t>01.10.2024</w:t>
            </w:r>
          </w:p>
        </w:tc>
      </w:tr>
    </w:tbl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" w:right="0" w:firstLine="0"/>
        <w:jc w:val="left"/>
      </w:pPr>
      <w:r>
        <w:rPr>
          <w:rStyle w:val="CharStyle8"/>
          <w:rFonts w:ascii="Arial" w:eastAsia="Arial" w:hAnsi="Arial" w:cs="Arial"/>
          <w:b/>
          <w:bCs/>
          <w:sz w:val="19"/>
          <w:szCs w:val="19"/>
        </w:rPr>
        <w:t>Pachtýři:</w:t>
      </w:r>
    </w:p>
    <w:p>
      <w:pPr>
        <w:widowControl w:val="0"/>
        <w:spacing w:after="1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20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561340</wp:posOffset>
                </wp:positionH>
                <wp:positionV relativeFrom="paragraph">
                  <wp:posOffset>12700</wp:posOffset>
                </wp:positionV>
                <wp:extent cx="386080" cy="15303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6080" cy="1530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Název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4.200000000000003pt;margin-top:1.pt;width:30.400000000000002pt;height:12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Název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  <w:b/>
          <w:bCs/>
        </w:rPr>
        <w:t>Adresa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/>
        <w:jc w:val="left"/>
      </w:pPr>
      <w:r>
        <mc:AlternateContent>
          <mc:Choice Requires="wps">
            <w:drawing>
              <wp:anchor distT="0" distB="0" distL="25400" distR="25400" simplePos="0" relativeHeight="125829380" behindDoc="0" locked="0" layoutInCell="1" allowOverlap="1">
                <wp:simplePos x="0" y="0"/>
                <wp:positionH relativeFrom="page">
                  <wp:posOffset>2847340</wp:posOffset>
                </wp:positionH>
                <wp:positionV relativeFrom="paragraph">
                  <wp:posOffset>12700</wp:posOffset>
                </wp:positionV>
                <wp:extent cx="772795" cy="15748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2795" cy="1574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,41116 Klapý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224.20000000000002pt;margin-top:1.pt;width:60.850000000000001pt;height:12.4pt;z-index:-125829373;mso-wrap-distance-left:2.pt;mso-wrap-distance-right: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,41116 Klapý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</w:rPr>
        <w:t>Karfilát Rudolf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" w:right="0" w:firstLine="0"/>
        <w:jc w:val="left"/>
      </w:pPr>
      <w:r>
        <w:rPr>
          <w:rStyle w:val="CharStyle8"/>
          <w:rFonts w:ascii="Arial" w:eastAsia="Arial" w:hAnsi="Arial" w:cs="Arial"/>
          <w:b/>
          <w:bCs/>
          <w:sz w:val="19"/>
          <w:szCs w:val="19"/>
        </w:rPr>
        <w:t>Nemovitosti:</w:t>
      </w:r>
    </w:p>
    <w:tbl>
      <w:tblPr>
        <w:tblOverlap w:val="never"/>
        <w:jc w:val="center"/>
        <w:tblLayout w:type="fixed"/>
      </w:tblPr>
      <w:tblGrid>
        <w:gridCol w:w="1012"/>
        <w:gridCol w:w="1253"/>
        <w:gridCol w:w="1292"/>
        <w:gridCol w:w="536"/>
        <w:gridCol w:w="605"/>
        <w:gridCol w:w="713"/>
        <w:gridCol w:w="1051"/>
        <w:gridCol w:w="860"/>
        <w:gridCol w:w="475"/>
        <w:gridCol w:w="529"/>
        <w:gridCol w:w="936"/>
        <w:gridCol w:w="1012"/>
      </w:tblGrid>
      <w:tr>
        <w:trPr>
          <w:trHeight w:val="52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rFonts w:ascii="Arial" w:eastAsia="Arial" w:hAnsi="Arial" w:cs="Arial"/>
                <w:b/>
                <w:bCs/>
                <w:sz w:val="19"/>
                <w:szCs w:val="19"/>
              </w:rPr>
              <w:t>Pozn.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rFonts w:ascii="Arial" w:eastAsia="Arial" w:hAnsi="Arial" w:cs="Arial"/>
                <w:b/>
                <w:bCs/>
                <w:sz w:val="19"/>
                <w:szCs w:val="19"/>
              </w:rPr>
              <w:t>Parcela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Style w:val="CharStyle11"/>
                <w:rFonts w:ascii="Arial" w:eastAsia="Arial" w:hAnsi="Arial" w:cs="Arial"/>
                <w:b/>
                <w:bCs/>
                <w:sz w:val="19"/>
                <w:szCs w:val="19"/>
              </w:rPr>
              <w:t>/ Dii Skp.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rFonts w:ascii="Arial" w:eastAsia="Arial" w:hAnsi="Arial" w:cs="Arial"/>
                <w:b/>
                <w:bCs/>
                <w:sz w:val="19"/>
                <w:szCs w:val="19"/>
              </w:rPr>
              <w:t>Kult.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180" w:right="0" w:hanging="18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rFonts w:ascii="Arial" w:eastAsia="Arial" w:hAnsi="Arial" w:cs="Arial"/>
                <w:b/>
                <w:bCs/>
                <w:sz w:val="19"/>
                <w:szCs w:val="19"/>
              </w:rPr>
              <w:t>Číslo LV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4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Style w:val="CharStyle11"/>
                <w:rFonts w:ascii="Arial" w:eastAsia="Arial" w:hAnsi="Arial" w:cs="Arial"/>
                <w:b/>
                <w:bCs/>
                <w:sz w:val="19"/>
                <w:szCs w:val="19"/>
              </w:rPr>
              <w:t>Typ sazby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Style w:val="CharStyle11"/>
                <w:rFonts w:ascii="Arial" w:eastAsia="Arial" w:hAnsi="Arial" w:cs="Arial"/>
                <w:b/>
                <w:bCs/>
                <w:sz w:val="19"/>
                <w:szCs w:val="19"/>
              </w:rPr>
              <w:t>Cena [Kč]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Style w:val="CharStyle11"/>
                <w:rFonts w:ascii="Arial" w:eastAsia="Arial" w:hAnsi="Arial" w:cs="Arial"/>
                <w:b/>
                <w:bCs/>
                <w:sz w:val="19"/>
                <w:szCs w:val="19"/>
              </w:rPr>
              <w:t>Výměra [m</w:t>
            </w:r>
            <w:r>
              <w:rPr>
                <w:rStyle w:val="CharStyle11"/>
                <w:rFonts w:ascii="Arial" w:eastAsia="Arial" w:hAnsi="Arial" w:cs="Arial"/>
                <w:b/>
                <w:bCs/>
                <w:sz w:val="19"/>
                <w:szCs w:val="19"/>
                <w:vertAlign w:val="superscript"/>
              </w:rPr>
              <w:t>2</w:t>
            </w:r>
            <w:r>
              <w:rPr>
                <w:rStyle w:val="CharStyle11"/>
                <w:rFonts w:ascii="Arial" w:eastAsia="Arial" w:hAnsi="Arial" w:cs="Arial"/>
                <w:b/>
                <w:bCs/>
                <w:sz w:val="19"/>
                <w:szCs w:val="19"/>
              </w:rPr>
              <w:t>]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Style w:val="CharStyle11"/>
                <w:rFonts w:ascii="Arial" w:eastAsia="Arial" w:hAnsi="Arial" w:cs="Arial"/>
                <w:b/>
                <w:bCs/>
                <w:sz w:val="19"/>
                <w:szCs w:val="19"/>
              </w:rPr>
              <w:t>VO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Style w:val="CharStyle11"/>
                <w:rFonts w:ascii="Arial" w:eastAsia="Arial" w:hAnsi="Arial" w:cs="Arial"/>
                <w:b/>
                <w:bCs/>
                <w:sz w:val="19"/>
                <w:szCs w:val="19"/>
              </w:rPr>
              <w:t>%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rFonts w:ascii="Arial" w:eastAsia="Arial" w:hAnsi="Arial" w:cs="Arial"/>
                <w:b/>
                <w:bCs/>
                <w:sz w:val="19"/>
                <w:szCs w:val="19"/>
              </w:rPr>
              <w:t>Inflace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Style w:val="CharStyle11"/>
                <w:rFonts w:ascii="Arial" w:eastAsia="Arial" w:hAnsi="Arial" w:cs="Arial"/>
                <w:b/>
                <w:bCs/>
                <w:sz w:val="19"/>
                <w:szCs w:val="19"/>
              </w:rPr>
              <w:t>Pacht [Kč]</w:t>
            </w:r>
          </w:p>
        </w:tc>
      </w:tr>
      <w:tr>
        <w:trPr>
          <w:trHeight w:val="328" w:hRule="exact"/>
        </w:trPr>
        <w:tc>
          <w:tcPr>
            <w:gridSpan w:val="12"/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rFonts w:ascii="Arial" w:eastAsia="Arial" w:hAnsi="Arial" w:cs="Arial"/>
                <w:b/>
                <w:bCs/>
                <w:sz w:val="19"/>
                <w:szCs w:val="19"/>
              </w:rPr>
              <w:t>Katastr: Libochovice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1017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94" w:val="left"/>
              </w:tabs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1"/>
                <w:rFonts w:ascii="Arial" w:eastAsia="Arial" w:hAnsi="Arial" w:cs="Arial"/>
              </w:rPr>
              <w:t>31</w:t>
              <w:tab/>
              <w:t>2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2 1852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1"/>
                <w:rFonts w:ascii="Arial" w:eastAsia="Arial" w:hAnsi="Arial" w:cs="Arial"/>
              </w:rPr>
              <w:t>pc/ha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127 000,00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1"/>
                <w:rFonts w:ascii="Arial" w:eastAsia="Arial" w:hAnsi="Arial" w:cs="Arial"/>
              </w:rPr>
              <w:t>13 103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Ř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3,6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1"/>
                <w:rFonts w:ascii="Arial" w:eastAsia="Arial" w:hAnsi="Arial" w:cs="Arial"/>
              </w:rPr>
              <w:t>5 990,69</w:t>
            </w:r>
          </w:p>
        </w:tc>
      </w:tr>
      <w:tr>
        <w:trPr>
          <w:trHeight w:val="324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1019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00" w:val="left"/>
              </w:tabs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1"/>
                <w:rFonts w:ascii="Arial" w:eastAsia="Arial" w:hAnsi="Arial" w:cs="Arial"/>
              </w:rPr>
              <w:t>8</w:t>
              <w:tab/>
              <w:t>2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1"/>
                <w:rFonts w:ascii="Arial" w:eastAsia="Arial" w:hAnsi="Arial" w:cs="Arial"/>
              </w:rPr>
              <w:t>11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1852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1"/>
                <w:rFonts w:ascii="Arial" w:eastAsia="Arial" w:hAnsi="Arial" w:cs="Arial"/>
              </w:rPr>
              <w:t>pc/ha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127 000,00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1"/>
                <w:rFonts w:ascii="Arial" w:eastAsia="Arial" w:hAnsi="Arial" w:cs="Arial"/>
              </w:rPr>
              <w:t>283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Ř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3,6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1"/>
                <w:rFonts w:ascii="Arial" w:eastAsia="Arial" w:hAnsi="Arial" w:cs="Arial"/>
              </w:rPr>
              <w:t>129,39</w:t>
            </w:r>
          </w:p>
        </w:tc>
      </w:tr>
      <w:tr>
        <w:trPr>
          <w:trHeight w:val="324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1167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1"/>
                <w:rFonts w:ascii="Arial" w:eastAsia="Arial" w:hAnsi="Arial" w:cs="Aria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1852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1"/>
                <w:rFonts w:ascii="Arial" w:eastAsia="Arial" w:hAnsi="Arial" w:cs="Arial"/>
              </w:rPr>
              <w:t>pc/ha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127 000,00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1"/>
                <w:rFonts w:ascii="Arial" w:eastAsia="Arial" w:hAnsi="Arial" w:cs="Arial"/>
              </w:rPr>
              <w:t>22 652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3,6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1"/>
                <w:rFonts w:ascii="Arial" w:eastAsia="Arial" w:hAnsi="Arial" w:cs="Arial"/>
              </w:rPr>
              <w:t>10 356,49</w:t>
            </w:r>
          </w:p>
        </w:tc>
      </w:tr>
      <w:tr>
        <w:trPr>
          <w:trHeight w:val="328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1229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1"/>
                <w:rFonts w:ascii="Arial" w:eastAsia="Arial" w:hAnsi="Arial" w:cs="Arial"/>
              </w:rPr>
              <w:t>2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2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1852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1"/>
                <w:rFonts w:ascii="Arial" w:eastAsia="Arial" w:hAnsi="Arial" w:cs="Arial"/>
              </w:rPr>
              <w:t>pc/ha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127 000,00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1"/>
                <w:rFonts w:ascii="Arial" w:eastAsia="Arial" w:hAnsi="Arial" w:cs="Arial"/>
              </w:rPr>
              <w:t>8 992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Ř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3,6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both"/>
            </w:pPr>
            <w:r>
              <w:rPr>
                <w:rStyle w:val="CharStyle11"/>
                <w:rFonts w:ascii="Arial" w:eastAsia="Arial" w:hAnsi="Arial" w:cs="Arial"/>
              </w:rPr>
              <w:t>4 111,14</w:t>
            </w:r>
          </w:p>
        </w:tc>
      </w:tr>
      <w:tr>
        <w:trPr>
          <w:trHeight w:val="284" w:hRule="exact"/>
        </w:trPr>
        <w:tc>
          <w:tcPr>
            <w:tcBorders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4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1293</w:t>
            </w:r>
          </w:p>
        </w:tc>
        <w:tc>
          <w:tcPr>
            <w:tcBorders>
              <w:bottom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1"/>
                <w:rFonts w:ascii="Arial" w:eastAsia="Arial" w:hAnsi="Arial" w:cs="Arial"/>
              </w:rPr>
              <w:t>2</w:t>
            </w:r>
          </w:p>
        </w:tc>
        <w:tc>
          <w:tcPr>
            <w:tcBorders>
              <w:bottom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2</w:t>
            </w:r>
          </w:p>
        </w:tc>
        <w:tc>
          <w:tcPr>
            <w:tcBorders>
              <w:bottom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1852</w:t>
            </w:r>
          </w:p>
        </w:tc>
        <w:tc>
          <w:tcPr>
            <w:tcBorders>
              <w:bottom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11"/>
                <w:rFonts w:ascii="Arial" w:eastAsia="Arial" w:hAnsi="Arial" w:cs="Arial"/>
              </w:rPr>
              <w:t>pc/ha</w:t>
            </w:r>
          </w:p>
        </w:tc>
        <w:tc>
          <w:tcPr>
            <w:tcBorders>
              <w:bottom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127 000,00</w:t>
            </w:r>
          </w:p>
        </w:tc>
        <w:tc>
          <w:tcPr>
            <w:tcBorders>
              <w:bottom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1"/>
                <w:rFonts w:ascii="Arial" w:eastAsia="Arial" w:hAnsi="Arial" w:cs="Arial"/>
              </w:rPr>
              <w:t>7 337</w:t>
            </w:r>
          </w:p>
        </w:tc>
        <w:tc>
          <w:tcPr>
            <w:tcBorders>
              <w:bottom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Ř</w:t>
            </w:r>
          </w:p>
        </w:tc>
        <w:tc>
          <w:tcPr>
            <w:tcBorders>
              <w:bottom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  <w:rFonts w:ascii="Arial" w:eastAsia="Arial" w:hAnsi="Arial" w:cs="Arial"/>
              </w:rPr>
              <w:t>3,6</w:t>
            </w:r>
          </w:p>
        </w:tc>
        <w:tc>
          <w:tcPr>
            <w:tcBorders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both"/>
            </w:pPr>
            <w:r>
              <w:rPr>
                <w:rStyle w:val="CharStyle11"/>
                <w:rFonts w:ascii="Arial" w:eastAsia="Arial" w:hAnsi="Arial" w:cs="Arial"/>
              </w:rPr>
              <w:t>3 354,48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6997" w:val="left"/>
          <w:tab w:pos="9704" w:val="left"/>
        </w:tabs>
        <w:bidi w:val="0"/>
        <w:spacing w:before="0" w:after="80" w:line="240" w:lineRule="auto"/>
        <w:ind w:left="0" w:right="0"/>
        <w:jc w:val="both"/>
      </w:pPr>
      <w:r>
        <w:rPr>
          <w:rStyle w:val="CharStyle3"/>
        </w:rPr>
        <w:t>Celkem za katastr</w:t>
        <w:tab/>
        <w:t>52 367</w:t>
        <w:tab/>
        <w:t>23 942,19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823" w:val="left"/>
          <w:tab w:pos="8164" w:val="left"/>
        </w:tabs>
        <w:bidi w:val="0"/>
        <w:spacing w:before="0" w:after="680" w:line="240" w:lineRule="auto"/>
        <w:ind w:left="0" w:right="0"/>
        <w:jc w:val="left"/>
      </w:pPr>
      <w:r>
        <w:rPr>
          <w:rStyle w:val="CharStyle3"/>
          <w:b/>
          <w:bCs/>
        </w:rPr>
        <w:t>Celkem</w:t>
        <w:tab/>
      </w:r>
      <w:r>
        <w:rPr>
          <w:rStyle w:val="CharStyle3"/>
          <w:b/>
          <w:bCs/>
          <w:vertAlign w:val="superscript"/>
        </w:rPr>
        <w:t>=—</w:t>
      </w:r>
      <w:r>
        <w:rPr>
          <w:rStyle w:val="CharStyle3"/>
          <w:b/>
          <w:bCs/>
        </w:rPr>
        <w:t>52 367</w:t>
        <w:tab/>
      </w:r>
      <w:r>
        <w:rPr>
          <w:rStyle w:val="CharStyle3"/>
          <w:b/>
          <w:bCs/>
          <w:vertAlign w:val="superscript"/>
        </w:rPr>
        <w:t>=—</w:t>
      </w:r>
      <w:r>
        <w:rPr>
          <w:rStyle w:val="CharStyle3"/>
          <w:b/>
          <w:bCs/>
        </w:rPr>
        <w:t>23 942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3"/>
          <w:b/>
          <w:bCs/>
        </w:rPr>
        <w:t>Vysvětlivky k typu sazby: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/>
        <w:jc w:val="left"/>
      </w:pPr>
      <w:r>
        <w:rPr>
          <w:rStyle w:val="CharStyle3"/>
        </w:rPr>
        <w:t>ha...za hektar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3"/>
        </w:rPr>
        <w:t>jdn...za jednotku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/>
        <w:jc w:val="left"/>
      </w:pPr>
      <w:r>
        <w:rPr>
          <w:rStyle w:val="CharStyle3"/>
        </w:rPr>
        <w:t>pc/ha...průměrná cena za hektar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/>
        <w:jc w:val="left"/>
      </w:pPr>
      <w:r>
        <w:rPr>
          <w:rStyle w:val="CharStyle3"/>
        </w:rPr>
        <w:t>m</w:t>
      </w:r>
      <w:r>
        <w:rPr>
          <w:rStyle w:val="CharStyle3"/>
          <w:vertAlign w:val="superscript"/>
        </w:rPr>
        <w:t>2</w:t>
      </w:r>
      <w:r>
        <w:rPr>
          <w:rStyle w:val="CharStyle3"/>
        </w:rPr>
        <w:t>...za m</w:t>
      </w:r>
      <w:r>
        <w:rPr>
          <w:rStyle w:val="CharStyle3"/>
          <w:vertAlign w:val="superscript"/>
        </w:rPr>
        <w:t>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3"/>
          <w:b/>
          <w:bCs/>
        </w:rPr>
        <w:t>Vysvětlivky k výrobním oblastem (VO):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3"/>
        </w:rPr>
        <w:t>H...horská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/>
        <w:jc w:val="left"/>
      </w:pPr>
      <w:r>
        <w:rPr>
          <w:rStyle w:val="CharStyle3"/>
        </w:rPr>
        <w:t>BO...bramborářsko-ovesná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/>
        <w:jc w:val="left"/>
      </w:pPr>
      <w:r>
        <w:rPr>
          <w:rStyle w:val="CharStyle3"/>
        </w:rPr>
        <w:t>B...bramborářská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rStyle w:val="CharStyle3"/>
        </w:rPr>
        <w:t>K...kukuřičná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/>
        <w:jc w:val="left"/>
      </w:pPr>
      <w:r>
        <w:rPr>
          <w:rStyle w:val="CharStyle3"/>
        </w:rPr>
        <w:t>Ř...řepařská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900" w:line="233" w:lineRule="auto"/>
        <w:ind w:left="0" w:right="0"/>
        <w:jc w:val="left"/>
      </w:pPr>
      <w:r>
        <w:rPr>
          <w:rStyle w:val="CharStyle3"/>
        </w:rPr>
        <w:t>9...neurčená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pgSz w:w="11900" w:h="16840"/>
          <w:pgMar w:top="1117" w:right="793" w:bottom="1117" w:left="445" w:header="689" w:footer="689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3"/>
        </w:rPr>
        <w:t>1/1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300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16"/>
        </w:rPr>
        <w:t>VÝPIS Z KATASTRU NEMOVITOSTÍ</w:t>
        <w:br/>
        <w:t xml:space="preserve">prokazující stav evidovaný k datu </w:t>
      </w:r>
      <w:r>
        <w:rPr>
          <w:rStyle w:val="CharStyle16"/>
          <w:i/>
          <w:iCs/>
          <w:sz w:val="19"/>
          <w:szCs w:val="19"/>
        </w:rPr>
        <w:t>01.10.2024 11:15:02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left"/>
      </w:pPr>
      <w:r>
        <w:rPr>
          <w:rStyle w:val="CharStyle23"/>
          <w:i/>
          <w:iCs/>
        </w:rPr>
        <w:t>Vyhotoveno bezúplatně dálkovým přístupem pro účel: Nájem nemovitosti, č.j.: 390415/2024 pro Státní pozemkový úřad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6709" w:val="left"/>
        </w:tabs>
        <w:bidi w:val="0"/>
        <w:spacing w:before="0" w:after="0" w:line="302" w:lineRule="auto"/>
        <w:ind w:left="0" w:right="0" w:firstLine="480"/>
        <w:jc w:val="left"/>
      </w:pPr>
      <w:r>
        <w:rPr>
          <w:rStyle w:val="CharStyle16"/>
          <w:sz w:val="19"/>
          <w:szCs w:val="19"/>
        </w:rPr>
        <w:t xml:space="preserve">Okres: </w:t>
      </w:r>
      <w:r>
        <w:rPr>
          <w:rStyle w:val="CharStyle16"/>
        </w:rPr>
        <w:t>CZ0423 Litoměřice</w:t>
        <w:tab/>
      </w:r>
      <w:r>
        <w:rPr>
          <w:rStyle w:val="CharStyle16"/>
          <w:sz w:val="19"/>
          <w:szCs w:val="19"/>
        </w:rPr>
        <w:t xml:space="preserve">Obec: </w:t>
      </w:r>
      <w:r>
        <w:rPr>
          <w:rStyle w:val="CharStyle16"/>
        </w:rPr>
        <w:t>565164 Libochovice</w: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5270" w:val="left"/>
        </w:tabs>
        <w:bidi w:val="0"/>
        <w:spacing w:before="0" w:after="0" w:line="302" w:lineRule="auto"/>
        <w:ind w:left="0" w:right="0" w:firstLine="0"/>
        <w:jc w:val="left"/>
        <w:rPr>
          <w:sz w:val="17"/>
          <w:szCs w:val="17"/>
        </w:rPr>
      </w:pPr>
      <w:r>
        <w:rPr>
          <w:rStyle w:val="CharStyle26"/>
        </w:rPr>
        <w:t xml:space="preserve">Kat.území: </w:t>
      </w:r>
      <w:r>
        <w:rPr>
          <w:rStyle w:val="CharStyle26"/>
          <w:sz w:val="17"/>
          <w:szCs w:val="17"/>
        </w:rPr>
        <w:t>683124 Libochovice</w:t>
        <w:tab/>
      </w:r>
      <w:r>
        <w:rPr>
          <w:rStyle w:val="CharStyle26"/>
        </w:rPr>
        <w:t xml:space="preserve">List vlastnictví: </w:t>
      </w:r>
      <w:r>
        <w:rPr>
          <w:rStyle w:val="CharStyle26"/>
          <w:sz w:val="17"/>
          <w:szCs w:val="17"/>
        </w:rPr>
        <w:t>1852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36" w:lineRule="auto"/>
        <w:ind w:left="0" w:right="0" w:firstLine="560"/>
        <w:jc w:val="left"/>
      </w:pPr>
      <w:r>
        <w:rPr>
          <w:rStyle w:val="CharStyle16"/>
        </w:rPr>
        <w:t xml:space="preserve">V kat. území jsou pozemky vedeny ve dvou číselných řadách </w:t>
      </w:r>
      <w:r>
        <w:rPr>
          <w:rStyle w:val="CharStyle16"/>
          <w:lang w:val="en-US" w:eastAsia="en-US" w:bidi="en-US"/>
        </w:rPr>
        <w:t xml:space="preserve">(St. </w:t>
      </w:r>
      <w:r>
        <w:rPr>
          <w:rStyle w:val="CharStyle16"/>
        </w:rPr>
        <w:t>= stavební parcela)</w: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7189" w:val="left"/>
          <w:tab w:pos="10001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Style w:val="CharStyle26"/>
          <w:u w:val="single"/>
        </w:rPr>
        <w:t xml:space="preserve">A </w:t>
      </w:r>
      <w:r>
        <w:rPr>
          <w:rStyle w:val="CharStyle26"/>
          <w:i/>
          <w:iCs/>
          <w:u w:val="single"/>
        </w:rPr>
        <w:t>Vlastník, jiný oprávněný</w:t>
        <w:tab/>
        <w:t>Identifikátor</w:t>
        <w:tab/>
        <w:t>Podíl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26"/>
          <w:i/>
          <w:iCs/>
        </w:rPr>
        <w:t>Vlastnické právo</w:t>
      </w:r>
    </w:p>
    <w:p>
      <w:pPr>
        <w:pStyle w:val="Style31"/>
        <w:keepNext w:val="0"/>
        <w:keepLines w:val="0"/>
        <w:widowControl w:val="0"/>
        <w:shd w:val="clear" w:color="auto" w:fill="auto"/>
        <w:tabs>
          <w:tab w:pos="7224" w:val="left"/>
          <w:tab w:pos="10288" w:val="left"/>
        </w:tabs>
        <w:bidi w:val="0"/>
        <w:spacing w:before="0" w:after="80" w:line="240" w:lineRule="auto"/>
        <w:ind w:left="0" w:right="0"/>
        <w:jc w:val="both"/>
      </w:pPr>
      <w:r>
        <w:fldChar w:fldCharType="begin"/>
        <w:instrText xml:space="preserve"> TOC \o "1-5" \h \z </w:instrText>
        <w:fldChar w:fldCharType="separate"/>
      </w:r>
      <w:r>
        <w:rPr>
          <w:rStyle w:val="CharStyle32"/>
        </w:rPr>
        <w:t>Česká republika</w:t>
        <w:tab/>
        <w:t>00000001-001</w:t>
        <w:tab/>
        <w:t>2/3</w:t>
      </w:r>
    </w:p>
    <w:p>
      <w:pPr>
        <w:pStyle w:val="Style31"/>
        <w:keepNext w:val="0"/>
        <w:keepLines w:val="0"/>
        <w:widowControl w:val="0"/>
        <w:shd w:val="clear" w:color="auto" w:fill="auto"/>
        <w:tabs>
          <w:tab w:pos="5551" w:val="left"/>
          <w:tab w:pos="1027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32"/>
        </w:rPr>
        <w:t xml:space="preserve">SJM </w:t>
      </w:r>
      <w:r>
        <w:rPr>
          <w:rStyle w:val="CharStyle32"/>
          <w:lang w:val="sk-SK" w:eastAsia="sk-SK" w:bidi="sk-SK"/>
        </w:rPr>
        <w:t xml:space="preserve">Šanti </w:t>
      </w:r>
      <w:r>
        <w:rPr>
          <w:rStyle w:val="CharStyle32"/>
        </w:rPr>
        <w:t>Jan a Šantlová Věra,</w:t>
        <w:tab/>
        <w:t>, Dolní</w:t>
        <w:tab/>
        <w:t>2/9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32"/>
        </w:rPr>
        <w:t>Počernice, 19012 Praha 9</w:t>
      </w:r>
    </w:p>
    <w:p>
      <w:pPr>
        <w:pStyle w:val="Style31"/>
        <w:keepNext w:val="0"/>
        <w:keepLines w:val="0"/>
        <w:widowControl w:val="0"/>
        <w:shd w:val="clear" w:color="auto" w:fill="auto"/>
        <w:tabs>
          <w:tab w:pos="3724" w:val="left"/>
          <w:tab w:pos="10288" w:val="left"/>
        </w:tabs>
        <w:bidi w:val="0"/>
        <w:spacing w:before="0" w:after="0" w:line="240" w:lineRule="auto"/>
        <w:ind w:left="0" w:right="0"/>
        <w:jc w:val="both"/>
      </w:pPr>
      <w:r>
        <w:rPr>
          <w:rStyle w:val="CharStyle32"/>
          <w:lang w:val="sk-SK" w:eastAsia="sk-SK" w:bidi="sk-SK"/>
        </w:rPr>
        <w:t xml:space="preserve">Šanti </w:t>
      </w:r>
      <w:r>
        <w:rPr>
          <w:rStyle w:val="CharStyle32"/>
        </w:rPr>
        <w:t>Jan,</w:t>
        <w:tab/>
        <w:t>, Dolní Počernice, 19012</w:t>
        <w:tab/>
        <w:t>1/9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/>
        <w:jc w:val="both"/>
      </w:pPr>
      <w:r>
        <w:rPr>
          <w:rStyle w:val="CharStyle32"/>
        </w:rPr>
        <w:t>Praha 9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  <w:rPr>
          <w:sz w:val="19"/>
          <w:szCs w:val="19"/>
        </w:rPr>
      </w:pPr>
      <w:r>
        <w:rPr>
          <w:rStyle w:val="CharStyle32"/>
          <w:i/>
          <w:iCs/>
          <w:sz w:val="19"/>
          <w:szCs w:val="19"/>
        </w:rPr>
        <w:t>Příslušnost hospodařit s majetkem státu</w:t>
      </w:r>
    </w:p>
    <w:p>
      <w:pPr>
        <w:pStyle w:val="Style31"/>
        <w:keepNext w:val="0"/>
        <w:keepLines w:val="0"/>
        <w:widowControl w:val="0"/>
        <w:shd w:val="clear" w:color="auto" w:fill="auto"/>
        <w:tabs>
          <w:tab w:pos="10288" w:val="left"/>
        </w:tabs>
        <w:bidi w:val="0"/>
        <w:spacing w:before="0" w:after="0" w:line="240" w:lineRule="auto"/>
        <w:ind w:left="0" w:right="0"/>
        <w:jc w:val="both"/>
      </w:pPr>
      <w:r>
        <w:rPr>
          <w:rStyle w:val="CharStyle32"/>
        </w:rPr>
        <w:t xml:space="preserve">Státní pozemkový úřad, Husinecká 1024/lla, </w:t>
      </w:r>
      <w:r>
        <w:rPr>
          <w:rStyle w:val="CharStyle32"/>
          <w:lang w:val="sk-SK" w:eastAsia="sk-SK" w:bidi="sk-SK"/>
        </w:rPr>
        <w:t xml:space="preserve">Žižkov, </w:t>
      </w:r>
      <w:r>
        <w:rPr>
          <w:rStyle w:val="CharStyle32"/>
        </w:rPr>
        <w:t>13000 01312774</w:t>
        <w:tab/>
        <w:t>2/3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6"/>
        </w:rPr>
        <w:t>Praha 3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left"/>
      </w:pPr>
      <w:r>
        <w:rPr>
          <w:rStyle w:val="CharStyle26"/>
          <w:i/>
          <w:iCs/>
        </w:rPr>
        <w:t>SJM = společné jmění manželů</w:t>
      </w:r>
    </w:p>
    <w:p>
      <w:pPr>
        <w:pStyle w:val="Style34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2" w:name="bookmark2"/>
      <w:r>
        <w:rPr>
          <w:rStyle w:val="CharStyle35"/>
          <w:b/>
          <w:bCs/>
          <w:i/>
          <w:iCs/>
        </w:rPr>
        <w:t>ČÁSTEČNÝ VÝPIS</w:t>
      </w:r>
      <w:bookmarkEnd w:id="2"/>
    </w:p>
    <w:tbl>
      <w:tblPr>
        <w:tblOverlap w:val="never"/>
        <w:jc w:val="center"/>
        <w:tblLayout w:type="fixed"/>
      </w:tblPr>
      <w:tblGrid>
        <w:gridCol w:w="1663"/>
        <w:gridCol w:w="1501"/>
        <w:gridCol w:w="2671"/>
        <w:gridCol w:w="2059"/>
        <w:gridCol w:w="2520"/>
      </w:tblGrid>
      <w:tr>
        <w:trPr>
          <w:trHeight w:val="331" w:hRule="exact"/>
        </w:trPr>
        <w:tc>
          <w:tcPr>
            <w:gridSpan w:val="3"/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i/>
                <w:iCs/>
                <w:sz w:val="19"/>
                <w:szCs w:val="19"/>
              </w:rPr>
              <w:t>Nemovi</w:t>
            </w:r>
            <w:r>
              <w:rPr>
                <w:rStyle w:val="CharStyle11"/>
                <w:i/>
                <w:iCs/>
                <w:sz w:val="19"/>
                <w:szCs w:val="19"/>
                <w:lang w:val="en-US" w:eastAsia="en-US" w:bidi="en-US"/>
              </w:rPr>
              <w:t xml:space="preserve">tost </w:t>
            </w:r>
            <w:r>
              <w:rPr>
                <w:rStyle w:val="CharStyle11"/>
                <w:i/>
                <w:iCs/>
                <w:sz w:val="19"/>
                <w:szCs w:val="19"/>
              </w:rPr>
              <w:t>i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0" w:hRule="exact"/>
        </w:trPr>
        <w:tc>
          <w:tcPr>
            <w:vMerge w:val="restart"/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i/>
                <w:iCs/>
                <w:sz w:val="19"/>
                <w:szCs w:val="19"/>
              </w:rPr>
              <w:t>Pozemky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i/>
                <w:iCs/>
                <w:sz w:val="19"/>
                <w:szCs w:val="19"/>
              </w:rPr>
              <w:t>Parcela</w:t>
            </w:r>
          </w:p>
        </w:tc>
        <w:tc>
          <w:tcPr>
            <w:vMerge w:val="restart"/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Style w:val="CharStyle11"/>
                <w:i/>
                <w:iCs/>
                <w:sz w:val="19"/>
                <w:szCs w:val="19"/>
              </w:rPr>
              <w:t>Výměra[m2]</w:t>
            </w:r>
          </w:p>
        </w:tc>
        <w:tc>
          <w:tcPr>
            <w:vMerge w:val="restart"/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i/>
                <w:iCs/>
                <w:sz w:val="19"/>
                <w:szCs w:val="19"/>
              </w:rPr>
              <w:t>Druh pozemku</w:t>
            </w:r>
          </w:p>
        </w:tc>
        <w:tc>
          <w:tcPr>
            <w:gridSpan w:val="2"/>
            <w:vMerge/>
            <w:tcBorders/>
            <w:shd w:val="clear" w:color="auto" w:fill="auto"/>
            <w:vAlign w:val="top"/>
          </w:tcPr>
          <w:p>
            <w:pPr/>
          </w:p>
        </w:tc>
      </w:tr>
      <w:tr>
        <w:trPr>
          <w:trHeight w:val="238" w:hRule="exact"/>
        </w:trPr>
        <w:tc>
          <w:tcPr>
            <w:vMerge/>
            <w:tcBorders/>
            <w:shd w:val="clear" w:color="auto" w:fill="auto"/>
            <w:vAlign w:val="bottom"/>
          </w:tcPr>
          <w:p>
            <w:pPr/>
          </w:p>
        </w:tc>
        <w:tc>
          <w:tcPr>
            <w:vMerge/>
            <w:tcBorders/>
            <w:shd w:val="clear" w:color="auto" w:fill="auto"/>
            <w:vAlign w:val="bottom"/>
          </w:tcPr>
          <w:p>
            <w:pPr/>
          </w:p>
        </w:tc>
        <w:tc>
          <w:tcPr>
            <w:vMerge/>
            <w:tcBorders/>
            <w:shd w:val="clear" w:color="auto" w:fill="auto"/>
            <w:vAlign w:val="bottom"/>
          </w:tcPr>
          <w:p>
            <w:pPr/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i/>
                <w:iCs/>
                <w:sz w:val="19"/>
                <w:szCs w:val="19"/>
              </w:rPr>
              <w:t>Způsob využití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i/>
                <w:iCs/>
                <w:sz w:val="19"/>
                <w:szCs w:val="19"/>
              </w:rPr>
              <w:t>Způsob ochrany</w:t>
            </w:r>
          </w:p>
        </w:tc>
      </w:tr>
      <w:tr>
        <w:trPr>
          <w:trHeight w:val="1328" w:hRule="exact"/>
        </w:trPr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</w:pPr>
            <w:r>
              <w:rPr>
                <w:rStyle w:val="CharStyle11"/>
              </w:rPr>
              <w:t>1017/31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1"/>
              </w:rPr>
              <w:t>13103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</w:rPr>
              <w:t>orná půda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180"/>
              <w:jc w:val="left"/>
            </w:pPr>
            <w:r>
              <w:rPr>
                <w:rStyle w:val="CharStyle11"/>
              </w:rPr>
              <w:t>ochr.pásmo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80" w:right="0" w:firstLine="20"/>
              <w:jc w:val="left"/>
            </w:pPr>
            <w:r>
              <w:rPr>
                <w:rStyle w:val="CharStyle11"/>
              </w:rPr>
              <w:t>nem. kult .pam.,pam.zó ny,rezervace,nem.nár .kult.pam, zemědělský půdní fond</w:t>
            </w:r>
          </w:p>
        </w:tc>
      </w:tr>
      <w:tr>
        <w:trPr>
          <w:trHeight w:val="133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</w:pPr>
            <w:r>
              <w:rPr>
                <w:rStyle w:val="CharStyle11"/>
              </w:rPr>
              <w:t>1019/8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1"/>
              </w:rPr>
              <w:t>283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</w:rPr>
              <w:t>vodní plocha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220" w:right="0" w:firstLine="20"/>
              <w:jc w:val="left"/>
            </w:pPr>
            <w:r>
              <w:rPr>
                <w:rStyle w:val="CharStyle11"/>
              </w:rPr>
              <w:t>koryto vodního toku přirozené nebo upravené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180" w:right="0" w:firstLine="20"/>
              <w:jc w:val="left"/>
            </w:pPr>
            <w:r>
              <w:rPr>
                <w:rStyle w:val="CharStyle11"/>
              </w:rPr>
              <w:t>chráněná značka geodetického bodu, ochr.pásmo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180" w:right="0" w:firstLine="20"/>
              <w:jc w:val="left"/>
            </w:pPr>
            <w:r>
              <w:rPr>
                <w:rStyle w:val="CharStyle11"/>
              </w:rPr>
              <w:t>nem. kult.pam.,pam.zó ny,rezervace,nem.nár .kult.pam</w:t>
            </w:r>
          </w:p>
        </w:tc>
      </w:tr>
      <w:tr>
        <w:trPr>
          <w:trHeight w:val="129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</w:pPr>
            <w:r>
              <w:rPr>
                <w:rStyle w:val="CharStyle11"/>
              </w:rPr>
              <w:t>1167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1"/>
              </w:rPr>
              <w:t>22652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</w:rPr>
              <w:t>orná půda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180"/>
              <w:jc w:val="left"/>
            </w:pPr>
            <w:r>
              <w:rPr>
                <w:rStyle w:val="CharStyle11"/>
              </w:rPr>
              <w:t>ochr.pásmo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180" w:right="0" w:firstLine="20"/>
              <w:jc w:val="left"/>
            </w:pPr>
            <w:r>
              <w:rPr>
                <w:rStyle w:val="CharStyle11"/>
              </w:rPr>
              <w:t>nem.kult.pam.,pam.zó ny,rezervace,nem.nár .kult.pam, zemědělský půdní fond</w:t>
            </w:r>
          </w:p>
        </w:tc>
      </w:tr>
      <w:tr>
        <w:trPr>
          <w:trHeight w:val="131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</w:pPr>
            <w:r>
              <w:rPr>
                <w:rStyle w:val="CharStyle11"/>
              </w:rPr>
              <w:t>1229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1"/>
              </w:rPr>
              <w:t>8992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</w:rPr>
              <w:t>orná půda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180"/>
              <w:jc w:val="left"/>
            </w:pPr>
            <w:r>
              <w:rPr>
                <w:rStyle w:val="CharStyle11"/>
              </w:rPr>
              <w:t>ochr.pásmo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180" w:right="0" w:firstLine="20"/>
              <w:jc w:val="left"/>
            </w:pPr>
            <w:r>
              <w:rPr>
                <w:rStyle w:val="CharStyle11"/>
              </w:rPr>
              <w:t>nem.kult.pam.,pam.zó ny,rezervace,nem.nár .kult.pam, zemědělský půdní fond</w:t>
            </w:r>
          </w:p>
        </w:tc>
      </w:tr>
      <w:tr>
        <w:trPr>
          <w:trHeight w:val="127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</w:pPr>
            <w:r>
              <w:rPr>
                <w:rStyle w:val="CharStyle11"/>
              </w:rPr>
              <w:t>1293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Style w:val="CharStyle11"/>
              </w:rPr>
              <w:t>7337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11"/>
              </w:rPr>
              <w:t>orná půda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180"/>
              <w:jc w:val="left"/>
            </w:pPr>
            <w:r>
              <w:rPr>
                <w:rStyle w:val="CharStyle11"/>
              </w:rPr>
              <w:t>ochr.pásmo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80" w:right="0" w:firstLine="20"/>
              <w:jc w:val="left"/>
            </w:pPr>
            <w:r>
              <w:rPr>
                <w:rStyle w:val="CharStyle11"/>
              </w:rPr>
              <w:t>nem.kult.pam.,pam.zó ny,rezervace,nem.nár .kult.pam, zemědělský půdní fond</w:t>
            </w:r>
          </w:p>
        </w:tc>
      </w:tr>
    </w:tbl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rStyle w:val="CharStyle8"/>
        </w:rPr>
        <w:t xml:space="preserve">B1 Věcná práva sloužící ve prospěch nemovitostí v části B </w:t>
      </w:r>
      <w:r>
        <w:rPr>
          <w:rStyle w:val="CharStyle8"/>
          <w:sz w:val="17"/>
          <w:szCs w:val="17"/>
        </w:rPr>
        <w:t>- Bez zápisu</w:t>
      </w:r>
    </w:p>
    <w:p>
      <w:pPr>
        <w:widowControl w:val="0"/>
        <w:spacing w:after="239" w:line="1" w:lineRule="exact"/>
      </w:pP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180" w:right="0" w:hanging="180"/>
        <w:jc w:val="left"/>
      </w:pPr>
      <w:r>
        <w:rPr>
          <w:rStyle w:val="CharStyle26"/>
        </w:rPr>
        <w:t xml:space="preserve">C Věcná práva zatěžující nemovitosti v části B včetně souvisejících údajů </w:t>
      </w:r>
      <w:r>
        <w:rPr>
          <w:rStyle w:val="CharStyle26"/>
          <w:i/>
          <w:iCs/>
        </w:rPr>
        <w:t>Typ vztahu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95" w:lineRule="auto"/>
        <w:ind w:left="2100" w:right="0" w:firstLine="1280"/>
        <w:jc w:val="left"/>
        <w:rPr>
          <w:sz w:val="19"/>
          <w:szCs w:val="19"/>
        </w:rPr>
      </w:pPr>
      <w:r>
        <w:rPr>
          <w:rStyle w:val="CharStyle16"/>
        </w:rPr>
        <w:t xml:space="preserve">VÝPIS Z KATASTRU NEMOVITOSTÍ prokazující stav evidovaný k datu </w:t>
      </w:r>
      <w:r>
        <w:rPr>
          <w:rStyle w:val="CharStyle16"/>
          <w:i/>
          <w:iCs/>
          <w:sz w:val="19"/>
          <w:szCs w:val="19"/>
        </w:rPr>
        <w:t>01.10.2024 11:15:02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6672" w:val="left"/>
        </w:tabs>
        <w:bidi w:val="0"/>
        <w:spacing w:before="0" w:line="266" w:lineRule="auto"/>
        <w:ind w:left="0" w:right="0" w:firstLine="480"/>
        <w:jc w:val="both"/>
      </w:pPr>
      <w:r>
        <w:rPr>
          <w:rStyle w:val="CharStyle16"/>
          <w:sz w:val="19"/>
          <w:szCs w:val="19"/>
        </w:rPr>
        <w:t xml:space="preserve">Okres: </w:t>
      </w:r>
      <w:r>
        <w:rPr>
          <w:rStyle w:val="CharStyle16"/>
        </w:rPr>
        <w:t>CZ0423 Litoměřice</w:t>
        <w:tab/>
      </w:r>
      <w:r>
        <w:rPr>
          <w:rStyle w:val="CharStyle16"/>
          <w:sz w:val="19"/>
          <w:szCs w:val="19"/>
        </w:rPr>
        <w:t xml:space="preserve">Obec: </w:t>
      </w:r>
      <w:r>
        <w:rPr>
          <w:rStyle w:val="CharStyle16"/>
        </w:rPr>
        <w:t>565164 Libochovice</w: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5260" w:val="left"/>
        </w:tabs>
        <w:bidi w:val="0"/>
        <w:spacing w:before="0"/>
        <w:ind w:left="0" w:right="0" w:firstLine="0"/>
        <w:jc w:val="left"/>
        <w:rPr>
          <w:sz w:val="17"/>
          <w:szCs w:val="17"/>
        </w:rPr>
      </w:pPr>
      <w:r>
        <w:rPr>
          <w:rStyle w:val="CharStyle26"/>
        </w:rPr>
        <w:t xml:space="preserve">Kat.území: </w:t>
      </w:r>
      <w:r>
        <w:rPr>
          <w:rStyle w:val="CharStyle26"/>
          <w:sz w:val="17"/>
          <w:szCs w:val="17"/>
        </w:rPr>
        <w:t>683124 Libochovice</w:t>
        <w:tab/>
      </w:r>
      <w:r>
        <w:rPr>
          <w:rStyle w:val="CharStyle26"/>
        </w:rPr>
        <w:t xml:space="preserve">List vlastnictví: </w:t>
      </w:r>
      <w:r>
        <w:rPr>
          <w:rStyle w:val="CharStyle26"/>
          <w:sz w:val="17"/>
          <w:szCs w:val="17"/>
        </w:rPr>
        <w:t>1852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60" w:line="295" w:lineRule="auto"/>
        <w:ind w:left="0" w:right="0" w:firstLine="560"/>
        <w:jc w:val="left"/>
      </w:pPr>
      <w:r>
        <w:rPr>
          <w:rStyle w:val="CharStyle16"/>
        </w:rPr>
        <w:t xml:space="preserve">V kat. území jsou pozemky vedeny ve dvou číselných řadách </w:t>
      </w:r>
      <w:r>
        <w:rPr>
          <w:rStyle w:val="CharStyle16"/>
          <w:lang w:val="en-US" w:eastAsia="en-US" w:bidi="en-US"/>
        </w:rPr>
        <w:t xml:space="preserve">(St. </w:t>
      </w:r>
      <w:r>
        <w:rPr>
          <w:rStyle w:val="CharStyle16"/>
        </w:rPr>
        <w:t>= stavební parcela)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left"/>
      </w:pPr>
      <w:r>
        <w:rPr>
          <w:rStyle w:val="CharStyle26"/>
          <w:i/>
          <w:iCs/>
        </w:rPr>
        <w:t>Typ vztahu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16"/>
        </w:rPr>
        <w:t>o Věcné břemeno (podle listiny)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980"/>
        <w:jc w:val="left"/>
      </w:pPr>
      <w:r>
        <w:rPr>
          <w:rStyle w:val="CharStyle26"/>
          <w:i/>
          <w:iCs/>
        </w:rPr>
        <w:t>Oprávnění pro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80"/>
        <w:jc w:val="left"/>
      </w:pPr>
      <w:r>
        <w:rPr>
          <w:rStyle w:val="CharStyle26"/>
          <w:i/>
          <w:iCs/>
        </w:rPr>
        <w:t>Povinnost k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360" w:right="0" w:firstLine="0"/>
        <w:jc w:val="left"/>
      </w:pPr>
      <w:r>
        <w:rPr>
          <w:rStyle w:val="CharStyle16"/>
        </w:rPr>
        <w:t>Parcela: 1017/31, Parcela: 1019/8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</w:pPr>
      <w:r>
        <w:rPr>
          <w:rStyle w:val="CharStyle16"/>
          <w:i/>
          <w:iCs/>
          <w:sz w:val="19"/>
          <w:szCs w:val="19"/>
        </w:rPr>
        <w:t>Listina</w:t>
      </w:r>
      <w:r>
        <w:rPr>
          <w:rStyle w:val="CharStyle16"/>
        </w:rPr>
        <w:t xml:space="preserve"> Pozemková kniha vložka 748/.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5403215</wp:posOffset>
                </wp:positionH>
                <wp:positionV relativeFrom="paragraph">
                  <wp:posOffset>12700</wp:posOffset>
                </wp:positionV>
                <wp:extent cx="1410335" cy="15303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0335" cy="1530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6"/>
                              </w:rPr>
                              <w:t>Z-10400631/1972-506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25.44999999999999pt;margin-top:1.pt;width:111.05pt;height:12.0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6"/>
                        </w:rPr>
                        <w:t>Z-10400631/1972-506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6"/>
        </w:rPr>
        <w:t>POLVZ:631/1972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560"/>
        <w:jc w:val="left"/>
      </w:pPr>
      <w:r>
        <w:rPr>
          <w:rStyle w:val="CharStyle16"/>
          <w:i/>
          <w:iCs/>
          <w:sz w:val="19"/>
          <w:szCs w:val="19"/>
        </w:rPr>
        <w:t>Pořadí k</w:t>
      </w:r>
      <w:r>
        <w:rPr>
          <w:rStyle w:val="CharStyle16"/>
        </w:rPr>
        <w:t xml:space="preserve"> datu podle právní úpravy účinné v době vzniku práva</w:t>
      </w:r>
    </w:p>
    <w:p>
      <w:pPr>
        <w:pStyle w:val="Style2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/>
        <w:ind w:left="0" w:right="0" w:firstLine="0"/>
        <w:jc w:val="left"/>
      </w:pPr>
      <w:r>
        <w:rPr>
          <w:rStyle w:val="CharStyle26"/>
        </w:rPr>
        <w:t>D Poznámky a další obdobné údaje</w:t>
      </w:r>
    </w:p>
    <w:p>
      <w:pPr>
        <w:pStyle w:val="Style2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/>
        <w:ind w:left="0" w:right="0" w:firstLine="0"/>
        <w:jc w:val="left"/>
      </w:pPr>
      <w:r>
        <w:rPr>
          <w:rStyle w:val="CharStyle26"/>
          <w:i/>
          <w:iCs/>
        </w:rPr>
        <w:t>Typ vztahu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980" w:right="0" w:hanging="840"/>
        <w:jc w:val="left"/>
        <w:rPr>
          <w:sz w:val="19"/>
          <w:szCs w:val="19"/>
        </w:rPr>
      </w:pPr>
      <w:r>
        <w:rPr>
          <w:rStyle w:val="CharStyle16"/>
        </w:rPr>
        <w:t xml:space="preserve">o Změna číslování parcel </w:t>
      </w:r>
      <w:r>
        <w:rPr>
          <w:rStyle w:val="CharStyle16"/>
          <w:i/>
          <w:iCs/>
          <w:sz w:val="19"/>
          <w:szCs w:val="19"/>
        </w:rPr>
        <w:t>Povinnost k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95" w:lineRule="auto"/>
        <w:ind w:left="1360" w:right="0" w:firstLine="0"/>
        <w:jc w:val="left"/>
      </w:pPr>
      <w:r>
        <w:rPr>
          <w:rStyle w:val="CharStyle16"/>
        </w:rPr>
        <w:t>Parcela: 1017/31, Parcela: 1019/8</w:t>
      </w:r>
    </w:p>
    <w:p>
      <w:pPr>
        <w:pStyle w:val="Style2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240"/>
        <w:ind w:left="0" w:right="0" w:firstLine="0"/>
        <w:jc w:val="left"/>
        <w:rPr>
          <w:sz w:val="17"/>
          <w:szCs w:val="17"/>
        </w:rPr>
      </w:pPr>
      <w:r>
        <w:rPr>
          <w:rStyle w:val="CharStyle26"/>
          <w:i/>
          <w:iCs/>
        </w:rPr>
        <w:t>Plomby a upozornění -</w:t>
      </w:r>
      <w:r>
        <w:rPr>
          <w:rStyle w:val="CharStyle26"/>
          <w:sz w:val="17"/>
          <w:szCs w:val="17"/>
        </w:rPr>
        <w:t xml:space="preserve"> Bez zápisu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left"/>
      </w:pPr>
      <w:r>
        <w:rPr>
          <w:rStyle w:val="CharStyle26"/>
        </w:rPr>
        <w:t xml:space="preserve">E </w:t>
      </w:r>
      <w:r>
        <w:rPr>
          <w:rStyle w:val="CharStyle26"/>
          <w:i/>
          <w:iCs/>
        </w:rPr>
        <w:t>Nabývací tituly a jiné podklady zápisu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30" w:lineRule="auto"/>
        <w:ind w:left="0" w:right="0" w:firstLine="0"/>
        <w:jc w:val="left"/>
      </w:pPr>
      <w:r>
        <w:rPr>
          <w:rStyle w:val="CharStyle26"/>
          <w:i/>
          <w:iCs/>
        </w:rPr>
        <w:t>Listina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rStyle w:val="CharStyle16"/>
        </w:rPr>
        <w:t>o Hospodářská smlouva ze dne ze dne 09.11.1972.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172" w:val="left"/>
        </w:tabs>
        <w:bidi w:val="0"/>
        <w:spacing w:before="0" w:after="0"/>
        <w:ind w:left="5940" w:right="0" w:firstLine="0"/>
        <w:jc w:val="left"/>
      </w:pPr>
      <w:r>
        <w:rPr>
          <w:rStyle w:val="CharStyle16"/>
        </w:rPr>
        <w:t>POLVZ:631/1972</w:t>
        <w:tab/>
        <w:t>Z-10400631/1972-506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151" w:val="left"/>
        </w:tabs>
        <w:bidi w:val="0"/>
        <w:spacing w:before="0" w:line="230" w:lineRule="auto"/>
        <w:ind w:left="0" w:right="0" w:firstLine="380"/>
        <w:jc w:val="left"/>
      </w:pPr>
      <w:r>
        <w:rPr>
          <w:rStyle w:val="CharStyle16"/>
          <w:i/>
          <w:iCs/>
          <w:sz w:val="19"/>
          <w:szCs w:val="19"/>
        </w:rPr>
        <w:t>Pro:</w:t>
      </w:r>
      <w:r>
        <w:rPr>
          <w:rStyle w:val="CharStyle16"/>
        </w:rPr>
        <w:t xml:space="preserve"> Česká republika,</w:t>
        <w:tab/>
      </w:r>
      <w:r>
        <w:rPr>
          <w:rStyle w:val="CharStyle16"/>
          <w:i/>
          <w:iCs/>
          <w:sz w:val="19"/>
          <w:szCs w:val="19"/>
        </w:rPr>
        <w:t>RČ/IČO:</w:t>
      </w:r>
      <w:r>
        <w:rPr>
          <w:rStyle w:val="CharStyle16"/>
        </w:rPr>
        <w:t xml:space="preserve"> 00000001-001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rStyle w:val="CharStyle16"/>
        </w:rPr>
        <w:t>o Rozhodnutí o dědictví D 231/1994 Obvodního soudu pro Prahu 7 ze dne 19.3.1996.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172" w:val="left"/>
        </w:tabs>
        <w:bidi w:val="0"/>
        <w:spacing w:before="0" w:after="0"/>
        <w:ind w:left="5940" w:right="0" w:firstLine="0"/>
        <w:jc w:val="left"/>
      </w:pPr>
      <w:r>
        <w:rPr>
          <w:rStyle w:val="CharStyle16"/>
        </w:rPr>
        <w:t>POLVZ:118/1996</w:t>
        <w:tab/>
        <w:t>Z-10400118/1996-506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4072" w:val="left"/>
        </w:tabs>
        <w:bidi w:val="0"/>
        <w:spacing w:before="0" w:line="230" w:lineRule="auto"/>
        <w:ind w:left="0" w:right="0" w:firstLine="380"/>
        <w:jc w:val="left"/>
        <w:rPr>
          <w:sz w:val="19"/>
          <w:szCs w:val="19"/>
        </w:rPr>
      </w:pPr>
      <w:r>
        <w:rPr>
          <w:rStyle w:val="CharStyle16"/>
          <w:i/>
          <w:iCs/>
          <w:sz w:val="19"/>
          <w:szCs w:val="19"/>
        </w:rPr>
        <w:t>Pro:</w:t>
      </w:r>
      <w:r>
        <w:rPr>
          <w:rStyle w:val="CharStyle16"/>
        </w:rPr>
        <w:t xml:space="preserve"> </w:t>
      </w:r>
      <w:r>
        <w:rPr>
          <w:rStyle w:val="CharStyle16"/>
          <w:lang w:val="sk-SK" w:eastAsia="sk-SK" w:bidi="sk-SK"/>
        </w:rPr>
        <w:t xml:space="preserve">Šanti </w:t>
      </w:r>
      <w:r>
        <w:rPr>
          <w:rStyle w:val="CharStyle16"/>
        </w:rPr>
        <w:t>Jan,</w:t>
        <w:tab/>
        <w:t xml:space="preserve">, Dolní Počernice, 19012 Praha 9 </w:t>
      </w:r>
      <w:r>
        <w:rPr>
          <w:rStyle w:val="CharStyle16"/>
          <w:i/>
          <w:iCs/>
          <w:sz w:val="19"/>
          <w:szCs w:val="19"/>
        </w:rPr>
        <w:t>RČ/IČO: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280" w:right="0" w:hanging="280"/>
        <w:jc w:val="left"/>
      </w:pPr>
      <w:r>
        <w:rPr>
          <w:rStyle w:val="CharStyle16"/>
        </w:rPr>
        <w:t>o Rozhodnutí o dědictví D 231/1994 Obvodního soudu pro Prahu 7 ze dne 19.3.1996 + geom. plán 512-5/97 ze dne 20.1.1999.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172" w:val="left"/>
        </w:tabs>
        <w:bidi w:val="0"/>
        <w:spacing w:before="0" w:after="0"/>
        <w:ind w:left="5940" w:right="0" w:firstLine="0"/>
        <w:jc w:val="left"/>
      </w:pPr>
      <w:r>
        <w:rPr>
          <w:rStyle w:val="CharStyle16"/>
        </w:rPr>
        <w:t>POLVZ:118/1996</w:t>
        <w:tab/>
        <w:t>Z-10400118/1996-506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4072" w:val="left"/>
          <w:tab w:pos="8151" w:val="left"/>
        </w:tabs>
        <w:bidi w:val="0"/>
        <w:spacing w:before="0" w:line="230" w:lineRule="auto"/>
        <w:ind w:left="0" w:right="0" w:firstLine="380"/>
        <w:jc w:val="left"/>
        <w:rPr>
          <w:sz w:val="19"/>
          <w:szCs w:val="19"/>
        </w:rPr>
      </w:pPr>
      <w:r>
        <w:rPr>
          <w:rStyle w:val="CharStyle16"/>
          <w:sz w:val="19"/>
          <w:szCs w:val="19"/>
        </w:rPr>
        <w:t xml:space="preserve">Pro; </w:t>
      </w:r>
      <w:r>
        <w:rPr>
          <w:rStyle w:val="CharStyle16"/>
          <w:lang w:val="sk-SK" w:eastAsia="sk-SK" w:bidi="sk-SK"/>
        </w:rPr>
        <w:t xml:space="preserve">Šanti </w:t>
      </w:r>
      <w:r>
        <w:rPr>
          <w:rStyle w:val="CharStyle16"/>
        </w:rPr>
        <w:t>Jan,</w:t>
        <w:tab/>
        <w:t>, Dolní Počernice, 19012 Praha 9</w:t>
        <w:tab/>
      </w:r>
      <w:r>
        <w:rPr>
          <w:rStyle w:val="CharStyle16"/>
          <w:i/>
          <w:iCs/>
          <w:sz w:val="19"/>
          <w:szCs w:val="19"/>
        </w:rPr>
        <w:t>RČ/IČO: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rStyle w:val="CharStyle16"/>
        </w:rPr>
        <w:t>o Ohlášení příslušnosti hospodařit s majetkem státu (zák.č.320/02 Sb.) ze dne 31.10.2011.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6"/>
        </w:rPr>
        <w:t>Z-20549/2011-506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151" w:val="left"/>
        </w:tabs>
        <w:bidi w:val="0"/>
        <w:spacing w:before="0" w:line="230" w:lineRule="auto"/>
        <w:ind w:left="0" w:right="0" w:firstLine="380"/>
        <w:jc w:val="left"/>
      </w:pPr>
      <w:r>
        <w:rPr>
          <w:rStyle w:val="CharStyle16"/>
          <w:i/>
          <w:iCs/>
          <w:sz w:val="19"/>
          <w:szCs w:val="19"/>
        </w:rPr>
        <w:t>Pro:</w:t>
      </w:r>
      <w:r>
        <w:rPr>
          <w:rStyle w:val="CharStyle16"/>
        </w:rPr>
        <w:t xml:space="preserve"> Česká republika,</w:t>
        <w:tab/>
      </w:r>
      <w:r>
        <w:rPr>
          <w:rStyle w:val="CharStyle16"/>
          <w:i/>
          <w:iCs/>
          <w:sz w:val="19"/>
          <w:szCs w:val="19"/>
        </w:rPr>
        <w:t>RČ/IČO:</w:t>
      </w:r>
      <w:r>
        <w:rPr>
          <w:rStyle w:val="CharStyle16"/>
        </w:rPr>
        <w:t xml:space="preserve"> 00000001-001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280" w:right="0" w:hanging="280"/>
        <w:jc w:val="left"/>
      </w:pPr>
      <w:r>
        <w:rPr>
          <w:rStyle w:val="CharStyle16"/>
        </w:rPr>
        <w:t>o Usnesení soudu o dědictví Okresního soudu Praha -západ 20D-545/2012 -41 ze dne 30.08.2012. Právní moc ke dni 30.08.2012.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8220" w:right="0" w:firstLine="0"/>
        <w:jc w:val="left"/>
      </w:pPr>
      <w:r>
        <w:rPr>
          <w:rStyle w:val="CharStyle16"/>
        </w:rPr>
        <w:t>Z-15257/2012-506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151" w:val="left"/>
        </w:tabs>
        <w:bidi w:val="0"/>
        <w:spacing w:before="0" w:line="230" w:lineRule="auto"/>
        <w:ind w:left="0" w:right="0" w:firstLine="380"/>
        <w:jc w:val="left"/>
      </w:pPr>
      <w:r>
        <w:rPr>
          <w:rStyle w:val="CharStyle16"/>
          <w:i/>
          <w:iCs/>
          <w:sz w:val="19"/>
          <w:szCs w:val="19"/>
        </w:rPr>
        <w:t>Pro:</w:t>
      </w:r>
      <w:r>
        <w:rPr>
          <w:rStyle w:val="CharStyle16"/>
        </w:rPr>
        <w:t xml:space="preserve"> Česká republika,</w:t>
        <w:tab/>
      </w:r>
      <w:r>
        <w:rPr>
          <w:rStyle w:val="CharStyle16"/>
          <w:i/>
          <w:iCs/>
          <w:sz w:val="19"/>
          <w:szCs w:val="19"/>
        </w:rPr>
        <w:t>RČ/IČO:</w:t>
      </w:r>
      <w:r>
        <w:rPr>
          <w:rStyle w:val="CharStyle16"/>
        </w:rPr>
        <w:t xml:space="preserve"> 00000001-001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280" w:right="0" w:hanging="280"/>
        <w:jc w:val="left"/>
      </w:pPr>
      <w:r>
        <w:rPr>
          <w:rStyle w:val="CharStyle16"/>
        </w:rPr>
        <w:t>o Smlouva kupní ze dne 21.04.2016. Právní účinky zápisu k okamžiku 25.04.2016 11:36:11. Zápis proveden dne 17.05.2016.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520" w:firstLine="0"/>
        <w:jc w:val="right"/>
      </w:pPr>
      <w:r>
        <w:rPr>
          <w:rStyle w:val="CharStyle16"/>
        </w:rPr>
        <w:t>V-4076/2016-506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5895" w:val="left"/>
        </w:tabs>
        <w:bidi w:val="0"/>
        <w:spacing w:before="0" w:after="0" w:line="230" w:lineRule="auto"/>
        <w:ind w:left="0" w:right="0" w:firstLine="380"/>
        <w:jc w:val="left"/>
        <w:rPr>
          <w:sz w:val="19"/>
          <w:szCs w:val="19"/>
        </w:rPr>
      </w:pPr>
      <w:r>
        <w:rPr>
          <w:rStyle w:val="CharStyle16"/>
          <w:i/>
          <w:iCs/>
          <w:sz w:val="19"/>
          <w:szCs w:val="19"/>
        </w:rPr>
        <w:t>Pro:</w:t>
      </w:r>
      <w:r>
        <w:rPr>
          <w:rStyle w:val="CharStyle16"/>
        </w:rPr>
        <w:t xml:space="preserve"> </w:t>
      </w:r>
      <w:r>
        <w:rPr>
          <w:rStyle w:val="CharStyle16"/>
          <w:lang w:val="sk-SK" w:eastAsia="sk-SK" w:bidi="sk-SK"/>
        </w:rPr>
        <w:t xml:space="preserve">Šanti </w:t>
      </w:r>
      <w:r>
        <w:rPr>
          <w:rStyle w:val="CharStyle16"/>
        </w:rPr>
        <w:t>Jan a Šantlová Věra,</w:t>
        <w:tab/>
        <w:t xml:space="preserve">, Dolní Počernice, </w:t>
      </w:r>
      <w:r>
        <w:rPr>
          <w:rStyle w:val="CharStyle16"/>
          <w:i/>
          <w:iCs/>
          <w:sz w:val="19"/>
          <w:szCs w:val="19"/>
        </w:rPr>
        <w:t>RČ/IČO: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920"/>
        <w:jc w:val="left"/>
      </w:pPr>
      <w:r>
        <w:rPr>
          <w:rStyle w:val="CharStyle16"/>
        </w:rPr>
        <w:t>19012 Praha 9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95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16"/>
        </w:rPr>
        <w:t>VÝPIS Z KATASTRU NEMOVITOSTÍ</w:t>
        <w:br/>
        <w:t xml:space="preserve">prokazující stav evidovaný k datu </w:t>
      </w:r>
      <w:r>
        <w:rPr>
          <w:rStyle w:val="CharStyle16"/>
          <w:i/>
          <w:iCs/>
          <w:sz w:val="19"/>
          <w:szCs w:val="19"/>
        </w:rPr>
        <w:t>01.10.2024 11:15:02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248" w:val="left"/>
          <w:tab w:pos="7368" w:val="right"/>
          <w:tab w:pos="7540" w:val="left"/>
          <w:tab w:pos="8296" w:val="left"/>
        </w:tabs>
        <w:bidi w:val="0"/>
        <w:spacing w:before="0" w:after="60" w:line="266" w:lineRule="auto"/>
        <w:ind w:left="0" w:right="0" w:firstLine="540"/>
        <w:jc w:val="left"/>
      </w:pPr>
      <w:r>
        <w:rPr>
          <w:rStyle w:val="CharStyle16"/>
          <w:sz w:val="19"/>
          <w:szCs w:val="19"/>
        </w:rPr>
        <w:t xml:space="preserve">Okres: </w:t>
      </w:r>
      <w:r>
        <w:rPr>
          <w:rStyle w:val="CharStyle16"/>
        </w:rPr>
        <w:t>CZ0423</w:t>
        <w:tab/>
        <w:t>Litoměřice</w:t>
        <w:tab/>
      </w:r>
      <w:r>
        <w:rPr>
          <w:rStyle w:val="CharStyle16"/>
          <w:sz w:val="19"/>
          <w:szCs w:val="19"/>
        </w:rPr>
        <w:t>Obec:</w:t>
        <w:tab/>
      </w:r>
      <w:r>
        <w:rPr>
          <w:rStyle w:val="CharStyle16"/>
        </w:rPr>
        <w:t>565164</w:t>
        <w:tab/>
        <w:t>Libochovice</w: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2155" w:val="left"/>
          <w:tab w:pos="7268" w:val="right"/>
          <w:tab w:pos="7465" w:val="left"/>
        </w:tabs>
        <w:bidi w:val="0"/>
        <w:spacing w:before="0" w:after="60"/>
        <w:ind w:left="0" w:right="0" w:firstLine="0"/>
        <w:jc w:val="left"/>
        <w:rPr>
          <w:sz w:val="17"/>
          <w:szCs w:val="17"/>
        </w:rPr>
      </w:pPr>
      <w:r>
        <w:rPr>
          <w:rStyle w:val="CharStyle26"/>
        </w:rPr>
        <w:t xml:space="preserve">Kat.území: </w:t>
      </w:r>
      <w:r>
        <w:rPr>
          <w:rStyle w:val="CharStyle26"/>
          <w:sz w:val="17"/>
          <w:szCs w:val="17"/>
        </w:rPr>
        <w:t>683124</w:t>
        <w:tab/>
        <w:t>Libochovice</w:t>
        <w:tab/>
      </w:r>
      <w:r>
        <w:rPr>
          <w:rStyle w:val="CharStyle26"/>
        </w:rPr>
        <w:t>List vlastnictví:</w:t>
        <w:tab/>
      </w:r>
      <w:r>
        <w:rPr>
          <w:rStyle w:val="CharStyle26"/>
          <w:sz w:val="17"/>
          <w:szCs w:val="17"/>
        </w:rPr>
        <w:t>1852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179" w:val="left"/>
          <w:tab w:pos="3683" w:val="left"/>
          <w:tab w:pos="7308" w:val="right"/>
          <w:tab w:pos="7528" w:val="left"/>
          <w:tab w:pos="8295" w:val="left"/>
        </w:tabs>
        <w:bidi w:val="0"/>
        <w:spacing w:before="0" w:after="280" w:line="295" w:lineRule="auto"/>
        <w:ind w:left="0" w:right="0" w:firstLine="600"/>
        <w:jc w:val="left"/>
      </w:pPr>
      <w:r>
        <w:rPr>
          <w:rStyle w:val="CharStyle16"/>
        </w:rPr>
        <w:t>V kat. území</w:t>
        <w:tab/>
        <w:t>jsou pozemky</w:t>
        <w:tab/>
        <w:t>vedeny ve dvou</w:t>
        <w:tab/>
        <w:t>číselných řadách</w:t>
        <w:tab/>
      </w:r>
      <w:r>
        <w:rPr>
          <w:rStyle w:val="CharStyle16"/>
          <w:lang w:val="en-US" w:eastAsia="en-US" w:bidi="en-US"/>
        </w:rPr>
        <w:t xml:space="preserve">(St. </w:t>
      </w:r>
      <w:r>
        <w:rPr>
          <w:rStyle w:val="CharStyle16"/>
        </w:rPr>
        <w:t>=</w:t>
        <w:tab/>
        <w:t>stavební parcela)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20" w:line="233" w:lineRule="auto"/>
        <w:ind w:left="0" w:right="0" w:firstLine="0"/>
        <w:jc w:val="left"/>
      </w:pPr>
      <w:r>
        <w:rPr>
          <w:rStyle w:val="CharStyle26"/>
          <w:i/>
          <w:iCs/>
        </w:rPr>
        <w:t>Listina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62" w:lineRule="auto"/>
        <w:ind w:left="360" w:right="0" w:hanging="220"/>
        <w:jc w:val="left"/>
      </w:pPr>
      <w:r>
        <w:rPr>
          <w:rStyle w:val="CharStyle16"/>
        </w:rPr>
        <w:t xml:space="preserve">o Zápis o předání majetku státu (§ 19 odst. 1 zák.č.219/2000 Sb.) </w:t>
      </w:r>
      <w:r>
        <w:rPr>
          <w:rStyle w:val="CharStyle16"/>
          <w:lang w:val="sk-SK" w:eastAsia="sk-SK" w:bidi="sk-SK"/>
        </w:rPr>
        <w:t>č</w:t>
      </w:r>
      <w:r>
        <w:rPr>
          <w:rStyle w:val="CharStyle16"/>
        </w:rPr>
        <w:t>.j.-2727/2021 ze dne 16.08.2021. Právní účinky zápisu k okamžiku 23.08.2021 14:09:35. Zápis proveden dne 27.08.2021.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62" w:lineRule="auto"/>
        <w:ind w:left="0" w:right="600" w:firstLine="0"/>
        <w:jc w:val="right"/>
      </w:pPr>
      <w:r>
        <w:rPr>
          <w:rStyle w:val="CharStyle16"/>
        </w:rPr>
        <w:t>Z-4615/2021-506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1020" w:right="0" w:hanging="580"/>
        <w:jc w:val="left"/>
      </w:pPr>
      <w:r>
        <w:rPr>
          <w:rStyle w:val="CharStyle16"/>
          <w:i/>
          <w:iCs/>
          <w:sz w:val="19"/>
          <w:szCs w:val="19"/>
        </w:rPr>
        <w:t>Pro:</w:t>
      </w:r>
      <w:r>
        <w:rPr>
          <w:rStyle w:val="CharStyle16"/>
        </w:rPr>
        <w:t xml:space="preserve"> Státní pozemkový úřad, Husinecká 1024/lla, </w:t>
      </w:r>
      <w:r>
        <w:rPr>
          <w:rStyle w:val="CharStyle16"/>
          <w:lang w:val="sk-SK" w:eastAsia="sk-SK" w:bidi="sk-SK"/>
        </w:rPr>
        <w:t xml:space="preserve">Žižkov, </w:t>
      </w:r>
      <w:r>
        <w:rPr>
          <w:rStyle w:val="CharStyle16"/>
        </w:rPr>
        <w:t xml:space="preserve">13000 Praha </w:t>
      </w:r>
      <w:r>
        <w:rPr>
          <w:rStyle w:val="CharStyle16"/>
          <w:i/>
          <w:iCs/>
          <w:sz w:val="19"/>
          <w:szCs w:val="19"/>
        </w:rPr>
        <w:t>RČ/IČO:</w:t>
      </w:r>
      <w:r>
        <w:rPr>
          <w:rStyle w:val="CharStyle16"/>
        </w:rPr>
        <w:t xml:space="preserve"> 01312774 3</w:t>
      </w:r>
    </w:p>
    <w:tbl>
      <w:tblPr>
        <w:tblOverlap w:val="never"/>
        <w:jc w:val="center"/>
        <w:tblLayout w:type="fixed"/>
      </w:tblPr>
      <w:tblGrid>
        <w:gridCol w:w="4979"/>
        <w:gridCol w:w="1732"/>
        <w:gridCol w:w="3996"/>
      </w:tblGrid>
      <w:tr>
        <w:trPr>
          <w:trHeight w:val="356" w:hRule="exact"/>
        </w:trPr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544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sz w:val="19"/>
                <w:szCs w:val="19"/>
              </w:rPr>
              <w:t>F</w:t>
              <w:tab/>
            </w:r>
            <w:r>
              <w:rPr>
                <w:rStyle w:val="CharStyle11"/>
                <w:i/>
                <w:iCs/>
                <w:sz w:val="19"/>
                <w:szCs w:val="19"/>
              </w:rPr>
              <w:t xml:space="preserve">Vztah </w:t>
            </w:r>
            <w:r>
              <w:rPr>
                <w:rStyle w:val="CharStyle11"/>
                <w:i/>
                <w:iCs/>
                <w:sz w:val="19"/>
                <w:szCs w:val="19"/>
                <w:lang w:val="sk-SK" w:eastAsia="sk-SK" w:bidi="sk-SK"/>
              </w:rPr>
              <w:t xml:space="preserve">bonít </w:t>
            </w:r>
            <w:r>
              <w:rPr>
                <w:rStyle w:val="CharStyle11"/>
                <w:i/>
                <w:iCs/>
                <w:sz w:val="19"/>
                <w:szCs w:val="19"/>
              </w:rPr>
              <w:t>ováných půdně ekologických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i/>
                <w:iCs/>
                <w:sz w:val="19"/>
                <w:szCs w:val="19"/>
              </w:rPr>
              <w:t>jednotek (BPEJ)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i/>
                <w:iCs/>
                <w:sz w:val="19"/>
                <w:szCs w:val="19"/>
              </w:rPr>
              <w:t>k parcelám</w:t>
            </w:r>
          </w:p>
        </w:tc>
      </w:tr>
      <w:tr>
        <w:trPr>
          <w:trHeight w:val="313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i/>
                <w:iCs/>
                <w:sz w:val="19"/>
                <w:szCs w:val="19"/>
              </w:rPr>
              <w:t>Parcela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i/>
                <w:iCs/>
                <w:sz w:val="19"/>
                <w:szCs w:val="19"/>
              </w:rPr>
              <w:t>BPEJ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both"/>
              <w:rPr>
                <w:sz w:val="19"/>
                <w:szCs w:val="19"/>
              </w:rPr>
            </w:pPr>
            <w:r>
              <w:rPr>
                <w:rStyle w:val="CharStyle11"/>
                <w:i/>
                <w:iCs/>
                <w:sz w:val="19"/>
                <w:szCs w:val="19"/>
              </w:rPr>
              <w:t>Výměra[m2]</w:t>
            </w:r>
          </w:p>
        </w:tc>
      </w:tr>
      <w:tr>
        <w:trPr>
          <w:trHeight w:val="263" w:hRule="exact"/>
        </w:trPr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rStyle w:val="CharStyle11"/>
              </w:rPr>
              <w:t>1017/31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rStyle w:val="CharStyle11"/>
              </w:rPr>
              <w:t>10100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60" w:right="0" w:firstLine="0"/>
              <w:jc w:val="both"/>
            </w:pPr>
            <w:r>
              <w:rPr>
                <w:rStyle w:val="CharStyle11"/>
              </w:rPr>
              <w:t>9804</w:t>
            </w:r>
          </w:p>
        </w:tc>
      </w:tr>
      <w:tr>
        <w:trPr>
          <w:trHeight w:val="270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rStyle w:val="CharStyle11"/>
              </w:rPr>
              <w:t>11901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60" w:right="0" w:firstLine="0"/>
              <w:jc w:val="both"/>
            </w:pPr>
            <w:r>
              <w:rPr>
                <w:rStyle w:val="CharStyle11"/>
              </w:rPr>
              <w:t>3299</w:t>
            </w:r>
          </w:p>
        </w:tc>
      </w:tr>
      <w:tr>
        <w:trPr>
          <w:trHeight w:val="27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rStyle w:val="CharStyle11"/>
              </w:rPr>
              <w:t>1167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rStyle w:val="CharStyle11"/>
              </w:rPr>
              <w:t>10300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both"/>
            </w:pPr>
            <w:r>
              <w:rPr>
                <w:rStyle w:val="CharStyle11"/>
              </w:rPr>
              <w:t>687</w:t>
            </w:r>
          </w:p>
        </w:tc>
      </w:tr>
      <w:tr>
        <w:trPr>
          <w:trHeight w:val="266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rStyle w:val="CharStyle11"/>
              </w:rPr>
              <w:t>10600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60" w:right="0" w:firstLine="0"/>
              <w:jc w:val="both"/>
            </w:pPr>
            <w:r>
              <w:rPr>
                <w:rStyle w:val="CharStyle11"/>
              </w:rPr>
              <w:t>8947</w:t>
            </w:r>
          </w:p>
        </w:tc>
      </w:tr>
      <w:tr>
        <w:trPr>
          <w:trHeight w:val="270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rStyle w:val="CharStyle11"/>
              </w:rPr>
              <w:t>10610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60" w:right="0" w:firstLine="0"/>
              <w:jc w:val="both"/>
            </w:pPr>
            <w:r>
              <w:rPr>
                <w:rStyle w:val="CharStyle11"/>
              </w:rPr>
              <w:t>13018</w:t>
            </w:r>
          </w:p>
        </w:tc>
      </w:tr>
      <w:tr>
        <w:trPr>
          <w:trHeight w:val="270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rStyle w:val="CharStyle11"/>
              </w:rPr>
              <w:t>1229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rStyle w:val="CharStyle11"/>
              </w:rPr>
              <w:t>10600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60" w:right="0" w:firstLine="0"/>
              <w:jc w:val="both"/>
            </w:pPr>
            <w:r>
              <w:rPr>
                <w:rStyle w:val="CharStyle11"/>
              </w:rPr>
              <w:t>8992</w:t>
            </w:r>
          </w:p>
        </w:tc>
      </w:tr>
      <w:tr>
        <w:trPr>
          <w:trHeight w:val="27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rStyle w:val="CharStyle11"/>
              </w:rPr>
              <w:t>1293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rStyle w:val="CharStyle11"/>
              </w:rPr>
              <w:t>10100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60" w:right="0" w:firstLine="0"/>
              <w:jc w:val="both"/>
            </w:pPr>
            <w:r>
              <w:rPr>
                <w:rStyle w:val="CharStyle11"/>
              </w:rPr>
              <w:t>1015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rStyle w:val="CharStyle11"/>
              </w:rPr>
              <w:t>10600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560" w:right="0" w:firstLine="0"/>
              <w:jc w:val="both"/>
            </w:pPr>
            <w:r>
              <w:rPr>
                <w:rStyle w:val="CharStyle11"/>
              </w:rPr>
              <w:t>6322</w:t>
            </w:r>
          </w:p>
        </w:tc>
      </w:tr>
      <w:tr>
        <w:trPr>
          <w:trHeight w:val="490" w:hRule="exact"/>
        </w:trPr>
        <w:tc>
          <w:tcPr>
            <w:tcBorders>
              <w:bottom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i/>
                <w:iCs/>
                <w:sz w:val="19"/>
                <w:szCs w:val="19"/>
              </w:rPr>
              <w:t>Pokud je výměra bonitních dílů parcel menší</w:t>
            </w:r>
          </w:p>
        </w:tc>
        <w:tc>
          <w:tcPr>
            <w:tcBorders>
              <w:bottom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Style w:val="CharStyle11"/>
                <w:i/>
                <w:iCs/>
                <w:sz w:val="19"/>
                <w:szCs w:val="19"/>
              </w:rPr>
              <w:t>než výměra par</w:t>
            </w:r>
          </w:p>
        </w:tc>
        <w:tc>
          <w:tcPr>
            <w:tcBorders>
              <w:bottom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9"/>
                <w:szCs w:val="19"/>
              </w:rPr>
            </w:pPr>
            <w:r>
              <w:rPr>
                <w:rStyle w:val="CharStyle11"/>
                <w:i/>
                <w:iCs/>
                <w:sz w:val="19"/>
                <w:szCs w:val="19"/>
              </w:rPr>
              <w:t>cely, zbytek parcely není bonitován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26"/>
          <w:i/>
          <w:iCs/>
        </w:rPr>
        <w:t>Nemovitosti jsou v územním obvodu, ve kterém vykonává státní správu katastru nemovitostí ČR: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26"/>
          <w:b/>
          <w:bCs/>
          <w:i/>
          <w:iCs/>
          <w:sz w:val="19"/>
          <w:szCs w:val="19"/>
        </w:rPr>
        <w:t>Katastrální úřad pro Ústecký kraj, Katastrální pracoviště Litoměřice, kód: 506.</w:t>
      </w:r>
    </w:p>
    <w:p>
      <w:pPr>
        <w:pStyle w:val="Style25"/>
        <w:keepNext w:val="0"/>
        <w:keepLines w:val="0"/>
        <w:widowControl w:val="0"/>
        <w:shd w:val="clear" w:color="auto" w:fill="auto"/>
        <w:tabs>
          <w:tab w:pos="5900" w:val="left"/>
          <w:tab w:pos="8744" w:val="left"/>
        </w:tabs>
        <w:bidi w:val="0"/>
        <w:spacing w:before="0" w:after="0" w:line="233" w:lineRule="auto"/>
        <w:ind w:left="0" w:right="0" w:firstLine="0"/>
        <w:jc w:val="left"/>
      </w:pPr>
      <w:r>
        <w:rPr>
          <w:rStyle w:val="CharStyle26"/>
          <w:i/>
          <w:iCs/>
        </w:rPr>
        <w:t>Vyhotovil:</w:t>
        <w:tab/>
        <w:t>Vyhotoveno: 01.10.2024</w:t>
        <w:tab/>
        <w:t>11:30:58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20" w:line="233" w:lineRule="auto"/>
        <w:ind w:left="0" w:right="0" w:firstLine="0"/>
        <w:jc w:val="left"/>
      </w:pPr>
      <w:r>
        <w:rPr>
          <w:rStyle w:val="CharStyle26"/>
          <w:i/>
          <w:iCs/>
        </w:rPr>
        <w:t>Český úřad zeměměřický a katastrální - SCD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20" w:line="233" w:lineRule="auto"/>
        <w:ind w:left="0" w:right="0" w:firstLine="0"/>
        <w:jc w:val="left"/>
      </w:pPr>
      <w:r>
        <w:rPr>
          <w:rStyle w:val="CharStyle26"/>
        </w:rPr>
        <w:t xml:space="preserve">Poučení: Údaje katastru lze užít pouze k účelům uvedeným v § 1 odst. 2 katastrálního zákona. Osobní údaje získané z katastru lze zpracovávat pouze při splnění podmínek obecného nařízeni o ochraně osobních údajů. Podrobnosti viz </w:t>
      </w:r>
      <w:r>
        <w:fldChar w:fldCharType="begin"/>
      </w:r>
      <w:r>
        <w:rPr/>
        <w:instrText> HYPERLINK "https://www.cuzk.cz/" </w:instrText>
      </w:r>
      <w:r>
        <w:fldChar w:fldCharType="separate"/>
      </w:r>
      <w:r>
        <w:rPr>
          <w:rStyle w:val="CharStyle26"/>
          <w:lang w:val="en-US" w:eastAsia="en-US" w:bidi="en-US"/>
        </w:rPr>
        <w:t>https://www.cuzk.cz/</w:t>
      </w:r>
      <w:r>
        <w:fldChar w:fldCharType="end"/>
      </w:r>
      <w:r>
        <w:rPr>
          <w:rStyle w:val="CharStyle26"/>
          <w:lang w:val="en-US" w:eastAsia="en-US" w:bidi="en-US"/>
        </w:rPr>
        <w:t>.</w:t>
      </w:r>
    </w:p>
    <w:sectPr>
      <w:footerReference w:type="default" r:id="rId5"/>
      <w:footnotePr>
        <w:pos w:val="pageBottom"/>
        <w:numFmt w:val="decimal"/>
        <w:numRestart w:val="continuous"/>
      </w:footnotePr>
      <w:pgSz w:w="11900" w:h="16840"/>
      <w:pgMar w:top="620" w:right="966" w:bottom="1973" w:left="228" w:header="192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869315</wp:posOffset>
              </wp:positionH>
              <wp:positionV relativeFrom="page">
                <wp:posOffset>9501505</wp:posOffset>
              </wp:positionV>
              <wp:extent cx="5303520" cy="3155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03520" cy="3155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9"/>
                              <w:i/>
                              <w:iCs/>
                              <w:sz w:val="15"/>
                              <w:szCs w:val="15"/>
                            </w:rPr>
                            <w:t>Nemovitosti jsou v územním obvodu, ve kterém vykonává státní správu katastru nemovitostí ČR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9"/>
                              <w:sz w:val="15"/>
                              <w:szCs w:val="15"/>
                            </w:rPr>
                            <w:t>Katastrální úřad pro Ústecký kraj, Katastrální pracoviště Litoměřice, kód: 506.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Style w:val="CharStyle19"/>
                              <w:sz w:val="15"/>
                              <w:szCs w:val="15"/>
                            </w:rPr>
                            <w:t xml:space="preserve">strana </w:t>
                          </w:r>
                          <w:fldSimple w:instr=" PAGE \* MERGEFORMAT ">
                            <w:r>
                              <w:rPr>
                                <w:rStyle w:val="CharStyle19"/>
                                <w:sz w:val="15"/>
                                <w:szCs w:val="15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8.450000000000003pt;margin-top:748.14999999999998pt;width:417.60000000000002pt;height:24.85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9"/>
                        <w:i/>
                        <w:iCs/>
                        <w:sz w:val="15"/>
                        <w:szCs w:val="15"/>
                      </w:rPr>
                      <w:t>Nemovitosti jsou v územním obvodu, ve kterém vykonává státní správu katastru nemovitostí ČR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9"/>
                        <w:sz w:val="15"/>
                        <w:szCs w:val="15"/>
                      </w:rPr>
                      <w:t>Katastrální úřad pro Ústecký kraj, Katastrální pracoviště Litoměřice, kód: 506.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Style w:val="CharStyle19"/>
                        <w:sz w:val="15"/>
                        <w:szCs w:val="15"/>
                      </w:rPr>
                      <w:t xml:space="preserve">strana </w:t>
                    </w:r>
                    <w:fldSimple w:instr=" PAGE \* MERGEFORMAT ">
                      <w:r>
                        <w:rPr>
                          <w:rStyle w:val="CharStyle19"/>
                          <w:sz w:val="15"/>
                          <w:szCs w:val="15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2549525</wp:posOffset>
              </wp:positionH>
              <wp:positionV relativeFrom="page">
                <wp:posOffset>9370695</wp:posOffset>
              </wp:positionV>
              <wp:extent cx="4311650" cy="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3116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00.75pt;margin-top:737.85000000000002pt;width:339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cs-CZ" w:eastAsia="cs-CZ" w:bidi="cs-CZ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cs-CZ" w:eastAsia="cs-CZ" w:bidi="cs-CZ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cs-CZ" w:eastAsia="cs-CZ" w:bidi="cs-CZ"/>
    </w:rPr>
  </w:style>
  <w:style w:type="character" w:customStyle="1" w:styleId="CharStyle3">
    <w:name w:val="Body text (3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6">
    <w:name w:val="Heading #2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Table caption_"/>
    <w:basedOn w:val="DefaultParagraphFont"/>
    <w:link w:val="Style7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1">
    <w:name w:val="Other_"/>
    <w:basedOn w:val="DefaultParagraphFont"/>
    <w:link w:val="Style1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6">
    <w:name w:val="Body text_"/>
    <w:basedOn w:val="DefaultParagraphFont"/>
    <w:link w:val="Style15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9">
    <w:name w:val="Header or footer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3">
    <w:name w:val="Body text (4)_"/>
    <w:basedOn w:val="DefaultParagraphFont"/>
    <w:link w:val="Style22"/>
    <w:rPr>
      <w:rFonts w:ascii="Arial" w:eastAsia="Arial" w:hAnsi="Arial" w:cs="Arial"/>
      <w:b w:val="0"/>
      <w:bCs w:val="0"/>
      <w:i/>
      <w:iCs/>
      <w:smallCaps w:val="0"/>
      <w:strike w:val="0"/>
      <w:sz w:val="17"/>
      <w:szCs w:val="17"/>
      <w:u w:val="none"/>
    </w:rPr>
  </w:style>
  <w:style w:type="character" w:customStyle="1" w:styleId="CharStyle26">
    <w:name w:val="Body text (2)_"/>
    <w:basedOn w:val="DefaultParagraphFont"/>
    <w:link w:val="Style25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32">
    <w:name w:val="Table of contents_"/>
    <w:basedOn w:val="DefaultParagraphFont"/>
    <w:link w:val="Style31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35">
    <w:name w:val="Heading #1_"/>
    <w:basedOn w:val="DefaultParagraphFont"/>
    <w:link w:val="Style34"/>
    <w:rPr>
      <w:rFonts w:ascii="Courier New" w:eastAsia="Courier New" w:hAnsi="Courier New" w:cs="Courier New"/>
      <w:b/>
      <w:bCs/>
      <w:i/>
      <w:iCs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ind w:firstLine="4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5">
    <w:name w:val="Heading #2"/>
    <w:basedOn w:val="Normal"/>
    <w:link w:val="CharStyle6"/>
    <w:pPr>
      <w:widowControl w:val="0"/>
      <w:shd w:val="clear" w:color="auto" w:fill="auto"/>
      <w:spacing w:after="80"/>
      <w:ind w:firstLine="52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Table caption"/>
    <w:basedOn w:val="Normal"/>
    <w:link w:val="CharStyle8"/>
    <w:pPr>
      <w:widowControl w:val="0"/>
      <w:shd w:val="clear" w:color="auto" w:fill="auto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0">
    <w:name w:val="Other"/>
    <w:basedOn w:val="Normal"/>
    <w:link w:val="CharStyle11"/>
    <w:pPr>
      <w:widowControl w:val="0"/>
      <w:shd w:val="clear" w:color="auto" w:fill="auto"/>
      <w:spacing w:after="100" w:line="259" w:lineRule="auto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spacing w:after="100" w:line="259" w:lineRule="auto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8">
    <w:name w:val="Header or footer (2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line="331" w:lineRule="auto"/>
      <w:ind w:firstLine="760"/>
    </w:pPr>
    <w:rPr>
      <w:rFonts w:ascii="Arial" w:eastAsia="Arial" w:hAnsi="Arial" w:cs="Arial"/>
      <w:b w:val="0"/>
      <w:bCs w:val="0"/>
      <w:i/>
      <w:iCs/>
      <w:smallCaps w:val="0"/>
      <w:strike w:val="0"/>
      <w:sz w:val="17"/>
      <w:szCs w:val="17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spacing w:after="100" w:line="266" w:lineRule="auto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31">
    <w:name w:val="Table of contents"/>
    <w:basedOn w:val="Normal"/>
    <w:link w:val="CharStyle32"/>
    <w:pPr>
      <w:widowControl w:val="0"/>
      <w:shd w:val="clear" w:color="auto" w:fill="auto"/>
      <w:ind w:firstLine="560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34">
    <w:name w:val="Heading #1"/>
    <w:basedOn w:val="Normal"/>
    <w:link w:val="CharStyle35"/>
    <w:pPr>
      <w:widowControl w:val="0"/>
      <w:shd w:val="clear" w:color="auto" w:fill="auto"/>
      <w:spacing w:line="310" w:lineRule="auto"/>
      <w:jc w:val="center"/>
      <w:outlineLvl w:val="0"/>
    </w:pPr>
    <w:rPr>
      <w:rFonts w:ascii="Courier New" w:eastAsia="Courier New" w:hAnsi="Courier New" w:cs="Courier New"/>
      <w:b/>
      <w:bCs/>
      <w:i/>
      <w:iCs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>0050AA46F26A241016144424</dc:title>
  <dc:subject/>
  <dc:creator>vasakovad</dc:creator>
  <cp:keywords/>
</cp:coreProperties>
</file>