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14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455/2024</w:t>
      </w:r>
      <w:bookmarkEnd w:id="10"/>
      <w:bookmarkEnd w:id="11"/>
      <w:bookmarkEnd w:id="9"/>
    </w:p>
    <w:p>
      <w:pPr>
        <w:pStyle w:val="Style2"/>
        <w:keepNext/>
        <w:keepLines/>
        <w:widowControl w:val="0"/>
        <w:shd w:val="clear" w:color="auto" w:fill="auto"/>
        <w:bidi w:val="0"/>
        <w:spacing w:before="0" w:after="0" w:line="48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z39/23</w:t>
        <w:br/>
        <w:t>Název díla:</w:t>
      </w:r>
      <w:bookmarkEnd w:id="12"/>
      <w:bookmarkEnd w:id="13"/>
      <w:bookmarkEnd w:id="14"/>
    </w:p>
    <w:p>
      <w:pPr>
        <w:pStyle w:val="Style9"/>
        <w:keepNext w:val="0"/>
        <w:keepLines w:val="0"/>
        <w:widowControl w:val="0"/>
        <w:shd w:val="clear" w:color="auto" w:fill="auto"/>
        <w:bidi w:val="0"/>
        <w:spacing w:before="0" w:after="60" w:line="480" w:lineRule="auto"/>
        <w:ind w:left="0" w:right="0" w:firstLine="0"/>
        <w:jc w:val="center"/>
      </w:pPr>
      <w:r>
        <w:rPr>
          <w:b/>
          <w:bCs/>
          <w:color w:val="000000"/>
          <w:spacing w:val="0"/>
          <w:w w:val="100"/>
          <w:position w:val="0"/>
          <w:shd w:val="clear" w:color="auto" w:fill="auto"/>
          <w:lang w:val="cs-CZ" w:eastAsia="cs-CZ" w:bidi="cs-CZ"/>
        </w:rPr>
        <w:t>“HC Nechranice - potápěčské práce 2024“</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478" w:left="1394" w:right="1389" w:bottom="1220" w:header="1050" w:footer="3" w:gutter="0"/>
          <w:pgNumType w:start="1"/>
          <w:cols w:space="720"/>
          <w:noEndnote/>
          <w:rtlGutter w:val="0"/>
          <w:docGrid w:linePitch="360"/>
        </w:sectPr>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widowControl w:val="0"/>
        <w:spacing w:line="147" w:lineRule="exact"/>
        <w:rPr>
          <w:sz w:val="12"/>
          <w:szCs w:val="12"/>
        </w:rPr>
      </w:pPr>
    </w:p>
    <w:p>
      <w:pPr>
        <w:widowControl w:val="0"/>
        <w:spacing w:line="1" w:lineRule="exact"/>
        <w:sectPr>
          <w:footnotePr>
            <w:pos w:val="pageBottom"/>
            <w:numFmt w:val="decimal"/>
            <w:numRestart w:val="continuous"/>
          </w:footnotePr>
          <w:type w:val="continuous"/>
          <w:pgSz w:w="11909" w:h="16838"/>
          <w:pgMar w:top="1478" w:left="0" w:right="0" w:bottom="122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statutární orgán:</w:t>
      </w:r>
      <w:bookmarkEnd w:id="18"/>
      <w:bookmarkEnd w:id="19"/>
      <w:bookmarkEnd w:id="20"/>
    </w:p>
    <w:p>
      <w:pPr>
        <w:pStyle w:val="Style9"/>
        <w:keepNext w:val="0"/>
        <w:keepLines w:val="0"/>
        <w:widowControl w:val="0"/>
        <w:shd w:val="clear" w:color="auto" w:fill="auto"/>
        <w:bidi w:val="0"/>
        <w:spacing w:before="0" w:after="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1"/>
      <w:bookmarkEnd w:id="22"/>
    </w:p>
    <w:p>
      <w:pPr>
        <w:pStyle w:val="Style2"/>
        <w:keepNext/>
        <w:keepLines/>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b/>
          <w:bCs/>
          <w:color w:val="000000"/>
          <w:spacing w:val="0"/>
          <w:w w:val="100"/>
          <w:position w:val="0"/>
          <w:shd w:val="clear" w:color="auto" w:fill="auto"/>
          <w:lang w:val="cs-CZ" w:eastAsia="cs-CZ" w:bidi="cs-CZ"/>
        </w:rPr>
        <w:t>Povodí Ohře, státní podnik</w:t>
      </w:r>
      <w:bookmarkEnd w:id="23"/>
      <w:bookmarkEnd w:id="24"/>
      <w:bookmarkEnd w:id="25"/>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78" w:left="1394" w:right="2690" w:bottom="1220" w:header="0" w:footer="3" w:gutter="0"/>
          <w:cols w:num="2" w:space="455"/>
          <w:noEndnote/>
          <w:rtlGutter w:val="0"/>
          <w:docGrid w:linePitch="360"/>
        </w:sectPr>
      </w:pPr>
      <w:bookmarkStart w:id="26" w:name="bookmark26"/>
      <w:bookmarkStart w:id="27" w:name="bookmark27"/>
      <w:bookmarkStart w:id="28" w:name="bookmark28"/>
      <w:bookmarkStart w:id="29" w:name="bookmark29"/>
      <w:r>
        <w:rPr>
          <w:color w:val="000000"/>
          <w:spacing w:val="0"/>
          <w:w w:val="100"/>
          <w:position w:val="0"/>
          <w:shd w:val="clear" w:color="auto" w:fill="auto"/>
          <w:lang w:val="cs-CZ" w:eastAsia="cs-CZ" w:bidi="cs-CZ"/>
        </w:rPr>
        <w:t>Bezručova 4219, 430 03 Chomutov</w:t>
      </w:r>
      <w:bookmarkEnd w:id="26"/>
      <w:bookmarkEnd w:id="27"/>
      <w:bookmarkEnd w:id="28"/>
      <w:bookmarkEnd w:id="29"/>
    </w:p>
    <w:p>
      <w:pPr>
        <w:widowControl w:val="0"/>
        <w:spacing w:before="94" w:after="9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10" w:left="0" w:right="0" w:bottom="1307"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DIČ:</w:t>
        <w:tab/>
        <w:t>CZ70889988</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bankovní spojení:</w:t>
      </w:r>
      <w:bookmarkEnd w:id="33"/>
      <w:bookmarkEnd w:id="34"/>
      <w:bookmarkEnd w:id="35"/>
    </w:p>
    <w:p>
      <w:pPr>
        <w:pStyle w:val="Style2"/>
        <w:keepNext/>
        <w:keepLines/>
        <w:widowControl w:val="0"/>
        <w:shd w:val="clear" w:color="auto" w:fill="auto"/>
        <w:bidi w:val="0"/>
        <w:spacing w:before="0" w:after="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číslo účtu:</w:t>
      </w:r>
      <w:bookmarkEnd w:id="36"/>
      <w:bookmarkEnd w:id="37"/>
      <w:bookmarkEnd w:id="38"/>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(dále jen „objednatel“)</w:t>
      </w:r>
      <w:bookmarkEnd w:id="39"/>
      <w:bookmarkEnd w:id="40"/>
      <w:bookmarkEnd w:id="41"/>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a</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zhotovitel:</w:t>
        <w:tab/>
        <w:t>Potápěčská stanice, a.s.</w:t>
      </w:r>
      <w:bookmarkEnd w:id="45"/>
      <w:bookmarkEnd w:id="46"/>
      <w:bookmarkEnd w:id="47"/>
    </w:p>
    <w:p>
      <w:pPr>
        <w:pStyle w:val="Style2"/>
        <w:keepNext/>
        <w:keepLines/>
        <w:widowControl w:val="0"/>
        <w:shd w:val="clear" w:color="auto" w:fill="auto"/>
        <w:tabs>
          <w:tab w:pos="4280"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sídlo:</w:t>
        <w:tab/>
        <w:t>Botičská 1936/4, Nové Město, 128 00 Praha 2</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k podpisu smlouvy:</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 jednat o věcech smluvních:</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bookmarkStart w:id="60" w:name="bookmark60"/>
      <w:r>
        <w:rPr>
          <w:color w:val="000000"/>
          <w:spacing w:val="0"/>
          <w:w w:val="100"/>
          <w:position w:val="0"/>
          <w:shd w:val="clear" w:color="auto" w:fill="auto"/>
          <w:lang w:val="cs-CZ" w:eastAsia="cs-CZ" w:bidi="cs-CZ"/>
        </w:rPr>
        <w:t>oprávněn jednat o věcech technických:</w:t>
      </w:r>
      <w:bookmarkEnd w:id="57"/>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stavbyvedoucí:</w:t>
      </w:r>
      <w:bookmarkEnd w:id="61"/>
      <w:bookmarkEnd w:id="62"/>
      <w:bookmarkEnd w:id="63"/>
    </w:p>
    <w:p>
      <w:pPr>
        <w:pStyle w:val="Style2"/>
        <w:keepNext/>
        <w:keepLines/>
        <w:widowControl w:val="0"/>
        <w:shd w:val="clear" w:color="auto" w:fill="auto"/>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manažer stavby:</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IČO:</w:t>
        <w:tab/>
        <w:t>47285532</w:t>
      </w:r>
      <w:bookmarkEnd w:id="67"/>
      <w:bookmarkEnd w:id="68"/>
      <w:bookmarkEnd w:id="69"/>
    </w:p>
    <w:p>
      <w:pPr>
        <w:pStyle w:val="Style2"/>
        <w:keepNext/>
        <w:keepLines/>
        <w:widowControl w:val="0"/>
        <w:shd w:val="clear" w:color="auto" w:fill="auto"/>
        <w:tabs>
          <w:tab w:pos="4280"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DIČ:</w:t>
        <w:tab/>
        <w:t>CZ47285532</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bankovní spojení:</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číslo účtu:</w:t>
      </w:r>
      <w:bookmarkEnd w:id="76"/>
      <w:bookmarkEnd w:id="77"/>
      <w:bookmarkEnd w:id="78"/>
    </w:p>
    <w:p>
      <w:pPr>
        <w:pStyle w:val="Style2"/>
        <w:keepNext/>
        <w:keepLines/>
        <w:widowControl w:val="0"/>
        <w:shd w:val="clear" w:color="auto" w:fill="auto"/>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zápis v obchodním rejstříku: u Městského soudu v Praze v oddílu B, vložce č. 20037</w:t>
      </w:r>
      <w:bookmarkEnd w:id="79"/>
      <w:bookmarkEnd w:id="80"/>
      <w:bookmarkEnd w:id="81"/>
    </w:p>
    <w:p>
      <w:pPr>
        <w:pStyle w:val="Style2"/>
        <w:keepNext/>
        <w:keepLines/>
        <w:widowControl w:val="0"/>
        <w:shd w:val="clear" w:color="auto" w:fill="auto"/>
        <w:tabs>
          <w:tab w:pos="4280" w:val="left"/>
        </w:tabs>
        <w:bidi w:val="0"/>
        <w:spacing w:before="0" w:after="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tel.:</w:t>
        <w:tab/>
        <w:t>e-mail:</w:t>
      </w:r>
      <w:bookmarkEnd w:id="82"/>
      <w:bookmarkEnd w:id="83"/>
      <w:bookmarkEnd w:id="84"/>
    </w:p>
    <w:p>
      <w:pPr>
        <w:pStyle w:val="Style2"/>
        <w:keepNext/>
        <w:keepLines/>
        <w:widowControl w:val="0"/>
        <w:shd w:val="clear" w:color="auto" w:fill="auto"/>
        <w:bidi w:val="0"/>
        <w:spacing w:before="0" w:after="460" w:line="240" w:lineRule="auto"/>
        <w:ind w:left="0" w:right="0" w:firstLine="0"/>
        <w:jc w:val="both"/>
      </w:pPr>
      <w:bookmarkStart w:id="85" w:name="bookmark85"/>
      <w:bookmarkStart w:id="86" w:name="bookmark86"/>
      <w:bookmarkStart w:id="87" w:name="bookmark87"/>
      <w:r>
        <w:rPr>
          <w:color w:val="000000"/>
          <w:spacing w:val="0"/>
          <w:w w:val="100"/>
          <w:position w:val="0"/>
          <w:shd w:val="clear" w:color="auto" w:fill="auto"/>
          <w:lang w:val="cs-CZ" w:eastAsia="cs-CZ" w:bidi="cs-CZ"/>
        </w:rPr>
        <w:t>(dále jen „zhotovitel“)</w:t>
      </w:r>
      <w:bookmarkEnd w:id="85"/>
      <w:bookmarkEnd w:id="86"/>
      <w:bookmarkEnd w:id="87"/>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r>
        <w:br w:type="page"/>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8" w:name="bookmark88"/>
      <w:bookmarkEnd w:id="88"/>
      <w:r>
        <w:rPr>
          <w:b/>
          <w:bCs/>
          <w:color w:val="000000"/>
          <w:spacing w:val="0"/>
          <w:w w:val="100"/>
          <w:position w:val="0"/>
          <w:shd w:val="clear" w:color="auto" w:fill="auto"/>
          <w:lang w:val="cs-CZ" w:eastAsia="cs-CZ" w:bidi="cs-CZ"/>
        </w:rPr>
        <w:t>změnu předmětu díla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 méně práce ze dne 09.10.2024,</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89" w:name="bookmark89"/>
      <w:bookmarkEnd w:id="89"/>
      <w:r>
        <w:rPr>
          <w:b/>
          <w:bCs/>
          <w:color w:val="000000"/>
          <w:spacing w:val="0"/>
          <w:w w:val="100"/>
          <w:position w:val="0"/>
          <w:shd w:val="clear" w:color="auto" w:fill="auto"/>
          <w:lang w:val="cs-CZ" w:eastAsia="cs-CZ" w:bidi="cs-CZ"/>
        </w:rPr>
        <w:t>změnu termínů plnění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provozních důvodů objednatele byla projednána a odsouhlasena změna termínu převzetí staveniště a předání a převzetí díla</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90" w:name="bookmark90"/>
      <w:bookmarkEnd w:id="90"/>
      <w:r>
        <w:rPr>
          <w:b/>
          <w:bCs/>
          <w:color w:val="000000"/>
          <w:spacing w:val="0"/>
          <w:w w:val="100"/>
          <w:position w:val="0"/>
          <w:shd w:val="clear" w:color="auto" w:fill="auto"/>
          <w:lang w:val="cs-CZ" w:eastAsia="cs-CZ" w:bidi="cs-CZ"/>
        </w:rPr>
        <w:t>změnu ceny díla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provedení odpočtu neprovedených prací (SO 01 a SO 02). Tato změna je obsahem Přílohy č. 1 Oceněného soupisu prací změn závazku – méně práce ze dne 09.10.2024. Tato změna závazku ze smlouvy nemění celkovou povahu veřejné zakázky.</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 Obě smluvní strany odsouhlasily a potvrdily oceněný soupis prací.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9"/>
        <w:keepNext w:val="0"/>
        <w:keepLines w:val="0"/>
        <w:widowControl w:val="0"/>
        <w:numPr>
          <w:ilvl w:val="0"/>
          <w:numId w:val="3"/>
        </w:numPr>
        <w:shd w:val="clear" w:color="auto" w:fill="auto"/>
        <w:tabs>
          <w:tab w:pos="397" w:val="left"/>
        </w:tabs>
        <w:bidi w:val="0"/>
        <w:spacing w:before="0" w:after="200" w:line="240" w:lineRule="auto"/>
        <w:ind w:left="0" w:right="0" w:firstLine="0"/>
        <w:jc w:val="both"/>
      </w:pPr>
      <w:bookmarkStart w:id="91" w:name="bookmark91"/>
      <w:bookmarkEnd w:id="91"/>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se mění v rozsahu přílohy tohoto dodatku – Oceněného soupisu prací změn závazku – méně práce ze dne 09.10.2024, který se tímto stává nedílnou součástí smlouvy.</w:t>
      </w:r>
    </w:p>
    <w:p>
      <w:pPr>
        <w:pStyle w:val="Style9"/>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92" w:name="bookmark92"/>
      <w:bookmarkEnd w:id="92"/>
      <w:r>
        <w:rPr>
          <w:b/>
          <w:bCs/>
          <w:color w:val="000000"/>
          <w:spacing w:val="0"/>
          <w:w w:val="100"/>
          <w:position w:val="0"/>
          <w:shd w:val="clear" w:color="auto" w:fill="auto"/>
          <w:lang w:val="cs-CZ" w:eastAsia="cs-CZ" w:bidi="cs-CZ"/>
        </w:rPr>
        <w:t xml:space="preserve">Čl. II. Termín plnění, odst. 1., písm. a) předání staveniště, c) předání a převzetí díla: </w:t>
      </w:r>
      <w:r>
        <w:rPr>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převzetí staveniště: Zhotovitel se zavazuje převzít staveniště nejpozději do 30 kalendářních dní od nabytí účinnosti této smlouvy o dílo.</w:t>
      </w:r>
    </w:p>
    <w:p>
      <w:pPr>
        <w:pStyle w:val="Style9"/>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93" w:name="bookmark93"/>
      <w:bookmarkEnd w:id="93"/>
      <w:r>
        <w:rPr>
          <w:color w:val="000000"/>
          <w:spacing w:val="0"/>
          <w:w w:val="100"/>
          <w:position w:val="0"/>
          <w:shd w:val="clear" w:color="auto" w:fill="auto"/>
          <w:lang w:val="cs-CZ" w:eastAsia="cs-CZ" w:bidi="cs-CZ"/>
        </w:rPr>
        <w:t>předání a převzetí díla: nejpozději do 30.09.2024</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a) převzetí staveniště: nejpozději do 07.10.2024</w:t>
      </w:r>
    </w:p>
    <w:p>
      <w:pPr>
        <w:pStyle w:val="Style9"/>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c) předání a převzetí díla: nejpozději do 31.10.2024</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c) Čl. III. Cena, odst. 4.:</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0" w:line="240" w:lineRule="auto"/>
        <w:ind w:left="0" w:right="0" w:firstLine="0"/>
        <w:jc w:val="both"/>
      </w:pPr>
      <w:r>
        <mc:AlternateContent>
          <mc:Choice Requires="wps">
            <w:drawing>
              <wp:anchor distT="0" distB="810895" distL="114300" distR="129540" simplePos="0" relativeHeight="125829378" behindDoc="0" locked="0" layoutInCell="1" allowOverlap="1">
                <wp:simplePos x="0" y="0"/>
                <wp:positionH relativeFrom="page">
                  <wp:posOffset>4542790</wp:posOffset>
                </wp:positionH>
                <wp:positionV relativeFrom="paragraph">
                  <wp:posOffset>152400</wp:posOffset>
                </wp:positionV>
                <wp:extent cx="935990" cy="868680"/>
                <wp:wrapSquare wrapText="left"/>
                <wp:docPr id="3" name="Shape 3"/>
                <a:graphic xmlns:a="http://schemas.openxmlformats.org/drawingml/2006/main">
                  <a:graphicData uri="http://schemas.microsoft.com/office/word/2010/wordprocessingShape">
                    <wps:wsp>
                      <wps:cNvSpPr txBox="1"/>
                      <wps:spPr>
                        <a:xfrm>
                          <a:ext cx="935990" cy="868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742.026,50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207.725,00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114.310,50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205.770,00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214.221,00 Kč</w:t>
                            </w:r>
                          </w:p>
                        </w:txbxContent>
                      </wps:txbx>
                      <wps:bodyPr lIns="0" tIns="0" rIns="0" bIns="0">
                        <a:noAutoFit/>
                      </wps:bodyPr>
                    </wps:wsp>
                  </a:graphicData>
                </a:graphic>
              </wp:anchor>
            </w:drawing>
          </mc:Choice>
          <mc:Fallback>
            <w:pict>
              <v:shape id="_x0000_s1029" type="#_x0000_t202" style="position:absolute;margin-left:357.69999999999999pt;margin-top:12.pt;width:73.700000000000003pt;height:68.400000000000006pt;z-index:-125829375;mso-wrap-distance-left:9.pt;mso-wrap-distance-right:10.200000000000001pt;mso-wrap-distance-bottom:63.850000000000001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742.026,50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207.725,00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114.310,50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205.770,00 Kč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214.221,00 Kč</w:t>
                      </w:r>
                    </w:p>
                  </w:txbxContent>
                </v:textbox>
                <w10:wrap type="square" side="left" anchorx="page"/>
              </v:shape>
            </w:pict>
          </mc:Fallback>
        </mc:AlternateContent>
      </w:r>
      <w:r>
        <mc:AlternateContent>
          <mc:Choice Requires="wps">
            <w:drawing>
              <wp:anchor distT="1121410" distB="635" distL="114300" distR="114300" simplePos="0" relativeHeight="125829380" behindDoc="0" locked="0" layoutInCell="1" allowOverlap="1">
                <wp:simplePos x="0" y="0"/>
                <wp:positionH relativeFrom="page">
                  <wp:posOffset>4542790</wp:posOffset>
                </wp:positionH>
                <wp:positionV relativeFrom="paragraph">
                  <wp:posOffset>1273810</wp:posOffset>
                </wp:positionV>
                <wp:extent cx="951230" cy="557530"/>
                <wp:wrapSquare wrapText="left"/>
                <wp:docPr id="5" name="Shape 5"/>
                <a:graphic xmlns:a="http://schemas.openxmlformats.org/drawingml/2006/main">
                  <a:graphicData uri="http://schemas.microsoft.com/office/word/2010/wordprocessingShape">
                    <wps:wsp>
                      <wps:cNvSpPr txBox="1"/>
                      <wps:spPr>
                        <a:xfrm>
                          <a:ext cx="951230" cy="5575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419.991,00 Kč</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205.770,00 Kč</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214.221,00 Kč</w:t>
                            </w:r>
                          </w:p>
                        </w:txbxContent>
                      </wps:txbx>
                      <wps:bodyPr lIns="0" tIns="0" rIns="0" bIns="0">
                        <a:noAutoFit/>
                      </wps:bodyPr>
                    </wps:wsp>
                  </a:graphicData>
                </a:graphic>
              </wp:anchor>
            </w:drawing>
          </mc:Choice>
          <mc:Fallback>
            <w:pict>
              <v:shape id="_x0000_s1031" type="#_x0000_t202" style="position:absolute;margin-left:357.69999999999999pt;margin-top:100.3pt;width:74.900000000000006pt;height:43.899999999999999pt;z-index:-125829373;mso-wrap-distance-left:9.pt;mso-wrap-distance-top:88.299999999999997pt;mso-wrap-distance-right:9.pt;mso-wrap-distance-bottom:5.0000000000000003e-002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419.991,00 Kč</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205.770,00 Kč</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214.221,00 Kč</w:t>
                      </w:r>
                    </w:p>
                  </w:txbxContent>
                </v:textbox>
                <w10:wrap type="square" side="left" anchorx="page"/>
              </v:shape>
            </w:pict>
          </mc:Fallback>
        </mc:AlternateContent>
      </w:r>
      <w:r>
        <w:rPr>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bidi w:val="0"/>
        <w:spacing w:before="0" w:after="0" w:line="240" w:lineRule="auto"/>
        <w:ind w:left="380" w:right="0" w:hanging="380"/>
        <w:jc w:val="both"/>
      </w:pPr>
      <w:r>
        <w:rPr>
          <w:color w:val="000000"/>
          <w:spacing w:val="0"/>
          <w:w w:val="100"/>
          <w:position w:val="0"/>
          <w:shd w:val="clear" w:color="auto" w:fill="auto"/>
          <w:lang w:val="cs-CZ" w:eastAsia="cs-CZ" w:bidi="cs-CZ"/>
        </w:rPr>
        <w:t>Celková smluvní cena bez DPH celkem z toho: SO 01 cena bez DPH</w:t>
      </w:r>
    </w:p>
    <w:p>
      <w:pPr>
        <w:pStyle w:val="Style9"/>
        <w:keepNext w:val="0"/>
        <w:keepLines w:val="0"/>
        <w:widowControl w:val="0"/>
        <w:shd w:val="clear" w:color="auto" w:fill="auto"/>
        <w:bidi w:val="0"/>
        <w:spacing w:before="0" w:after="0" w:line="240" w:lineRule="auto"/>
        <w:ind w:left="1120" w:right="0" w:firstLine="0"/>
        <w:jc w:val="both"/>
      </w:pPr>
      <w:r>
        <w:rPr>
          <w:color w:val="000000"/>
          <w:spacing w:val="0"/>
          <w:w w:val="100"/>
          <w:position w:val="0"/>
          <w:shd w:val="clear" w:color="auto" w:fill="auto"/>
          <w:lang w:val="cs-CZ" w:eastAsia="cs-CZ" w:bidi="cs-CZ"/>
        </w:rPr>
        <w:t>SO 02 cena bez DPH</w:t>
      </w:r>
    </w:p>
    <w:p>
      <w:pPr>
        <w:pStyle w:val="Style9"/>
        <w:keepNext w:val="0"/>
        <w:keepLines w:val="0"/>
        <w:widowControl w:val="0"/>
        <w:shd w:val="clear" w:color="auto" w:fill="auto"/>
        <w:bidi w:val="0"/>
        <w:spacing w:before="0" w:after="0" w:line="240" w:lineRule="auto"/>
        <w:ind w:left="1120" w:right="0" w:firstLine="0"/>
        <w:jc w:val="both"/>
      </w:pPr>
      <w:r>
        <w:rPr>
          <w:color w:val="000000"/>
          <w:spacing w:val="0"/>
          <w:w w:val="100"/>
          <w:position w:val="0"/>
          <w:shd w:val="clear" w:color="auto" w:fill="auto"/>
          <w:lang w:val="cs-CZ" w:eastAsia="cs-CZ" w:bidi="cs-CZ"/>
        </w:rPr>
        <w:t>SO 03 cena bez DPH</w:t>
      </w:r>
    </w:p>
    <w:p>
      <w:pPr>
        <w:pStyle w:val="Style9"/>
        <w:keepNext w:val="0"/>
        <w:keepLines w:val="0"/>
        <w:widowControl w:val="0"/>
        <w:shd w:val="clear" w:color="auto" w:fill="auto"/>
        <w:bidi w:val="0"/>
        <w:spacing w:before="0" w:after="200" w:line="240" w:lineRule="auto"/>
        <w:ind w:left="1120" w:right="0" w:firstLine="0"/>
        <w:jc w:val="both"/>
      </w:pPr>
      <w:r>
        <w:rPr>
          <w:color w:val="000000"/>
          <w:spacing w:val="0"/>
          <w:w w:val="100"/>
          <w:position w:val="0"/>
          <w:shd w:val="clear" w:color="auto" w:fill="auto"/>
          <w:lang w:val="cs-CZ" w:eastAsia="cs-CZ" w:bidi="cs-CZ"/>
        </w:rPr>
        <w:t>SO 04 cena bez DPH</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9"/>
        <w:keepNext w:val="0"/>
        <w:keepLines w:val="0"/>
        <w:widowControl w:val="0"/>
        <w:shd w:val="clear" w:color="auto" w:fill="auto"/>
        <w:bidi w:val="0"/>
        <w:spacing w:before="0" w:after="0" w:line="240" w:lineRule="auto"/>
        <w:ind w:left="380" w:right="0" w:hanging="380"/>
        <w:jc w:val="both"/>
      </w:pPr>
      <w:r>
        <w:rPr>
          <w:b/>
          <w:bCs/>
          <w:color w:val="000000"/>
          <w:spacing w:val="0"/>
          <w:w w:val="100"/>
          <w:position w:val="0"/>
          <w:shd w:val="clear" w:color="auto" w:fill="auto"/>
          <w:lang w:val="cs-CZ" w:eastAsia="cs-CZ" w:bidi="cs-CZ"/>
        </w:rPr>
        <w:t>Celková smluvní cena bez DPH celkem z toho: SO 03 cena bez DPH</w:t>
      </w:r>
    </w:p>
    <w:p>
      <w:pPr>
        <w:pStyle w:val="Style9"/>
        <w:keepNext w:val="0"/>
        <w:keepLines w:val="0"/>
        <w:widowControl w:val="0"/>
        <w:shd w:val="clear" w:color="auto" w:fill="auto"/>
        <w:bidi w:val="0"/>
        <w:spacing w:before="0" w:after="440" w:line="240" w:lineRule="auto"/>
        <w:ind w:left="1120" w:right="0" w:firstLine="0"/>
        <w:jc w:val="both"/>
      </w:pPr>
      <w:r>
        <w:rPr>
          <w:b/>
          <w:bCs/>
          <w:color w:val="000000"/>
          <w:spacing w:val="0"/>
          <w:w w:val="100"/>
          <w:position w:val="0"/>
          <w:shd w:val="clear" w:color="auto" w:fill="auto"/>
          <w:lang w:val="cs-CZ" w:eastAsia="cs-CZ" w:bidi="cs-CZ"/>
        </w:rPr>
        <w:t>SO 04 cena bez DPH</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Nedílnou součástí tohoto dodatku je:</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10" w:left="1394" w:right="1389" w:bottom="1307" w:header="882" w:footer="3" w:gutter="0"/>
          <w:cols w:space="720"/>
          <w:noEndnote/>
          <w:rtlGutter w:val="0"/>
          <w:docGrid w:linePitch="360"/>
        </w:sectPr>
      </w:pPr>
      <w:r>
        <w:rPr>
          <w:color w:val="000000"/>
          <w:spacing w:val="0"/>
          <w:w w:val="100"/>
          <w:position w:val="0"/>
          <w:shd w:val="clear" w:color="auto" w:fill="auto"/>
          <w:lang w:val="cs-CZ" w:eastAsia="cs-CZ" w:bidi="cs-CZ"/>
        </w:rPr>
        <w:t>Příloha č. 1 Oceněný soupis prací změn závazku – méně práce ze dne 09.10.2024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589" w:left="0" w:right="0" w:bottom="158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589" w:left="1394" w:right="3036" w:bottom="158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9925685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1.5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