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296.4pt;margin-top:54.75pt;width:15.6pt;height:15.6pt;z-index:-251658240;mso-position-horizontal-relative:page;mso-position-vertical-relative:page;z-index:-251658752" fillcolor="#646464" stroked="f"/>
        </w:pict>
      </w:r>
      <w:r>
        <w:pict>
          <v:shape o:spt="32" o:oned="1" path="m,l21600,21600e" style="position:absolute;margin-left:19.45pt;margin-top:187.pt;width:556.1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382.6pt;margin-top:19.5pt;width:0;height:168.pt;z-index:-251658240;mso-position-horizontal-relative:page;mso-position-vertical-relative:page">
            <v:stroke weight="0.5pt"/>
          </v:shape>
        </w:pict>
      </w:r>
    </w:p>
    <w:p>
      <w:pPr>
        <w:pStyle w:val="Style3"/>
        <w:framePr w:w="2275" w:h="1454" w:hRule="exact" w:wrap="none" w:vAnchor="page" w:hAnchor="page" w:x="477" w:y="533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5"/>
        </w:rPr>
        <w:t>......</w:t>
      </w:r>
      <w:r>
        <w:rPr>
          <w:rStyle w:val="CharStyle6"/>
        </w:rPr>
        <w:t>.......</w:t>
      </w:r>
      <w:r>
        <w:rPr>
          <w:rStyle w:val="CharStyle7"/>
        </w:rPr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 Palackého</w:t>
        <w:br/>
        <w:t>Palackého 5</w:t>
        <w:br/>
        <w:t>115 92 Praha 1</w:t>
        <w:br/>
      </w:r>
      <w:r>
        <w:rPr>
          <w:rStyle w:val="CharStyle8"/>
        </w:rPr>
        <w:t>Tel: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9"/>
        </w:rPr>
        <w:t>..........</w:t>
      </w:r>
      <w:r>
        <w:rPr>
          <w:rStyle w:val="CharStyle10"/>
        </w:rPr>
        <w:t>.......</w:t>
      </w:r>
    </w:p>
    <w:p>
      <w:pPr>
        <w:pStyle w:val="Style3"/>
        <w:framePr w:w="1526" w:h="1076" w:hRule="exact" w:wrap="none" w:vAnchor="page" w:hAnchor="page" w:x="477" w:y="2651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</w:t>
      </w:r>
    </w:p>
    <w:p>
      <w:pPr>
        <w:pStyle w:val="Style11"/>
        <w:framePr w:w="1526" w:h="1076" w:hRule="exact" w:wrap="none" w:vAnchor="page" w:hAnchor="page" w:x="477" w:y="2651"/>
        <w:widowControl w:val="0"/>
        <w:keepNext w:val="0"/>
        <w:keepLines w:val="0"/>
        <w:shd w:val="clear" w:color="auto" w:fill="auto"/>
        <w:bidi w:val="0"/>
        <w:spacing w:before="0" w:after="0" w:line="4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Č.obj. zákazníka: </w:t>
      </w:r>
      <w:r>
        <w:rPr>
          <w:rStyle w:val="CharStyle13"/>
        </w:rPr>
        <w:t>1159</w:t>
        <w:br/>
        <w:t>plátce DPH</w:t>
      </w:r>
    </w:p>
    <w:p>
      <w:pPr>
        <w:pStyle w:val="Style14"/>
        <w:framePr w:wrap="none" w:vAnchor="page" w:hAnchor="page" w:x="486" w:y="378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obalů:</w:t>
      </w:r>
    </w:p>
    <w:tbl>
      <w:tblPr>
        <w:tblOverlap w:val="never"/>
        <w:tblLayout w:type="fixed"/>
        <w:jc w:val="left"/>
      </w:tblPr>
      <w:tblGrid>
        <w:gridCol w:w="61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Bedny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Sáčky,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160" w:right="0" w:firstLine="0"/>
            </w:pPr>
            <w:r>
              <w:rPr>
                <w:rStyle w:val="CharStyle16"/>
              </w:rPr>
              <w:t>pytle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Plech.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Vratné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Opiáty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Opiáty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Opiáty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Mrazáky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Ostatní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Obálky,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doklady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Speciální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sortiment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16"/>
              </w:rPr>
              <w:t>Speciální</w:t>
            </w:r>
          </w:p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6"/>
              </w:rPr>
              <w:t>sort.-kart.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17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8419" w:h="782" w:wrap="none" w:vAnchor="page" w:hAnchor="page" w:x="592" w:y="410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17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8419" w:h="782" w:wrap="none" w:vAnchor="page" w:hAnchor="page" w:x="592" w:y="410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framePr w:w="10891" w:h="543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78" w:line="17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Upozornění:</w:t>
      </w:r>
      <w:bookmarkEnd w:id="0"/>
    </w:p>
    <w:p>
      <w:pPr>
        <w:pStyle w:val="Style11"/>
        <w:framePr w:w="10891" w:h="543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142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Žádáme odběratele, aby věnovali zvýšenou pozornost reklamacím návykových látek (zejména skupině s "modrým pruhem" viz bod 3. reklam. řádu) a termolabilních přípravků</w:t>
        <w:br/>
        <w:t>(viz bod 7. reklam. řádu). V obou případech je důležité, aby řidič potvrdil doklad o vrácení zboží (viz bod 11. reklam. řádu), který se v té chvíli stává pro odběratele jediným dokladem o</w:t>
        <w:br/>
        <w:t>výdeji. Dodržováním uvedených zásad předejdete případným komplikacím při vyřizování reklamací.</w:t>
      </w:r>
    </w:p>
    <w:p>
      <w:pPr>
        <w:pStyle w:val="Style18"/>
        <w:framePr w:w="10891" w:h="543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169" w:line="170" w:lineRule="exact"/>
        <w:ind w:left="5549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UPOZORNĚNÍ KŘJ</w:t>
      </w:r>
      <w:bookmarkEnd w:id="1"/>
    </w:p>
    <w:p>
      <w:pPr>
        <w:pStyle w:val="Style11"/>
        <w:framePr w:w="10891" w:h="543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549" w:right="0" w:firstLine="0"/>
      </w:pPr>
      <w:r>
        <w:rPr>
          <w:rStyle w:val="CharStyle20"/>
        </w:rPr>
        <w:t xml:space="preserve">Stahování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žádáme o vrácení přípravků:</w:t>
      </w:r>
    </w:p>
    <w:p>
      <w:pPr>
        <w:pStyle w:val="Style11"/>
        <w:numPr>
          <w:ilvl w:val="0"/>
          <w:numId w:val="1"/>
        </w:numPr>
        <w:framePr w:w="10891" w:h="5431" w:hRule="exact" w:wrap="none" w:vAnchor="page" w:hAnchor="page" w:x="472" w:y="5899"/>
        <w:tabs>
          <w:tab w:leader="none" w:pos="57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21"/>
        </w:rPr>
        <w:t>Imunor lyo.4x10mg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0087299, šarže 13000323, 14000323 do 28.10.2024 z</w:t>
        <w:br/>
        <w:t xml:space="preserve">důvodu zkrácení doby použitelnosti. Více na </w:t>
      </w:r>
      <w:r>
        <w:fldChar w:fldCharType="begin"/>
      </w:r>
      <w:r>
        <w:rPr>
          <w:color w:val="000000"/>
        </w:rPr>
        <w:instrText> HYPERLINK "https://www.sukl.cz/sdeleni-sukl-ze-dne-30-9-2024"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https://www.sukl.cz/sdeleni-sukl-ze-</w:t>
        <w:br/>
      </w:r>
      <w:r>
        <w:rPr>
          <w:rStyle w:val="Hyperlink"/>
          <w:lang w:val="cs-CZ" w:eastAsia="cs-CZ" w:bidi="cs-CZ"/>
          <w:w w:val="100"/>
          <w:spacing w:val="0"/>
          <w:position w:val="0"/>
        </w:rPr>
        <w:t>dne-30-9-2024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11"/>
        <w:numPr>
          <w:ilvl w:val="0"/>
          <w:numId w:val="1"/>
        </w:numPr>
        <w:framePr w:w="10891" w:h="5431" w:hRule="exact" w:wrap="none" w:vAnchor="page" w:hAnchor="page" w:x="472" w:y="5899"/>
        <w:tabs>
          <w:tab w:leader="none" w:pos="57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21"/>
        </w:rPr>
        <w:t xml:space="preserve">Sertralin Actavis 50mg </w:t>
      </w:r>
      <w:r>
        <w:rPr>
          <w:rStyle w:val="CharStyle21"/>
          <w:lang w:val="en-US" w:eastAsia="en-US" w:bidi="en-US"/>
        </w:rPr>
        <w:t>tbl.flm.30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SÚKL 0225749, šarže 24765 do 09.12.2024 z</w:t>
        <w:br/>
        <w:t xml:space="preserve">důvodu závady v jakosti. Více na </w:t>
      </w:r>
      <w:r>
        <w:fldChar w:fldCharType="begin"/>
      </w:r>
      <w:r>
        <w:rPr>
          <w:color w:val="000000"/>
        </w:rPr>
        <w:instrText> HYPERLINK "https://www.sukl.cz/sdeleni-sukl-ze-dne-17-9-2024"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https://www.sukl.cz/sdeleni-sukl-ze-dne-17-9-2024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1"/>
        <w:numPr>
          <w:ilvl w:val="0"/>
          <w:numId w:val="1"/>
        </w:numPr>
        <w:framePr w:w="10891" w:h="5431" w:hRule="exact" w:wrap="none" w:vAnchor="page" w:hAnchor="page" w:x="472" w:y="5899"/>
        <w:tabs>
          <w:tab w:leader="none" w:pos="57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197" w:lineRule="exact"/>
        <w:ind w:left="5549" w:right="0" w:firstLine="0"/>
      </w:pPr>
      <w:r>
        <w:rPr>
          <w:rStyle w:val="CharStyle21"/>
          <w:lang w:val="fr-FR" w:eastAsia="fr-FR" w:bidi="fr-FR"/>
        </w:rPr>
        <w:t xml:space="preserve">Temozolomide </w:t>
      </w:r>
      <w:r>
        <w:rPr>
          <w:rStyle w:val="CharStyle21"/>
        </w:rPr>
        <w:t>Glenmark 100mg por.cps.dur.5x100mg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0183522, šarže</w:t>
        <w:br/>
        <w:t>CM1303C do 30.11.2024 z důvodu závady v jakosti z úrovně pacientů.</w:t>
      </w:r>
    </w:p>
    <w:p>
      <w:pPr>
        <w:pStyle w:val="Style11"/>
        <w:framePr w:w="10891" w:h="543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549" w:right="0" w:firstLine="0"/>
      </w:pPr>
      <w:r>
        <w:rPr>
          <w:rStyle w:val="CharStyle20"/>
        </w:rPr>
        <w:t xml:space="preserve">Pozastavení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- informace o pozastavení přípravků:</w:t>
      </w:r>
    </w:p>
    <w:p>
      <w:pPr>
        <w:pStyle w:val="Style11"/>
        <w:numPr>
          <w:ilvl w:val="0"/>
          <w:numId w:val="1"/>
        </w:numPr>
        <w:framePr w:w="10891" w:h="5431" w:hRule="exact" w:wrap="none" w:vAnchor="page" w:hAnchor="page" w:x="472" w:y="5899"/>
        <w:tabs>
          <w:tab w:leader="none" w:pos="57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21"/>
        </w:rPr>
        <w:t>Megafyt Řepíková nať spc.50g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0076589, šarže 202072024 do 01.11.2024 z</w:t>
        <w:br/>
        <w:t xml:space="preserve">důvodu možné závady v jakosti. Více na </w:t>
      </w:r>
      <w:r>
        <w:fldChar w:fldCharType="begin"/>
      </w:r>
      <w:r>
        <w:rPr>
          <w:color w:val="000000"/>
        </w:rPr>
        <w:instrText> HYPERLINK "https://www.sukl.cz/sdeleni-sukl-ze-dne-20-9-2024-2"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https://www.sukl.cz/sdeleni-sukl-ze-</w:t>
        <w:br/>
      </w:r>
      <w:r>
        <w:rPr>
          <w:rStyle w:val="Hyperlink"/>
          <w:lang w:val="cs-CZ" w:eastAsia="cs-CZ" w:bidi="cs-CZ"/>
          <w:w w:val="100"/>
          <w:spacing w:val="0"/>
          <w:position w:val="0"/>
        </w:rPr>
        <w:t>dne-20-9-2024-2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11"/>
        <w:numPr>
          <w:ilvl w:val="0"/>
          <w:numId w:val="1"/>
        </w:numPr>
        <w:framePr w:w="10891" w:h="5431" w:hRule="exact" w:wrap="none" w:vAnchor="page" w:hAnchor="page" w:x="472" w:y="5899"/>
        <w:tabs>
          <w:tab w:leader="none" w:pos="57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197" w:lineRule="exact"/>
        <w:ind w:left="5549" w:right="0" w:firstLine="0"/>
      </w:pPr>
      <w:r>
        <w:rPr>
          <w:rStyle w:val="CharStyle21"/>
        </w:rPr>
        <w:t>Megafyt Řepíková nať spc.50g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0076589, šarže 203042024, 208022024,</w:t>
        <w:br/>
        <w:t>218032024 do 19.10.2024 z důvodu prověření možné závady v jakosti-nestahuje se.</w:t>
      </w:r>
    </w:p>
    <w:p>
      <w:pPr>
        <w:pStyle w:val="Style22"/>
        <w:framePr w:w="10891" w:h="5431" w:hRule="exact" w:wrap="none" w:vAnchor="page" w:hAnchor="page" w:x="472" w:y="5899"/>
        <w:widowControl w:val="0"/>
        <w:keepNext w:val="0"/>
        <w:keepLines w:val="0"/>
        <w:shd w:val="clear" w:color="auto" w:fill="auto"/>
        <w:bidi w:val="0"/>
        <w:spacing w:before="0" w:after="0"/>
        <w:ind w:left="5549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Informace:</w:t>
      </w:r>
    </w:p>
    <w:p>
      <w:pPr>
        <w:pStyle w:val="Style11"/>
        <w:numPr>
          <w:ilvl w:val="0"/>
          <w:numId w:val="1"/>
        </w:numPr>
        <w:framePr w:w="10891" w:h="5431" w:hRule="exact" w:wrap="none" w:vAnchor="page" w:hAnchor="page" w:x="472" w:y="5899"/>
        <w:tabs>
          <w:tab w:leader="none" w:pos="573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549" w:right="0" w:firstLine="0"/>
      </w:pPr>
      <w:r>
        <w:rPr>
          <w:rStyle w:val="CharStyle21"/>
        </w:rPr>
        <w:t>Sufenta 5mcg/ml inj.sol.5x2ml/10mcg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SÚKL 0241680, šarže 2212032, 2305086 do</w:t>
        <w:br/>
        <w:t>29.11.2025 z důvodu nestahuje se-možný výskyt poš.nebo rozb.ampulí-viz www.SÚKL.cz.</w:t>
        <w:br/>
        <w:t xml:space="preserve">Více na </w:t>
      </w:r>
      <w:r>
        <w:fldChar w:fldCharType="begin"/>
      </w:r>
      <w:r>
        <w:rPr>
          <w:color w:val="000000"/>
        </w:rPr>
        <w:instrText> HYPERLINK "https://www.sukl.cz/leciva/informacni-dopis-dipidolor-sufenta-a-sulfenta-forte"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https://www.sukl.cz/leciva/informacni-dopis-dipidolor-sufenta-a-sulfenta-forte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11"/>
        <w:framePr w:w="10891" w:h="240" w:hRule="exact" w:wrap="none" w:vAnchor="page" w:hAnchor="page" w:x="472" w:y="16183"/>
        <w:widowControl w:val="0"/>
        <w:keepNext w:val="0"/>
        <w:keepLines w:val="0"/>
        <w:shd w:val="clear" w:color="auto" w:fill="auto"/>
        <w:bidi w:val="0"/>
        <w:jc w:val="center"/>
        <w:spacing w:before="0" w:after="0" w:line="160" w:lineRule="exact"/>
        <w:ind w:left="20" w:right="0" w:firstLine="0"/>
      </w:pPr>
      <w:r>
        <w:rPr>
          <w:rStyle w:val="CharStyle24"/>
        </w:rPr>
        <w:t>PHOENIX lékárenský velkoobchod, s.r.o., K Pérovně 945/7, 102 00 Praha 10-Hostivař, IČO: 45359326, DIČ: CZ45359326</w:t>
      </w:r>
    </w:p>
    <w:p>
      <w:pPr>
        <w:pStyle w:val="Style25"/>
        <w:framePr w:w="4742" w:h="2128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78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pro zákazníky:</w:t>
      </w:r>
    </w:p>
    <w:p>
      <w:pPr>
        <w:pStyle w:val="Style11"/>
        <w:numPr>
          <w:ilvl w:val="0"/>
          <w:numId w:val="3"/>
        </w:numPr>
        <w:framePr w:w="4742" w:h="2128" w:hRule="exact" w:wrap="none" w:vAnchor="page" w:hAnchor="page" w:x="477" w:y="6897"/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spacing w:before="0" w:after="166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Recyklační poplatek dle zákona č. 542/2020 Sb. naleznete na ePIN (v zápatí).</w:t>
      </w:r>
    </w:p>
    <w:p>
      <w:pPr>
        <w:pStyle w:val="Style22"/>
        <w:framePr w:w="4742" w:h="2128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OC PHOENIX Praha:</w:t>
      </w:r>
    </w:p>
    <w:p>
      <w:pPr>
        <w:pStyle w:val="Style11"/>
        <w:numPr>
          <w:ilvl w:val="0"/>
          <w:numId w:val="3"/>
        </w:numPr>
        <w:framePr w:w="4742" w:h="2128" w:hRule="exact" w:wrap="none" w:vAnchor="page" w:hAnchor="page" w:x="477" w:y="6897"/>
        <w:tabs>
          <w:tab w:leader="none" w:pos="77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Vážení zákazníci,</w:t>
      </w:r>
    </w:p>
    <w:p>
      <w:pPr>
        <w:pStyle w:val="Style11"/>
        <w:framePr w:w="4742" w:h="2128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LP Paxlovid (SUKL 0255450) nespadá do běžného režimu degresivní přirážky.</w:t>
        <w:br/>
        <w:t>Opatřením obecné povahy MZČR z 21.12.2022</w:t>
      </w:r>
    </w:p>
    <w:p>
      <w:pPr>
        <w:pStyle w:val="Style11"/>
        <w:framePr w:w="4742" w:h="2128" w:hRule="exact" w:wrap="none" w:vAnchor="page" w:hAnchor="page" w:x="477" w:y="6897"/>
        <w:widowControl w:val="0"/>
        <w:keepNext w:val="0"/>
        <w:keepLines w:val="0"/>
        <w:shd w:val="clear" w:color="auto" w:fill="auto"/>
        <w:bidi w:val="0"/>
        <w:spacing w:before="0" w:after="150" w:line="19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 pevně stanovena max. přirážka pro distributora 500 Kč, pro lékárnu 600 Kč.</w:t>
      </w:r>
    </w:p>
    <w:p>
      <w:pPr>
        <w:pStyle w:val="Style11"/>
        <w:numPr>
          <w:ilvl w:val="0"/>
          <w:numId w:val="3"/>
        </w:numPr>
        <w:framePr w:w="4742" w:h="2128" w:hRule="exact" w:wrap="none" w:vAnchor="page" w:hAnchor="page" w:x="477" w:y="6897"/>
        <w:tabs>
          <w:tab w:leader="none" w:pos="82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1.7.2022 provozní doba call centra Po-Pá 7:30-17:00.</w:t>
      </w:r>
    </w:p>
    <w:p>
      <w:pPr>
        <w:framePr w:wrap="none" w:vAnchor="page" w:hAnchor="page" w:x="4696" w:y="578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24pt;height:86pt;">
            <v:imagedata r:id="rId5" r:href="rId6"/>
          </v:shape>
        </w:pict>
      </w:r>
    </w:p>
    <w:p>
      <w:pPr>
        <w:pStyle w:val="Style27"/>
        <w:framePr w:w="2170" w:h="181" w:hRule="exact" w:wrap="none" w:vAnchor="page" w:hAnchor="page" w:x="4897" w:y="212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29"/>
        </w:rPr>
        <w:t xml:space="preserve">a PHOENIX </w:t>
      </w:r>
      <w:r>
        <w:rPr>
          <w:rStyle w:val="CharStyle29"/>
          <w:lang w:val="fr-FR" w:eastAsia="fr-FR" w:bidi="fr-FR"/>
        </w:rPr>
        <w:t>company</w:t>
      </w:r>
    </w:p>
    <w:p>
      <w:pPr>
        <w:pStyle w:val="Style30"/>
        <w:framePr w:w="3245" w:h="1066" w:hRule="exact" w:wrap="none" w:vAnchor="page" w:hAnchor="page" w:x="4331" w:y="23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(TITULNÍ STRANA)</w:t>
      </w:r>
    </w:p>
    <w:p>
      <w:pPr>
        <w:pStyle w:val="Style32"/>
        <w:framePr w:w="3245" w:h="1066" w:hRule="exact" w:wrap="none" w:vAnchor="page" w:hAnchor="page" w:x="4331" w:y="236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bookmarkStart w:id="2" w:name="bookmark2"/>
      <w:r>
        <w:rPr>
          <w:lang w:val="cs-CZ" w:eastAsia="cs-CZ" w:bidi="cs-CZ"/>
          <w:sz w:val="24"/>
          <w:szCs w:val="24"/>
          <w:spacing w:val="0"/>
          <w:color w:val="000000"/>
          <w:position w:val="0"/>
        </w:rPr>
        <w:t>č. 1242454574</w:t>
      </w:r>
      <w:bookmarkEnd w:id="2"/>
    </w:p>
    <w:p>
      <w:pPr>
        <w:pStyle w:val="Style34"/>
        <w:framePr w:w="3283" w:h="2631" w:hRule="exact" w:wrap="none" w:vAnchor="page" w:hAnchor="page" w:x="7710" w:y="1056"/>
        <w:tabs>
          <w:tab w:leader="none" w:pos="879" w:val="left"/>
        </w:tabs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620" w:right="0" w:firstLine="0"/>
      </w:pPr>
      <w:r>
        <w:rPr>
          <w:lang w:val="cs-CZ" w:eastAsia="cs-CZ" w:bidi="cs-CZ"/>
          <w:w w:val="100"/>
          <w:color w:val="000000"/>
          <w:position w:val="0"/>
        </w:rPr>
        <w:t>1</w:t>
      </w:r>
      <w:r>
        <w:rPr>
          <w:rStyle w:val="CharStyle36"/>
          <w:lang w:val="cs-CZ" w:eastAsia="cs-CZ" w:bidi="cs-CZ"/>
        </w:rPr>
        <w:tab/>
      </w:r>
      <w:r>
        <w:rPr>
          <w:lang w:val="cs-CZ" w:eastAsia="cs-CZ" w:bidi="cs-CZ"/>
          <w:w w:val="100"/>
          <w:color w:val="000000"/>
          <w:position w:val="0"/>
        </w:rPr>
        <w:t>242454574</w:t>
      </w:r>
    </w:p>
    <w:p>
      <w:pPr>
        <w:pStyle w:val="Style3"/>
        <w:framePr w:w="3283" w:h="2631" w:hRule="exact" w:wrap="none" w:vAnchor="page" w:hAnchor="page" w:x="7710" w:y="1056"/>
        <w:tabs>
          <w:tab w:leader="none" w:pos="16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Rozvoz:</w:t>
        <w:tab/>
      </w:r>
      <w:r>
        <w:rPr>
          <w:rStyle w:val="CharStyle37"/>
        </w:rPr>
        <w:t>70</w:t>
      </w:r>
    </w:p>
    <w:p>
      <w:pPr>
        <w:pStyle w:val="Style3"/>
        <w:framePr w:w="3283" w:h="2631" w:hRule="exact" w:wrap="none" w:vAnchor="page" w:hAnchor="page" w:x="7710" w:y="1056"/>
        <w:tabs>
          <w:tab w:leader="none" w:pos="16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cesty:</w:t>
        <w:tab/>
      </w:r>
      <w:r>
        <w:rPr>
          <w:rStyle w:val="CharStyle37"/>
        </w:rPr>
        <w:t>11a</w:t>
      </w:r>
    </w:p>
    <w:p>
      <w:pPr>
        <w:pStyle w:val="Style3"/>
        <w:framePr w:w="3283" w:h="2631" w:hRule="exact" w:wrap="none" w:vAnchor="page" w:hAnchor="page" w:x="7710" w:y="10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Datum dodání: </w:t>
      </w:r>
      <w:r>
        <w:rPr>
          <w:rStyle w:val="CharStyle37"/>
        </w:rPr>
        <w:t>15.10.2024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Číslo komisního listu: </w:t>
      </w:r>
      <w:r>
        <w:rPr>
          <w:rStyle w:val="CharStyle38"/>
        </w:rPr>
        <w:t>1243016</w:t>
      </w:r>
      <w:r>
        <w:rPr>
          <w:rStyle w:val="CharStyle7"/>
        </w:rPr>
        <w:t>392</w:t>
      </w:r>
    </w:p>
    <w:p>
      <w:pPr>
        <w:pStyle w:val="Style11"/>
        <w:framePr w:w="3283" w:h="2631" w:hRule="exact" w:wrap="none" w:vAnchor="page" w:hAnchor="page" w:x="7710" w:y="1056"/>
        <w:tabs>
          <w:tab w:leader="none" w:pos="16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vystavení:</w:t>
        <w:tab/>
      </w:r>
      <w:r>
        <w:rPr>
          <w:rStyle w:val="CharStyle13"/>
        </w:rPr>
        <w:t>15.10.2024 11:58</w:t>
      </w:r>
    </w:p>
    <w:p>
      <w:pPr>
        <w:pStyle w:val="Style11"/>
        <w:framePr w:w="3283" w:h="2631" w:hRule="exact" w:wrap="none" w:vAnchor="page" w:hAnchor="page" w:x="7710" w:y="1056"/>
        <w:tabs>
          <w:tab w:leader="none" w:pos="16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zpracování:</w:t>
        <w:tab/>
      </w:r>
      <w:r>
        <w:rPr>
          <w:rStyle w:val="CharStyle13"/>
        </w:rPr>
        <w:t>15.10.2024 11:07</w:t>
      </w:r>
    </w:p>
    <w:p>
      <w:pPr>
        <w:pStyle w:val="Style11"/>
        <w:framePr w:w="3283" w:h="2631" w:hRule="exact" w:wrap="none" w:vAnchor="page" w:hAnchor="page" w:x="7710" w:y="1056"/>
        <w:tabs>
          <w:tab w:leader="none" w:pos="16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Obj. zpracoval(a):</w:t>
        <w:tab/>
      </w:r>
      <w:r>
        <w:rPr>
          <w:rStyle w:val="CharStyle13"/>
        </w:rPr>
        <w:t>Modem</w:t>
      </w:r>
    </w:p>
    <w:p>
      <w:pPr>
        <w:pStyle w:val="Style11"/>
        <w:framePr w:w="3283" w:h="2631" w:hRule="exact" w:wrap="none" w:vAnchor="page" w:hAnchor="page" w:x="7710" w:y="1056"/>
        <w:tabs>
          <w:tab w:leader="none" w:pos="16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Vyskladněno:</w:t>
        <w:tab/>
      </w:r>
      <w:r>
        <w:rPr>
          <w:rStyle w:val="CharStyle39"/>
        </w:rPr>
        <w:t>OC Praha</w:t>
      </w:r>
    </w:p>
    <w:p>
      <w:pPr>
        <w:pStyle w:val="Style40"/>
        <w:framePr w:w="3283" w:h="2631" w:hRule="exact" w:wrap="none" w:vAnchor="page" w:hAnchor="page" w:x="7710" w:y="1056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Pérovně 945/7, 102 00 Praha 10-Hostivař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10.05pt;margin-top:105.9pt;width:9.35pt;height:250.1pt;z-index:-251658240;mso-position-horizontal-relative:page;mso-position-vertical-relative:page;z-index:-251658751" fillcolor="#808080" stroked="f"/>
        </w:pict>
      </w:r>
      <w:r>
        <w:pict>
          <v:rect style="position:absolute;margin-left:10.05pt;margin-top:369.9pt;width:9.35pt;height:106.1pt;z-index:-251658240;mso-position-horizontal-relative:page;mso-position-vertical-relative:page;z-index:-251658750" fillcolor="#808080" stroked="f"/>
        </w:pict>
      </w:r>
      <w:r>
        <w:pict>
          <v:rect style="position:absolute;margin-left:10.05pt;margin-top:499.95pt;width:9.35pt;height:46.1pt;z-index:-251658240;mso-position-horizontal-relative:page;mso-position-vertical-relative:page;z-index:-251658749" fillcolor="#808080" stroked="f"/>
        </w:pict>
      </w:r>
      <w:r>
        <w:pict>
          <v:rect style="position:absolute;margin-left:8.85pt;margin-top:104.7pt;width:11.5pt;height:252.5pt;z-index:-251658240;mso-position-horizontal-relative:page;mso-position-vertical-relative:page;z-index:-251658748" fillcolor="#808080" stroked="f"/>
        </w:pict>
      </w:r>
      <w:r>
        <w:pict>
          <v:rect style="position:absolute;margin-left:8.85pt;margin-top:368.7pt;width:11.5pt;height:108.5pt;z-index:-251658240;mso-position-horizontal-relative:page;mso-position-vertical-relative:page;z-index:-251658747" fillcolor="#808080" stroked="f"/>
        </w:pict>
      </w:r>
      <w:r>
        <w:pict>
          <v:rect style="position:absolute;margin-left:21.1pt;margin-top:116.9pt;width:555.1pt;height:12.pt;z-index:-251658240;mso-position-horizontal-relative:page;mso-position-vertical-relative:page;z-index:-251658746" fillcolor="#BFBFBF" stroked="f"/>
        </w:pict>
      </w:r>
      <w:r>
        <w:pict>
          <v:rect style="position:absolute;margin-left:21.1pt;margin-top:140.9pt;width:555.1pt;height:12.pt;z-index:-251658240;mso-position-horizontal-relative:page;mso-position-vertical-relative:page;z-index:-251658745" fillcolor="#BFBFBF" stroked="f"/>
        </w:pict>
      </w:r>
      <w:r>
        <w:pict>
          <v:rect style="position:absolute;margin-left:21.1pt;margin-top:164.9pt;width:555.1pt;height:12.pt;z-index:-251658240;mso-position-horizontal-relative:page;mso-position-vertical-relative:page;z-index:-251658744" fillcolor="#BFBFBF" stroked="f"/>
        </w:pict>
      </w:r>
      <w:r>
        <w:pict>
          <v:rect style="position:absolute;margin-left:21.1pt;margin-top:188.9pt;width:555.1pt;height:12.pt;z-index:-251658240;mso-position-horizontal-relative:page;mso-position-vertical-relative:page;z-index:-251658743" fillcolor="#BFBFBF" stroked="f"/>
        </w:pict>
      </w:r>
      <w:r>
        <w:pict>
          <v:rect style="position:absolute;margin-left:21.1pt;margin-top:212.9pt;width:555.1pt;height:12.pt;z-index:-251658240;mso-position-horizontal-relative:page;mso-position-vertical-relative:page;z-index:-251658742" fillcolor="#BFBFBF" stroked="f"/>
        </w:pict>
      </w:r>
      <w:r>
        <w:pict>
          <v:rect style="position:absolute;margin-left:21.1pt;margin-top:236.9pt;width:555.1pt;height:12.pt;z-index:-251658240;mso-position-horizontal-relative:page;mso-position-vertical-relative:page;z-index:-251658741" fillcolor="#BFBFBF" stroked="f"/>
        </w:pict>
      </w:r>
      <w:r>
        <w:pict>
          <v:rect style="position:absolute;margin-left:21.1pt;margin-top:260.9pt;width:555.1pt;height:12.pt;z-index:-251658240;mso-position-horizontal-relative:page;mso-position-vertical-relative:page;z-index:-251658740" fillcolor="#BFBFBF" stroked="f"/>
        </w:pict>
      </w:r>
      <w:r>
        <w:pict>
          <v:rect style="position:absolute;margin-left:21.1pt;margin-top:284.9pt;width:555.1pt;height:12.pt;z-index:-251658240;mso-position-horizontal-relative:page;mso-position-vertical-relative:page;z-index:-251658739" fillcolor="#BFBFBF" stroked="f"/>
        </w:pict>
      </w:r>
      <w:r>
        <w:pict>
          <v:rect style="position:absolute;margin-left:21.1pt;margin-top:308.9pt;width:555.1pt;height:12.pt;z-index:-251658240;mso-position-horizontal-relative:page;mso-position-vertical-relative:page;z-index:-251658738" fillcolor="#BFBFBF" stroked="f"/>
        </w:pict>
      </w:r>
      <w:r>
        <w:pict>
          <v:rect style="position:absolute;margin-left:21.1pt;margin-top:332.9pt;width:555.1pt;height:12.pt;z-index:-251658240;mso-position-horizontal-relative:page;mso-position-vertical-relative:page;z-index:-251658737" fillcolor="#BFBFBF" stroked="f"/>
        </w:pict>
      </w:r>
      <w:r>
        <w:pict>
          <v:rect style="position:absolute;margin-left:21.1pt;margin-top:356.9pt;width:555.1pt;height:12.pt;z-index:-251658240;mso-position-horizontal-relative:page;mso-position-vertical-relative:page;z-index:-251658736" fillcolor="#BFBFBF" stroked="f"/>
        </w:pict>
      </w:r>
      <w:r>
        <w:pict>
          <v:rect style="position:absolute;margin-left:21.1pt;margin-top:380.9pt;width:555.1pt;height:12.pt;z-index:-251658240;mso-position-horizontal-relative:page;mso-position-vertical-relative:page;z-index:-251658735" fillcolor="#BFBFBF" stroked="f"/>
        </w:pict>
      </w:r>
      <w:r>
        <w:pict>
          <v:rect style="position:absolute;margin-left:21.1pt;margin-top:404.9pt;width:555.1pt;height:12.pt;z-index:-251658240;mso-position-horizontal-relative:page;mso-position-vertical-relative:page;z-index:-251658734" fillcolor="#BFBFBF" stroked="f"/>
        </w:pict>
      </w:r>
      <w:r>
        <w:pict>
          <v:rect style="position:absolute;margin-left:21.1pt;margin-top:428.9pt;width:555.1pt;height:12.pt;z-index:-251658240;mso-position-horizontal-relative:page;mso-position-vertical-relative:page;z-index:-251658733" fillcolor="#BFBFBF" stroked="f"/>
        </w:pict>
      </w:r>
      <w:r>
        <w:pict>
          <v:rect style="position:absolute;margin-left:21.1pt;margin-top:452.9pt;width:555.1pt;height:12.pt;z-index:-251658240;mso-position-horizontal-relative:page;mso-position-vertical-relative:page;z-index:-251658732" fillcolor="#BFBFBF" stroked="f"/>
        </w:pict>
      </w:r>
      <w:r>
        <w:pict>
          <v:rect style="position:absolute;margin-left:21.1pt;margin-top:511.pt;width:555.1pt;height:12.pt;z-index:-251658240;mso-position-horizontal-relative:page;mso-position-vertical-relative:page;z-index:-251658731" fillcolor="#BFBFBF" stroked="f"/>
        </w:pict>
      </w:r>
      <w:r>
        <w:pict>
          <v:rect style="position:absolute;margin-left:21.1pt;margin-top:535.pt;width:555.1pt;height:12.pt;z-index:-251658240;mso-position-horizontal-relative:page;mso-position-vertical-relative:page;z-index:-251658730" fillcolor="#BFBFBF" stroked="f"/>
        </w:pict>
      </w:r>
    </w:p>
    <w:p>
      <w:pPr>
        <w:pStyle w:val="Style42"/>
        <w:framePr w:w="11318" w:h="777" w:hRule="exact" w:wrap="none" w:vAnchor="page" w:hAnchor="page" w:x="235" w:y="477"/>
        <w:widowControl w:val="0"/>
        <w:keepNext w:val="0"/>
        <w:keepLines w:val="0"/>
        <w:shd w:val="clear" w:color="auto" w:fill="auto"/>
        <w:bidi w:val="0"/>
        <w:spacing w:before="0" w:after="0"/>
        <w:ind w:left="180" w:right="7968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44"/>
        </w:rPr>
        <w:t>..............</w:t>
      </w:r>
      <w:r>
        <w:rPr>
          <w:rStyle w:val="CharStyle45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15.10.2024 11:58</w:t>
        <w:br/>
        <w:t xml:space="preserve">Číslo komisního listu: </w:t>
      </w:r>
      <w:r>
        <w:rPr>
          <w:rStyle w:val="CharStyle45"/>
        </w:rPr>
        <w:t>1243016392</w:t>
      </w:r>
    </w:p>
    <w:p>
      <w:pPr>
        <w:pStyle w:val="Style30"/>
        <w:framePr w:wrap="none" w:vAnchor="page" w:hAnchor="page" w:x="4627" w:y="75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 1242454574</w:t>
      </w:r>
    </w:p>
    <w:p>
      <w:pPr>
        <w:pStyle w:val="Style30"/>
        <w:framePr w:w="2712" w:h="778" w:hRule="exact" w:wrap="none" w:vAnchor="page" w:hAnchor="page" w:x="8703" w:y="477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</w:p>
    <w:p>
      <w:pPr>
        <w:pStyle w:val="Style42"/>
        <w:framePr w:w="2712" w:h="778" w:hRule="exact" w:wrap="none" w:vAnchor="page" w:hAnchor="page" w:x="8703" w:y="47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</w:t>
        <w:br/>
        <w:t>Strana: 1 / 1</w:t>
      </w:r>
    </w:p>
    <w:tbl>
      <w:tblPr>
        <w:tblOverlap w:val="never"/>
        <w:tblLayout w:type="fixed"/>
        <w:jc w:val="left"/>
      </w:tblPr>
      <w:tblGrid>
        <w:gridCol w:w="163"/>
        <w:gridCol w:w="643"/>
        <w:gridCol w:w="3494"/>
        <w:gridCol w:w="475"/>
        <w:gridCol w:w="1094"/>
        <w:gridCol w:w="816"/>
        <w:gridCol w:w="504"/>
        <w:gridCol w:w="686"/>
        <w:gridCol w:w="720"/>
        <w:gridCol w:w="250"/>
        <w:gridCol w:w="725"/>
        <w:gridCol w:w="763"/>
        <w:gridCol w:w="955"/>
      </w:tblGrid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46"/>
                <w:lang w:val="cs-CZ" w:eastAsia="cs-CZ" w:bidi="cs-CZ"/>
              </w:rPr>
              <w:t>SÚKL/VZP/ÚSKVBL/APA Název zboží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00" w:firstLine="0"/>
            </w:pPr>
            <w:r>
              <w:rPr>
                <w:rStyle w:val="CharStyle46"/>
                <w:lang w:val="cs-CZ" w:eastAsia="cs-CZ" w:bidi="cs-CZ"/>
              </w:rPr>
              <w:t>Počet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240" w:firstLine="0"/>
            </w:pPr>
            <w:r>
              <w:rPr>
                <w:rStyle w:val="CharStyle46"/>
                <w:lang w:val="cs-CZ" w:eastAsia="cs-CZ" w:bidi="cs-CZ"/>
              </w:rPr>
              <w:t>Šarže Exp.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46"/>
              </w:rPr>
              <w:t>%OP PLV/vc.D</w:t>
            </w:r>
            <w:r>
              <w:rPr>
                <w:rStyle w:val="CharStyle47"/>
              </w:rPr>
              <w:t>i</w:t>
            </w:r>
            <w:r>
              <w:rPr>
                <w:rStyle w:val="CharStyle46"/>
              </w:rPr>
              <w:t>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46"/>
              </w:rPr>
              <w:t xml:space="preserve">DiP </w:t>
            </w:r>
            <w:r>
              <w:rPr>
                <w:rStyle w:val="CharStyle46"/>
                <w:lang w:val="cs-CZ" w:eastAsia="cs-CZ" w:bidi="cs-CZ"/>
              </w:rPr>
              <w:t>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46"/>
              </w:rPr>
              <w:t xml:space="preserve">CP </w:t>
            </w:r>
            <w:r>
              <w:rPr>
                <w:rStyle w:val="CharStyle46"/>
                <w:lang w:val="cs-CZ" w:eastAsia="cs-CZ" w:bidi="cs-CZ"/>
              </w:rPr>
              <w:t xml:space="preserve">bez </w:t>
            </w:r>
            <w:r>
              <w:rPr>
                <w:rStyle w:val="CharStyle46"/>
              </w:rPr>
              <w:t>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46"/>
              </w:rPr>
              <w:t>PC bez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0" w:right="0" w:firstLine="0"/>
            </w:pPr>
            <w:r>
              <w:rPr>
                <w:rStyle w:val="CharStyle46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46"/>
              </w:rPr>
              <w:t>PC s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20" w:lineRule="exact"/>
              <w:ind w:left="0" w:right="0" w:firstLine="0"/>
            </w:pPr>
            <w:r>
              <w:rPr>
                <w:rStyle w:val="CharStyle46"/>
              </w:rPr>
              <w:t>VZP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48"/>
              </w:rPr>
              <w:t>ndsc#</w:t>
            </w:r>
            <w:r>
              <w:rPr>
                <w:rStyle w:val="CharStyle48"/>
                <w:vertAlign w:val="superscript"/>
              </w:rPr>
              <w:t>2</w:t>
            </w:r>
            <w:r>
              <w:rPr>
                <w:rStyle w:val="CharStyle48"/>
              </w:rPr>
              <w:t>/mj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</w:rPr>
              <w:t xml:space="preserve">R </w:t>
            </w:r>
            <w:r>
              <w:rPr>
                <w:rStyle w:val="CharStyle17"/>
                <w:lang w:val="cs-CZ" w:eastAsia="cs-CZ" w:bidi="cs-CZ"/>
              </w:rPr>
              <w:t xml:space="preserve">E </w:t>
            </w:r>
            <w:r>
              <w:rPr>
                <w:rStyle w:val="CharStyle17"/>
              </w:rPr>
              <w:t xml:space="preserve">G U </w:t>
            </w:r>
            <w:r>
              <w:rPr>
                <w:rStyle w:val="CharStyle17"/>
                <w:lang w:val="cs-CZ" w:eastAsia="cs-CZ" w:bidi="cs-CZ"/>
              </w:rPr>
              <w:t xml:space="preserve">L O V </w:t>
            </w:r>
            <w:r>
              <w:rPr>
                <w:rStyle w:val="CharStyle17"/>
              </w:rPr>
              <w:t xml:space="preserve">A N </w:t>
            </w:r>
            <w:r>
              <w:rPr>
                <w:rStyle w:val="CharStyle17"/>
                <w:lang w:val="cs-CZ" w:eastAsia="cs-CZ" w:bidi="cs-CZ"/>
              </w:rPr>
              <w:t>É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</w:rPr>
              <w:t xml:space="preserve">P </w:t>
            </w:r>
            <w:r>
              <w:rPr>
                <w:rStyle w:val="CharStyle17"/>
                <w:lang w:val="cs-CZ" w:eastAsia="cs-CZ" w:bidi="cs-CZ"/>
              </w:rPr>
              <w:t xml:space="preserve">Ř Í </w:t>
            </w:r>
            <w:r>
              <w:rPr>
                <w:rStyle w:val="CharStyle17"/>
              </w:rPr>
              <w:t>P R A V K 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0223519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Aspirin Protect 100mg tbl.ent.98x100mg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BT18VG1 02/27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0234265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Atorvastatin Mylan 10mg </w:t>
            </w:r>
            <w:r>
              <w:rPr>
                <w:rStyle w:val="CharStyle51"/>
                <w:lang w:val="en-US" w:eastAsia="en-US" w:bidi="en-US"/>
              </w:rPr>
              <w:t>tbl.flm.100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8164745 05/26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0231697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Betaloc ZOK 26mg tbl.pro.28x26mg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W240504 11/26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0267187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Betoptic S 2.6mg/ml oph.gtt.sus.1x6ml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VR697F 03/25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0194728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Brintellix 10mg </w:t>
            </w:r>
            <w:r>
              <w:rPr>
                <w:rStyle w:val="CharStyle51"/>
                <w:lang w:val="en-US" w:eastAsia="en-US" w:bidi="en-US"/>
              </w:rPr>
              <w:t>tbl.flm.98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2804530 04/28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0194718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Brintellix </w:t>
            </w:r>
            <w:r>
              <w:rPr>
                <w:rStyle w:val="CharStyle51"/>
                <w:lang w:val="en-US" w:eastAsia="en-US" w:bidi="en-US"/>
              </w:rPr>
              <w:t xml:space="preserve">6mg </w:t>
            </w:r>
            <w:r>
              <w:rPr>
                <w:rStyle w:val="CharStyle51"/>
              </w:rPr>
              <w:t>tbl.flm.28x6mg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2794707 12/27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0221713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Cosopt bez konz.pris. 20+6mg/ml oph.gtt.sol.1x10ml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B0244C1 04/26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0168838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Dasselta 6mg por.tbl.flm. 90x6mg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DE3452 06/29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0174005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Dicloabak 1mg/ml oph.gtt.sol.1x10ml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1T28 09/25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0193745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Eliquis 6MG TBL FLM 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LC8134 07/26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0267161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Epipen 300mcg </w:t>
            </w:r>
            <w:r>
              <w:rPr>
                <w:rStyle w:val="CharStyle51"/>
                <w:lang w:val="en-US" w:eastAsia="en-US" w:bidi="en-US"/>
              </w:rPr>
              <w:t>inj.sol.pep.1x0.3ml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3KB594A 07/25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0087076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Erdomed 300mg </w:t>
            </w:r>
            <w:r>
              <w:rPr>
                <w:rStyle w:val="CharStyle51"/>
                <w:lang w:val="en-US" w:eastAsia="en-US" w:bidi="en-US"/>
              </w:rPr>
              <w:t>cps.dur.20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0621 03/29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0253478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Euphyllin CR N 200mg </w:t>
            </w:r>
            <w:r>
              <w:rPr>
                <w:rStyle w:val="CharStyle51"/>
                <w:lang w:val="en-US" w:eastAsia="en-US" w:bidi="en-US"/>
              </w:rPr>
              <w:t>cps.pro.60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551882 02/28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0276555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Euthyrox 160mcg </w:t>
            </w:r>
            <w:r>
              <w:rPr>
                <w:rStyle w:val="CharStyle51"/>
                <w:lang w:val="en-US" w:eastAsia="en-US" w:bidi="en-US"/>
              </w:rPr>
              <w:t xml:space="preserve">tbl.nob.90 </w:t>
            </w:r>
            <w:r>
              <w:rPr>
                <w:rStyle w:val="CharStyle51"/>
              </w:rPr>
              <w:t>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G02899 11/26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0203821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FULLHALE 26/260mcg/davka inh.sus.pss.120x26/260rg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4GB0589 02/26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0162748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Isoprinosine 600mg </w:t>
            </w:r>
            <w:r>
              <w:rPr>
                <w:rStyle w:val="CharStyle51"/>
                <w:lang w:val="en-US" w:eastAsia="en-US" w:bidi="en-US"/>
              </w:rPr>
              <w:t>tbl.nob.100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22DQ156 04/27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0017189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Kalium Chloratum Biomedica 600mg </w:t>
            </w:r>
            <w:r>
              <w:rPr>
                <w:rStyle w:val="CharStyle51"/>
                <w:lang w:val="en-US" w:eastAsia="en-US" w:bidi="en-US"/>
              </w:rPr>
              <w:t>tbl.ent.100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793624 05/27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0190924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Lannatam 0.4mg </w:t>
            </w:r>
            <w:r>
              <w:rPr>
                <w:rStyle w:val="CharStyle51"/>
                <w:lang w:val="en-US" w:eastAsia="en-US" w:bidi="en-US"/>
              </w:rPr>
              <w:t>cps.rdr.100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F06122 03/26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0114067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Lozap 60 Zentiva por.tbl.flm.90x60mg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2070324 02/26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0055636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Ofloxin 200 por.tbl.flm.10x200mg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3051123 10/26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0164979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Omeprazol Teva Pharma 20mg </w:t>
            </w:r>
            <w:r>
              <w:rPr>
                <w:rStyle w:val="CharStyle51"/>
                <w:lang w:val="en-US" w:eastAsia="en-US" w:bidi="en-US"/>
              </w:rPr>
              <w:t>cps.etd.100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16071 08/25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0255450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Paxlovid 160mg+100mg tbl.flm.30(20+10)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HW3760 04/25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.....​...........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.....​...........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0211504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Pragiola 76mg por.cps.dur.66x76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SM7069 03/27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0247206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Prednison AVMC 10mg tbl.nob.40x10mg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235840 11/26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0030805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Remood 20mg tbl.flm.30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T41128B 01/29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0253336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Sectral 400mg tbl.flm.30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3R586 03/26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0254591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Singulair 10mg </w:t>
            </w:r>
            <w:r>
              <w:rPr>
                <w:rStyle w:val="CharStyle51"/>
                <w:lang w:val="en-US" w:eastAsia="en-US" w:bidi="en-US"/>
              </w:rPr>
              <w:t>tbl.flm.98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B109228 12/26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0125641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Tenaxum por.tbl.nob.90x1mg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6097006 02/26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0167667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Tolura 40mg </w:t>
            </w:r>
            <w:r>
              <w:rPr>
                <w:rStyle w:val="CharStyle51"/>
                <w:lang w:val="en-US" w:eastAsia="en-US" w:bidi="en-US"/>
              </w:rPr>
              <w:t>tbl.nob.30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DE2022 04/27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0222657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Trelegy Ellipta 92/66/22mcg inh.plv.dos.1x30dav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de-DE" w:eastAsia="de-DE" w:bidi="de-DE"/>
              </w:rPr>
              <w:t>EA3T 08/25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...​...........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...​...........</w:t>
            </w:r>
          </w:p>
        </w:tc>
      </w:tr>
      <w:tr>
        <w:trPr>
          <w:trHeight w:val="288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0094114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en-US" w:eastAsia="en-US" w:bidi="en-US"/>
              </w:rPr>
              <w:t xml:space="preserve">Warfarin </w:t>
            </w:r>
            <w:r>
              <w:rPr>
                <w:rStyle w:val="CharStyle51"/>
              </w:rPr>
              <w:t>Orion 6mg por.tbl.nob.100x6mg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2206695 03/27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</w:t>
            </w:r>
            <w:r>
              <w:rPr>
                <w:rStyle w:val="CharStyle53"/>
              </w:rPr>
              <w:t>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4"/>
              </w:rPr>
              <w:t>...........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</w:rPr>
              <w:t xml:space="preserve">R E G </w:t>
            </w:r>
            <w:r>
              <w:rPr>
                <w:rStyle w:val="CharStyle17"/>
                <w:lang w:val="de-DE" w:eastAsia="de-DE" w:bidi="de-DE"/>
              </w:rPr>
              <w:t xml:space="preserve">I </w:t>
            </w:r>
            <w:r>
              <w:rPr>
                <w:rStyle w:val="CharStyle17"/>
              </w:rPr>
              <w:t xml:space="preserve">S T R </w:t>
            </w:r>
            <w:r>
              <w:rPr>
                <w:rStyle w:val="CharStyle17"/>
                <w:lang w:val="cs-CZ" w:eastAsia="cs-CZ" w:bidi="cs-CZ"/>
              </w:rPr>
              <w:t xml:space="preserve">O </w:t>
            </w:r>
            <w:r>
              <w:rPr>
                <w:rStyle w:val="CharStyle17"/>
                <w:lang w:val="de-DE" w:eastAsia="de-DE" w:bidi="de-DE"/>
              </w:rPr>
              <w:t xml:space="preserve">V </w:t>
            </w:r>
            <w:r>
              <w:rPr>
                <w:rStyle w:val="CharStyle17"/>
              </w:rPr>
              <w:t>A N É</w:t>
            </w:r>
          </w:p>
        </w:tc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</w:rPr>
              <w:t xml:space="preserve">N E R E G U L </w:t>
            </w:r>
            <w:r>
              <w:rPr>
                <w:rStyle w:val="CharStyle17"/>
                <w:lang w:val="cs-CZ" w:eastAsia="cs-CZ" w:bidi="cs-CZ"/>
              </w:rPr>
              <w:t xml:space="preserve">O </w:t>
            </w:r>
            <w:r>
              <w:rPr>
                <w:rStyle w:val="CharStyle17"/>
              </w:rPr>
              <w:t>V A N É</w:t>
            </w:r>
          </w:p>
        </w:tc>
        <w:tc>
          <w:tcPr>
            <w:shd w:val="clear" w:color="auto" w:fill="FFFFFF"/>
            <w:gridSpan w:val="4"/>
            <w:tcBorders/>
            <w:vAlign w:val="top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80" w:right="0" w:firstLine="0"/>
            </w:pPr>
            <w:r>
              <w:rPr>
                <w:rStyle w:val="CharStyle17"/>
              </w:rPr>
              <w:t xml:space="preserve">P </w:t>
            </w:r>
            <w:r>
              <w:rPr>
                <w:rStyle w:val="CharStyle17"/>
                <w:lang w:val="cs-CZ" w:eastAsia="cs-CZ" w:bidi="cs-CZ"/>
              </w:rPr>
              <w:t xml:space="preserve">Ř Í </w:t>
            </w:r>
            <w:r>
              <w:rPr>
                <w:rStyle w:val="CharStyle17"/>
              </w:rPr>
              <w:t>P R A V K Y#</w:t>
            </w:r>
            <w:r>
              <w:rPr>
                <w:rStyle w:val="CharStyle17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0230562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Aidee 2mg/0.03mg </w:t>
            </w:r>
            <w:r>
              <w:rPr>
                <w:rStyle w:val="CharStyle51"/>
                <w:lang w:val="en-US" w:eastAsia="en-US" w:bidi="en-US"/>
              </w:rPr>
              <w:t xml:space="preserve">tbl.flm.63 </w:t>
            </w:r>
            <w:r>
              <w:rPr>
                <w:rStyle w:val="CharStyle51"/>
              </w:rPr>
              <w:t>(3x21)KAL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241324 02/27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386,94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433,37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669,00</w:t>
            </w:r>
          </w:p>
        </w:tc>
      </w:tr>
      <w:tr>
        <w:trPr>
          <w:trHeight w:val="2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0171030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>Bonadea por.tbl.flm. 3x21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3010224 01/27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463,68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508,12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0,00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660,70</w:t>
            </w:r>
          </w:p>
        </w:tc>
      </w:tr>
      <w:tr>
        <w:trPr>
          <w:trHeight w:val="254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0172410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Nalgesin S 276mg </w:t>
            </w:r>
            <w:r>
              <w:rPr>
                <w:rStyle w:val="CharStyle51"/>
                <w:lang w:val="en-US" w:eastAsia="en-US" w:bidi="en-US"/>
              </w:rPr>
              <w:t xml:space="preserve">tbl.flm.40x1 </w:t>
            </w:r>
            <w:r>
              <w:rPr>
                <w:rStyle w:val="CharStyle51"/>
              </w:rPr>
              <w:t>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V38125 01/29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146,88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163,39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209,00</w:t>
            </w:r>
          </w:p>
        </w:tc>
      </w:tr>
      <w:tr>
        <w:trPr>
          <w:trHeight w:val="235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0150123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1"/>
              </w:rPr>
              <w:t xml:space="preserve">Nicorette Classic Gum 4mg </w:t>
            </w:r>
            <w:r>
              <w:rPr>
                <w:rStyle w:val="CharStyle51"/>
                <w:lang w:val="en-US" w:eastAsia="en-US" w:bidi="en-US"/>
              </w:rPr>
              <w:t>gum.mnd.106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0" w:firstLine="0"/>
            </w:pPr>
            <w:r>
              <w:rPr>
                <w:rStyle w:val="CharStyle51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BY185 08/26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1290" w:h="9672" w:wrap="none" w:vAnchor="page" w:hAnchor="page" w:x="235" w:y="12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648,77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21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0"/>
                <w:lang w:val="fr-FR" w:eastAsia="fr-FR" w:bidi="fr-FR"/>
              </w:rPr>
              <w:t>785,01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0,00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1290" w:h="9672" w:wrap="none" w:vAnchor="page" w:hAnchor="page" w:x="235" w:y="126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1"/>
                <w:lang w:val="fr-FR" w:eastAsia="fr-FR" w:bidi="fr-FR"/>
              </w:rPr>
              <w:t>943,60</w:t>
            </w:r>
          </w:p>
        </w:tc>
      </w:tr>
    </w:tbl>
    <w:tbl>
      <w:tblPr>
        <w:tblOverlap w:val="never"/>
        <w:tblLayout w:type="fixed"/>
        <w:jc w:val="left"/>
      </w:tblPr>
      <w:tblGrid>
        <w:gridCol w:w="3312"/>
        <w:gridCol w:w="1406"/>
        <w:gridCol w:w="874"/>
        <w:gridCol w:w="1186"/>
        <w:gridCol w:w="1152"/>
        <w:gridCol w:w="1018"/>
        <w:gridCol w:w="1205"/>
        <w:gridCol w:w="941"/>
      </w:tblGrid>
      <w:tr>
        <w:trPr>
          <w:trHeight w:val="28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55"/>
              </w:rPr>
              <w:t>REKAPITULACE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60" w:firstLine="0"/>
            </w:pPr>
            <w:r>
              <w:rPr>
                <w:rStyle w:val="CharStyle55"/>
              </w:rPr>
              <w:t>Základ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55"/>
              </w:rPr>
              <w:t>DiP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220" w:right="0" w:firstLine="0"/>
            </w:pPr>
            <w:r>
              <w:rPr>
                <w:rStyle w:val="CharStyle55"/>
              </w:rPr>
              <w:t>DPH vst.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55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00" w:firstLine="0"/>
            </w:pPr>
            <w:r>
              <w:rPr>
                <w:rStyle w:val="CharStyle55"/>
              </w:rPr>
              <w:t>Přir.lék.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300" w:firstLine="0"/>
            </w:pPr>
            <w:r>
              <w:rPr>
                <w:rStyle w:val="CharStyle55"/>
              </w:rPr>
              <w:t>DPH výst.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55"/>
              </w:rPr>
              <w:t>NDSC</w:t>
            </w:r>
            <w:r>
              <w:rPr>
                <w:rStyle w:val="CharStyle56"/>
              </w:rPr>
              <w:t>#</w:t>
            </w:r>
            <w:r>
              <w:rPr>
                <w:rStyle w:val="CharStyle56"/>
                <w:vertAlign w:val="superscript"/>
              </w:rPr>
              <w:t>2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60" w:firstLine="0"/>
            </w:pPr>
            <w:r>
              <w:rPr>
                <w:rStyle w:val="CharStyle55"/>
              </w:rPr>
              <w:t>vč. DiP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50"/>
              </w:rPr>
              <w:t>Regulované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0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55"/>
              </w:rPr>
              <w:t>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0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50"/>
              </w:rPr>
              <w:t>Registrované neregulované#</w:t>
            </w:r>
            <w:r>
              <w:rPr>
                <w:rStyle w:val="CharStyle50"/>
                <w:vertAlign w:val="superscript"/>
              </w:rPr>
              <w:t>3</w:t>
            </w:r>
            <w:r>
              <w:rPr>
                <w:rStyle w:val="CharStyle50"/>
              </w:rPr>
              <w:t xml:space="preserve">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0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50"/>
              </w:rPr>
              <w:t>Registrované neregulované#</w:t>
            </w:r>
            <w:r>
              <w:rPr>
                <w:rStyle w:val="CharStyle50"/>
                <w:vertAlign w:val="superscript"/>
              </w:rPr>
              <w:t>3</w:t>
            </w:r>
            <w:r>
              <w:rPr>
                <w:rStyle w:val="CharStyle50"/>
              </w:rPr>
              <w:t xml:space="preserve"> 21%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0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55"/>
              </w:rPr>
              <w:t>Registrované neregulované</w:t>
            </w:r>
            <w:r>
              <w:rPr>
                <w:rStyle w:val="CharStyle56"/>
              </w:rPr>
              <w:t>#</w:t>
            </w:r>
            <w:r>
              <w:rPr>
                <w:rStyle w:val="CharStyle56"/>
                <w:vertAlign w:val="superscript"/>
              </w:rPr>
              <w:t>3</w:t>
            </w:r>
            <w:r>
              <w:rPr>
                <w:rStyle w:val="CharStyle55"/>
              </w:rPr>
              <w:t xml:space="preserve">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0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55"/>
              </w:rPr>
              <w:t>CELKEM za doklad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300" w:firstLine="0"/>
            </w:pPr>
            <w:r>
              <w:rPr>
                <w:rStyle w:val="CharStyle52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52"/>
                <w:lang w:val="cs-CZ" w:eastAsia="cs-CZ" w:bidi="cs-CZ"/>
              </w:rPr>
              <w:t>.......​...........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55"/>
              </w:rPr>
              <w:t>Přehled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60" w:firstLine="0"/>
            </w:pPr>
            <w:r>
              <w:rPr>
                <w:rStyle w:val="CharStyle55"/>
              </w:rPr>
              <w:t>Základ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55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55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50"/>
              </w:rPr>
              <w:t>DPH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0"/>
              </w:rPr>
              <w:t>80 599,97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9 671,99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90 271,96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50"/>
              </w:rPr>
              <w:t>DPH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0"/>
              </w:rPr>
              <w:t>648,77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136,24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785,01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80" w:right="0" w:firstLine="0"/>
            </w:pPr>
            <w:r>
              <w:rPr>
                <w:rStyle w:val="CharStyle55"/>
              </w:rPr>
              <w:t>Celkem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0"/>
              </w:rPr>
              <w:t>81 248,74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9 808,23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11"/>
              <w:framePr w:w="11093" w:h="3000" w:wrap="none" w:vAnchor="page" w:hAnchor="page" w:x="461" w:y="110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91 056,97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1093" w:h="3000" w:wrap="none" w:vAnchor="page" w:hAnchor="page" w:x="461" w:y="1107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7"/>
        <w:framePr w:w="11021" w:h="539" w:hRule="exact" w:wrap="none" w:vAnchor="page" w:hAnchor="page" w:x="394" w:y="141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#2 nezávazná doporučená spotřebitelská cena podle §13, odst. 3 zákona č.526/1990 Sb. o cenách</w:t>
      </w:r>
    </w:p>
    <w:p>
      <w:pPr>
        <w:pStyle w:val="Style57"/>
        <w:framePr w:w="11021" w:h="539" w:hRule="exact" w:wrap="none" w:vAnchor="page" w:hAnchor="page" w:x="394" w:y="141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#3 u přípravků se SUKL kódem vyjmutých z cenové regulace uvádíme na přechodnou dobu NDSC v původní výši. Upozorňujeme, že rozhodnutí o stanovení prodejní ceny zůstává plně v kompetenci lékárny.</w:t>
        <w:br/>
        <w:t>#6 uplatněn distribuční poplatek a podíl na OP na základě Cenového předpisu MZ ČR s účinností od 1.1.2024</w:t>
      </w:r>
    </w:p>
    <w:p>
      <w:pPr>
        <w:pStyle w:val="Style32"/>
        <w:framePr w:w="11318" w:h="292" w:hRule="exact" w:wrap="none" w:vAnchor="page" w:hAnchor="page" w:x="235" w:y="1464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120" w:firstLine="0"/>
      </w:pPr>
      <w:bookmarkStart w:id="3" w:name="bookmark3"/>
      <w:r>
        <w:rPr>
          <w:lang w:val="cs-CZ" w:eastAsia="cs-CZ" w:bidi="cs-CZ"/>
          <w:sz w:val="24"/>
          <w:szCs w:val="24"/>
          <w:spacing w:val="0"/>
          <w:color w:val="000000"/>
          <w:position w:val="0"/>
        </w:rPr>
        <w:t>Děkujeme Vám za Vaši objednávku</w:t>
      </w:r>
      <w:bookmarkEnd w:id="3"/>
    </w:p>
    <w:p>
      <w:pPr>
        <w:pStyle w:val="Style40"/>
        <w:framePr w:w="11318" w:h="1335" w:hRule="exact" w:wrap="none" w:vAnchor="page" w:hAnchor="page" w:x="235" w:y="15024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3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lékárenský velkoobchod, s.r.o. tímto prohlašuje, že veškeré předměty běžného užívání ve smyslu zákona č. 258/2000 Sb., o ochraně veřejného zdraví, ve znění pozdějších předpisů,</w:t>
        <w:br/>
        <w:t>které prodává svým odběratelům, splňují hygienické požadavky stanovené tímto zákonem a prováděcími předpisy, tj. vyhláškami Ministerstva zdravotnictví č. 38/2001 Sb., 84/2001 Sb., 409/2005 Sb. a</w:t>
        <w:br/>
        <w:t>448/2009 Sb. v aktuálním znění.</w:t>
      </w:r>
    </w:p>
    <w:p>
      <w:pPr>
        <w:pStyle w:val="Style40"/>
        <w:framePr w:w="11318" w:h="1335" w:hRule="exact" w:wrap="none" w:vAnchor="page" w:hAnchor="page" w:x="235" w:y="15024"/>
        <w:widowControl w:val="0"/>
        <w:keepNext w:val="0"/>
        <w:keepLines w:val="0"/>
        <w:shd w:val="clear" w:color="auto" w:fill="auto"/>
        <w:bidi w:val="0"/>
        <w:jc w:val="left"/>
        <w:spacing w:before="0" w:after="0" w:line="158" w:lineRule="exact"/>
        <w:ind w:left="180" w:right="10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tímto ujišťuje, že pro všechny distribuované výrobky, na které se tato povinnost vztahuje, obdržela od výrobců či dodavatelů ujištění o vydání prohlášení o shodě podle</w:t>
        <w:br/>
        <w:t>ust. §13 zákona č. 22/1997 Sb., o technických požadavcích na výrobky, ve znění pozdějších předpisů.</w:t>
        <w:br/>
        <w:t>n Společnost PHOENIX plní veškeré povinnosti v oblasti nakládání s obaly prostřednictvím Smlouvy o sdruženém plnění, uzavřené se společností EKO-KOM, a.s.</w:t>
        <w:br/>
        <w:t>n Bioprodukty kontrolovány CZ-BIO-003.</w:t>
      </w:r>
    </w:p>
    <w:p>
      <w:pPr>
        <w:pStyle w:val="Style40"/>
        <w:framePr w:w="11318" w:h="1335" w:hRule="exact" w:wrap="none" w:vAnchor="page" w:hAnchor="page" w:x="235" w:y="1502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1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Reklamace je nutné uplatňovat v souladu s platným reklamačním řádem firmy PHOENIX.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5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Základní text (5) + Arial Narrow,Tučné,Řádkování 0 pt,Měřítko 120%"/>
    <w:basedOn w:val="CharStyle4"/>
    <w:rPr>
      <w:lang w:val="cs-CZ" w:eastAsia="cs-CZ" w:bidi="cs-CZ"/>
      <w:b/>
      <w:bCs/>
      <w:sz w:val="24"/>
      <w:szCs w:val="24"/>
      <w:rFonts w:ascii="Arial Narrow" w:eastAsia="Arial Narrow" w:hAnsi="Arial Narrow" w:cs="Arial Narrow"/>
      <w:w w:val="120"/>
      <w:spacing w:val="4"/>
      <w:color w:val="000000"/>
      <w:shd w:val="clear" w:color="auto" w:fill="000000"/>
      <w:position w:val="0"/>
    </w:rPr>
  </w:style>
  <w:style w:type="character" w:customStyle="1" w:styleId="CharStyle6">
    <w:name w:val="Základní text (5) + Arial Narrow,Tučné,Řádkování 0 pt,Měřítko 120%"/>
    <w:basedOn w:val="CharStyle4"/>
    <w:rPr>
      <w:lang w:val="cs-CZ" w:eastAsia="cs-CZ" w:bidi="cs-CZ"/>
      <w:b/>
      <w:bCs/>
      <w:sz w:val="24"/>
      <w:szCs w:val="24"/>
      <w:rFonts w:ascii="Arial Narrow" w:eastAsia="Arial Narrow" w:hAnsi="Arial Narrow" w:cs="Arial Narrow"/>
      <w:w w:val="120"/>
      <w:spacing w:val="5"/>
      <w:color w:val="000000"/>
      <w:shd w:val="clear" w:color="auto" w:fill="000000"/>
      <w:position w:val="0"/>
    </w:rPr>
  </w:style>
  <w:style w:type="character" w:customStyle="1" w:styleId="CharStyle7">
    <w:name w:val="Základní text (5) + Arial Narrow,Tučné,Měřítko 120%"/>
    <w:basedOn w:val="CharStyle4"/>
    <w:rPr>
      <w:lang w:val="cs-CZ" w:eastAsia="cs-CZ" w:bidi="cs-CZ"/>
      <w:b/>
      <w:bCs/>
      <w:sz w:val="24"/>
      <w:szCs w:val="24"/>
      <w:rFonts w:ascii="Arial Narrow" w:eastAsia="Arial Narrow" w:hAnsi="Arial Narrow" w:cs="Arial Narrow"/>
      <w:w w:val="120"/>
      <w:spacing w:val="0"/>
      <w:color w:val="000000"/>
      <w:position w:val="0"/>
    </w:rPr>
  </w:style>
  <w:style w:type="character" w:customStyle="1" w:styleId="CharStyle8">
    <w:name w:val="Základní text (5) + Kurzíva,Řádkování 0 pt"/>
    <w:basedOn w:val="CharStyle4"/>
    <w:rPr>
      <w:lang w:val="cs-CZ" w:eastAsia="cs-CZ" w:bidi="cs-CZ"/>
      <w:i/>
      <w:iCs/>
      <w:sz w:val="24"/>
      <w:szCs w:val="24"/>
      <w:w w:val="100"/>
      <w:spacing w:val="-10"/>
      <w:color w:val="000000"/>
      <w:position w:val="0"/>
    </w:rPr>
  </w:style>
  <w:style w:type="character" w:customStyle="1" w:styleId="CharStyle9">
    <w:name w:val="Základní text (5) + Řádkování 0 pt"/>
    <w:basedOn w:val="CharStyle4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Základní text (5) + Řádkování 0 pt"/>
    <w:basedOn w:val="CharStyle4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12">
    <w:name w:val="Základní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character" w:customStyle="1" w:styleId="CharStyle13">
    <w:name w:val="Základní text (2) + 8,5 pt"/>
    <w:basedOn w:val="CharStyle12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15">
    <w:name w:val="Titulek tabulky (2)_"/>
    <w:basedOn w:val="DefaultParagraphFont"/>
    <w:link w:val="Style14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16">
    <w:name w:val="Základní text (2) + 7,5 pt"/>
    <w:basedOn w:val="CharStyle12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17">
    <w:name w:val="Základní text (2) + Arial,9,5 pt,Tučné"/>
    <w:basedOn w:val="CharStyle12"/>
    <w:rPr>
      <w:lang w:val="fr-FR" w:eastAsia="fr-FR" w:bidi="fr-FR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9">
    <w:name w:val="Nadpis #2_"/>
    <w:basedOn w:val="DefaultParagraphFont"/>
    <w:link w:val="Style18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20">
    <w:name w:val="Základní text (2) + Tučné"/>
    <w:basedOn w:val="CharStyle12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21">
    <w:name w:val="Základní text (2) + 7,5 pt,Tučné"/>
    <w:basedOn w:val="CharStyle12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3">
    <w:name w:val="Základní text (7)_"/>
    <w:basedOn w:val="DefaultParagraphFont"/>
    <w:link w:val="Style22"/>
    <w:rPr>
      <w:b/>
      <w:bCs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character" w:customStyle="1" w:styleId="CharStyle24">
    <w:name w:val="Základní text (2)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6">
    <w:name w:val="Základní text (8)_"/>
    <w:basedOn w:val="DefaultParagraphFont"/>
    <w:link w:val="Style25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28">
    <w:name w:val="Titulek obrázku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character" w:customStyle="1" w:styleId="CharStyle29">
    <w:name w:val="Titulek obrázku"/>
    <w:basedOn w:val="CharStyle28"/>
    <w:rPr>
      <w:lang w:val="cs-CZ" w:eastAsia="cs-CZ" w:bidi="cs-CZ"/>
      <w:w w:val="100"/>
      <w:color w:val="000000"/>
      <w:position w:val="0"/>
    </w:rPr>
  </w:style>
  <w:style w:type="character" w:customStyle="1" w:styleId="CharStyle31">
    <w:name w:val="Základní text (3)_"/>
    <w:basedOn w:val="DefaultParagraphFont"/>
    <w:link w:val="Style30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3">
    <w:name w:val="Nadpis #1_"/>
    <w:basedOn w:val="DefaultParagraphFont"/>
    <w:link w:val="Style32"/>
    <w:rPr>
      <w:b/>
      <w:bCs/>
      <w:i w:val="0"/>
      <w:iCs w:val="0"/>
      <w:u w:val="none"/>
      <w:strike w:val="0"/>
      <w:smallCaps w:val="0"/>
      <w:rFonts w:ascii="Arial Narrow" w:eastAsia="Arial Narrow" w:hAnsi="Arial Narrow" w:cs="Arial Narrow"/>
      <w:w w:val="120"/>
    </w:rPr>
  </w:style>
  <w:style w:type="character" w:customStyle="1" w:styleId="CharStyle35">
    <w:name w:val="Základní text (4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190"/>
    </w:rPr>
  </w:style>
  <w:style w:type="character" w:customStyle="1" w:styleId="CharStyle36">
    <w:name w:val="Základní text (4) + Arial Narrow,Řádkování 0 pt"/>
    <w:basedOn w:val="CharStyle35"/>
    <w:rPr>
      <w:lang w:val="1024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37">
    <w:name w:val="Základní text (5) + 15 pt,Tučné"/>
    <w:basedOn w:val="CharStyle4"/>
    <w:rPr>
      <w:lang w:val="cs-CZ" w:eastAsia="cs-CZ" w:bidi="cs-CZ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38">
    <w:name w:val="Základní text (5) + 10 pt"/>
    <w:basedOn w:val="CharStyle4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39">
    <w:name w:val="Základní text (2) + 8,5 pt,Tučné"/>
    <w:basedOn w:val="CharStyle12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41">
    <w:name w:val="Základní text (6)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11"/>
      <w:szCs w:val="11"/>
      <w:rFonts w:ascii="Arial Narrow" w:eastAsia="Arial Narrow" w:hAnsi="Arial Narrow" w:cs="Arial Narrow"/>
    </w:rPr>
  </w:style>
  <w:style w:type="character" w:customStyle="1" w:styleId="CharStyle43">
    <w:name w:val="Základní text (9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4">
    <w:name w:val="{35B10486-FE52-46C0-BD8F-E5AAF7618DB8}"/>
    <w:basedOn w:val="CharStyle43"/>
    <w:rPr>
      <w:lang w:val="cs-CZ" w:eastAsia="cs-CZ" w:bidi="cs-CZ"/>
      <w:b/>
      <w:bCs/>
      <w:sz w:val="19"/>
      <w:szCs w:val="19"/>
      <w:w w:val="100"/>
      <w:spacing w:val="0"/>
      <w:color w:val="000000"/>
      <w:shd w:val="clear" w:color="auto" w:fill="000000"/>
      <w:position w:val="0"/>
    </w:rPr>
  </w:style>
  <w:style w:type="character" w:customStyle="1" w:styleId="CharStyle45">
    <w:name w:val="Základní text (9) + 9,5 pt,Tučné"/>
    <w:basedOn w:val="CharStyle43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46">
    <w:name w:val="Základní text (2) + 6 pt,Měřítko 75%"/>
    <w:basedOn w:val="CharStyle12"/>
    <w:rPr>
      <w:lang w:val="fr-FR" w:eastAsia="fr-FR" w:bidi="fr-FR"/>
      <w:sz w:val="12"/>
      <w:szCs w:val="12"/>
      <w:w w:val="75"/>
      <w:spacing w:val="0"/>
      <w:color w:val="000000"/>
      <w:position w:val="0"/>
    </w:rPr>
  </w:style>
  <w:style w:type="character" w:customStyle="1" w:styleId="CharStyle47">
    <w:name w:val="Základní text (2) + 6,5 pt,Měřítko 50%"/>
    <w:basedOn w:val="CharStyle12"/>
    <w:rPr>
      <w:lang w:val="fr-FR" w:eastAsia="fr-FR" w:bidi="fr-FR"/>
      <w:sz w:val="13"/>
      <w:szCs w:val="13"/>
      <w:w w:val="50"/>
      <w:spacing w:val="0"/>
      <w:color w:val="000000"/>
      <w:position w:val="0"/>
    </w:rPr>
  </w:style>
  <w:style w:type="character" w:customStyle="1" w:styleId="CharStyle48">
    <w:name w:val="Základní text (2) + 6 pt,Malá písmena,Měřítko 75%"/>
    <w:basedOn w:val="CharStyle12"/>
    <w:rPr>
      <w:lang w:val="fr-FR" w:eastAsia="fr-FR" w:bidi="fr-FR"/>
      <w:smallCaps/>
      <w:sz w:val="12"/>
      <w:szCs w:val="12"/>
      <w:w w:val="75"/>
      <w:spacing w:val="0"/>
      <w:color w:val="000000"/>
      <w:position w:val="0"/>
    </w:rPr>
  </w:style>
  <w:style w:type="character" w:customStyle="1" w:styleId="CharStyle49">
    <w:name w:val="Základní text (2) + 7 pt"/>
    <w:basedOn w:val="CharStyle12"/>
    <w:rPr>
      <w:lang w:val="cs-CZ" w:eastAsia="cs-CZ" w:bidi="cs-CZ"/>
      <w:sz w:val="14"/>
      <w:szCs w:val="14"/>
      <w:w w:val="100"/>
      <w:spacing w:val="0"/>
      <w:color w:val="FFFFFF"/>
      <w:position w:val="0"/>
    </w:rPr>
  </w:style>
  <w:style w:type="character" w:customStyle="1" w:styleId="CharStyle50">
    <w:name w:val="Základní text (2) + 7 pt"/>
    <w:basedOn w:val="CharStyle12"/>
    <w:rPr>
      <w:lang w:val="cs-CZ" w:eastAsia="cs-CZ" w:bidi="cs-CZ"/>
      <w:sz w:val="14"/>
      <w:szCs w:val="14"/>
      <w:w w:val="100"/>
      <w:spacing w:val="0"/>
      <w:color w:val="000000"/>
      <w:position w:val="0"/>
    </w:rPr>
  </w:style>
  <w:style w:type="character" w:customStyle="1" w:styleId="CharStyle51">
    <w:name w:val="Základní text (2) + 7,5 pt,Tučné"/>
    <w:basedOn w:val="CharStyle12"/>
    <w:rPr>
      <w:lang w:val="de-DE" w:eastAsia="de-DE" w:bidi="de-DE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52">
    <w:name w:val="{02DD1CEF-73E1-4DE4-A237-28B9CCF4C4C9}"/>
    <w:basedOn w:val="CharStyle12"/>
    <w:rPr>
      <w:lang w:val="fr-FR" w:eastAsia="fr-FR" w:bidi="fr-FR"/>
      <w:sz w:val="14"/>
      <w:szCs w:val="14"/>
      <w:w w:val="100"/>
      <w:spacing w:val="0"/>
      <w:color w:val="000000"/>
      <w:shd w:val="clear" w:color="auto" w:fill="000000"/>
      <w:position w:val="0"/>
    </w:rPr>
  </w:style>
  <w:style w:type="character" w:customStyle="1" w:styleId="CharStyle53">
    <w:name w:val="{3ABB824A-5012-4E77-8498-9B8CD90491E9}"/>
    <w:basedOn w:val="CharStyle12"/>
    <w:rPr>
      <w:lang w:val="fr-FR" w:eastAsia="fr-FR" w:bidi="fr-FR"/>
      <w:sz w:val="14"/>
      <w:szCs w:val="14"/>
      <w:w w:val="100"/>
      <w:spacing w:val="13"/>
      <w:color w:val="000000"/>
      <w:shd w:val="clear" w:color="auto" w:fill="000000"/>
      <w:position w:val="0"/>
    </w:rPr>
  </w:style>
  <w:style w:type="character" w:customStyle="1" w:styleId="CharStyle54">
    <w:name w:val="{7C1BB59F-5B78-44A0-B159-F40C16B6022D}"/>
    <w:basedOn w:val="CharStyle12"/>
    <w:rPr>
      <w:lang w:val="fr-FR" w:eastAsia="fr-FR" w:bidi="fr-FR"/>
      <w:b/>
      <w:bCs/>
      <w:sz w:val="15"/>
      <w:szCs w:val="15"/>
      <w:w w:val="100"/>
      <w:spacing w:val="0"/>
      <w:color w:val="000000"/>
      <w:shd w:val="clear" w:color="auto" w:fill="000000"/>
      <w:position w:val="0"/>
    </w:rPr>
  </w:style>
  <w:style w:type="character" w:customStyle="1" w:styleId="CharStyle55">
    <w:name w:val="Základní text (2) + Tučné"/>
    <w:basedOn w:val="CharStyle12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56">
    <w:name w:val="Základní text (2)"/>
    <w:basedOn w:val="CharStyle12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58">
    <w:name w:val="Titulek tabulky_"/>
    <w:basedOn w:val="DefaultParagraphFont"/>
    <w:link w:val="Style57"/>
    <w:rPr>
      <w:b w:val="0"/>
      <w:bCs w:val="0"/>
      <w:i w:val="0"/>
      <w:iCs w:val="0"/>
      <w:u w:val="none"/>
      <w:strike w:val="0"/>
      <w:smallCaps w:val="0"/>
      <w:sz w:val="11"/>
      <w:szCs w:val="11"/>
      <w:rFonts w:ascii="Arial Narrow" w:eastAsia="Arial Narrow" w:hAnsi="Arial Narrow" w:cs="Arial Narrow"/>
    </w:rPr>
  </w:style>
  <w:style w:type="paragraph" w:customStyle="1" w:styleId="Style3">
    <w:name w:val="Základní text (5)"/>
    <w:basedOn w:val="Normal"/>
    <w:link w:val="CharStyle4"/>
    <w:pPr>
      <w:widowControl w:val="0"/>
      <w:shd w:val="clear" w:color="auto" w:fill="FFFFFF"/>
      <w:jc w:val="both"/>
      <w:spacing w:before="60" w:line="36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jc w:val="both"/>
      <w:spacing w:line="221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paragraph" w:customStyle="1" w:styleId="Style14">
    <w:name w:val="Titulek tabulky (2)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jc w:val="both"/>
      <w:outlineLvl w:val="1"/>
      <w:spacing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22">
    <w:name w:val="Základní text (7)"/>
    <w:basedOn w:val="Normal"/>
    <w:link w:val="CharStyle23"/>
    <w:pPr>
      <w:widowControl w:val="0"/>
      <w:shd w:val="clear" w:color="auto" w:fill="FFFFFF"/>
      <w:jc w:val="both"/>
      <w:spacing w:before="120" w:line="197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paragraph" w:customStyle="1" w:styleId="Style25">
    <w:name w:val="Základní text (8)"/>
    <w:basedOn w:val="Normal"/>
    <w:link w:val="CharStyle26"/>
    <w:pPr>
      <w:widowControl w:val="0"/>
      <w:shd w:val="clear" w:color="auto" w:fill="FFFFFF"/>
      <w:jc w:val="both"/>
      <w:spacing w:after="1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27">
    <w:name w:val="Titulek obrázku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paragraph" w:customStyle="1" w:styleId="Style30">
    <w:name w:val="Základní text (3)"/>
    <w:basedOn w:val="Normal"/>
    <w:link w:val="CharStyle31"/>
    <w:pPr>
      <w:widowControl w:val="0"/>
      <w:shd w:val="clear" w:color="auto" w:fill="FFFFFF"/>
      <w:spacing w:before="240" w:line="523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2">
    <w:name w:val="Nadpis #1"/>
    <w:basedOn w:val="Normal"/>
    <w:link w:val="CharStyle33"/>
    <w:pPr>
      <w:widowControl w:val="0"/>
      <w:shd w:val="clear" w:color="auto" w:fill="FFFFFF"/>
      <w:jc w:val="center"/>
      <w:outlineLvl w:val="0"/>
      <w:spacing w:line="523" w:lineRule="exact"/>
    </w:pPr>
    <w:rPr>
      <w:b/>
      <w:bCs/>
      <w:i w:val="0"/>
      <w:iCs w:val="0"/>
      <w:u w:val="none"/>
      <w:strike w:val="0"/>
      <w:smallCaps w:val="0"/>
      <w:rFonts w:ascii="Arial Narrow" w:eastAsia="Arial Narrow" w:hAnsi="Arial Narrow" w:cs="Arial Narrow"/>
      <w:w w:val="120"/>
    </w:rPr>
  </w:style>
  <w:style w:type="paragraph" w:customStyle="1" w:styleId="Style34">
    <w:name w:val="Základní text (4)"/>
    <w:basedOn w:val="Normal"/>
    <w:link w:val="CharStyle35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190"/>
    </w:rPr>
  </w:style>
  <w:style w:type="paragraph" w:customStyle="1" w:styleId="Style40">
    <w:name w:val="Základní text (6)"/>
    <w:basedOn w:val="Normal"/>
    <w:link w:val="CharStyle41"/>
    <w:pPr>
      <w:widowControl w:val="0"/>
      <w:shd w:val="clear" w:color="auto" w:fill="FFFFFF"/>
      <w:jc w:val="both"/>
      <w:spacing w:line="0" w:lineRule="exact"/>
      <w:ind w:hanging="120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 Narrow" w:eastAsia="Arial Narrow" w:hAnsi="Arial Narrow" w:cs="Arial Narrow"/>
    </w:rPr>
  </w:style>
  <w:style w:type="paragraph" w:customStyle="1" w:styleId="Style42">
    <w:name w:val="Základní text (9)"/>
    <w:basedOn w:val="Normal"/>
    <w:link w:val="CharStyle43"/>
    <w:pPr>
      <w:widowControl w:val="0"/>
      <w:shd w:val="clear" w:color="auto" w:fill="FFFFFF"/>
      <w:jc w:val="both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57">
    <w:name w:val="Titulek tabulky"/>
    <w:basedOn w:val="Normal"/>
    <w:link w:val="CharStyle58"/>
    <w:pPr>
      <w:widowControl w:val="0"/>
      <w:shd w:val="clear" w:color="auto" w:fill="FFFFFF"/>
      <w:jc w:val="both"/>
      <w:spacing w:line="158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 Narrow" w:eastAsia="Arial Narrow" w:hAnsi="Arial Narrow" w:cs="Arial Narro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Phoenix</dc:creator>
  <cp:keywords/>
</cp:coreProperties>
</file>