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tabs>
          <w:tab w:pos="1411"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Jez Doksany - oprava hydraulického systému</w:t>
      </w:r>
    </w:p>
    <w:p>
      <w:pPr>
        <w:pStyle w:val="Style8"/>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8"/>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8"/>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Jez Doksany - oprava hydraulického systému</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8"/>
        <w:keepNext w:val="0"/>
        <w:keepLines w:val="0"/>
        <w:widowControl w:val="0"/>
        <w:shd w:val="clear" w:color="auto" w:fill="auto"/>
        <w:bidi w:val="0"/>
        <w:spacing w:before="0" w:after="320" w:line="240" w:lineRule="auto"/>
        <w:ind w:left="0" w:right="0" w:firstLine="0"/>
        <w:jc w:val="left"/>
      </w:pPr>
      <w:r>
        <w:rPr>
          <w:b/>
          <w:bCs/>
          <w:color w:val="000000"/>
          <w:spacing w:val="0"/>
          <w:w w:val="100"/>
          <w:position w:val="0"/>
          <w:shd w:val="clear" w:color="auto" w:fill="auto"/>
          <w:lang w:val="cs-CZ" w:eastAsia="cs-CZ" w:bidi="cs-CZ"/>
        </w:rPr>
        <w:t xml:space="preserve">Rudolf Ibl, IČO: 06923542 </w:t>
      </w: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8"/>
        <w:keepNext w:val="0"/>
        <w:keepLines w:val="0"/>
        <w:widowControl w:val="0"/>
        <w:shd w:val="clear" w:color="auto" w:fill="auto"/>
        <w:bidi w:val="0"/>
        <w:spacing w:before="0" w:after="1200" w:line="240" w:lineRule="auto"/>
        <w:ind w:left="0" w:right="0" w:firstLine="0"/>
        <w:jc w:val="both"/>
      </w:pPr>
      <w:r>
        <w:rPr>
          <w:color w:val="000000"/>
          <w:spacing w:val="0"/>
          <w:w w:val="100"/>
          <w:position w:val="0"/>
          <w:shd w:val="clear" w:color="auto" w:fill="auto"/>
          <w:lang w:val="cs-CZ" w:eastAsia="cs-CZ" w:bidi="cs-CZ"/>
        </w:rPr>
        <w:t>Datum:…………….</w:t>
      </w:r>
    </w:p>
    <w:p>
      <w:pPr>
        <w:pStyle w:val="Style8"/>
        <w:keepNext w:val="0"/>
        <w:keepLines w:val="0"/>
        <w:widowControl w:val="0"/>
        <w:shd w:val="clear" w:color="auto" w:fill="auto"/>
        <w:tabs>
          <w:tab w:pos="3235" w:val="left"/>
        </w:tabs>
        <w:bidi w:val="0"/>
        <w:spacing w:before="0" w:after="120" w:line="240" w:lineRule="auto"/>
        <w:ind w:left="820" w:right="0" w:hanging="820"/>
        <w:jc w:val="both"/>
      </w:pPr>
      <w:r>
        <w:rPr>
          <w:color w:val="000000"/>
          <w:spacing w:val="0"/>
          <w:w w:val="100"/>
          <w:position w:val="0"/>
          <w:shd w:val="clear" w:color="auto" w:fill="auto"/>
          <w:lang w:val="cs-CZ" w:eastAsia="cs-CZ" w:bidi="cs-CZ"/>
        </w:rPr>
        <w:t xml:space="preserve">Podpis: </w:t>
      </w:r>
      <w:r>
        <w:rPr>
          <w:u w:val="single"/>
        </w:rPr>
        <w:t xml:space="preserve"> </w:t>
        <w:tab/>
      </w:r>
      <w:r>
        <w:rPr>
          <w:color w:val="000000"/>
          <w:spacing w:val="0"/>
          <w:w w:val="100"/>
          <w:position w:val="0"/>
          <w:shd w:val="clear" w:color="auto" w:fill="auto"/>
          <w:lang w:val="cs-CZ" w:eastAsia="cs-CZ" w:bidi="cs-CZ"/>
        </w:rPr>
        <w:t xml:space="preserve"> Rudolf Ibl</w:t>
      </w:r>
    </w:p>
    <w:sectPr>
      <w:footerReference w:type="default" r:id="rId5"/>
      <w:footnotePr>
        <w:pos w:val="pageBottom"/>
        <w:numFmt w:val="decimal"/>
        <w:numRestart w:val="continuous"/>
      </w:footnotePr>
      <w:pgSz w:w="11909" w:h="16838"/>
      <w:pgMar w:top="782" w:left="1111" w:right="1101" w:bottom="1291"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