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C22B" w14:textId="77777777" w:rsidR="0066490B" w:rsidRDefault="0066490B" w:rsidP="0066490B">
      <w:pPr>
        <w:jc w:val="center"/>
      </w:pPr>
    </w:p>
    <w:p w14:paraId="5B36B040" w14:textId="77777777" w:rsidR="00F45ED9" w:rsidRDefault="00F45ED9" w:rsidP="0066490B">
      <w:pPr>
        <w:jc w:val="center"/>
      </w:pPr>
    </w:p>
    <w:p w14:paraId="680539CB" w14:textId="2CF3DDC8" w:rsidR="00E0086F" w:rsidRPr="0066490B" w:rsidRDefault="0066490B" w:rsidP="0066490B">
      <w:pPr>
        <w:pStyle w:val="07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66490B">
        <w:rPr>
          <w:rFonts w:ascii="Arial" w:hAnsi="Arial" w:cs="Arial"/>
          <w:b/>
          <w:bCs/>
          <w:sz w:val="28"/>
          <w:szCs w:val="28"/>
        </w:rPr>
        <w:t>DODATEK</w:t>
      </w:r>
      <w:r w:rsidR="008E0283" w:rsidRPr="0066490B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FA3F37">
        <w:rPr>
          <w:rFonts w:ascii="Arial" w:hAnsi="Arial" w:cs="Arial"/>
          <w:b/>
          <w:bCs/>
          <w:sz w:val="28"/>
          <w:szCs w:val="28"/>
        </w:rPr>
        <w:t>2</w:t>
      </w:r>
    </w:p>
    <w:p w14:paraId="18B993F7" w14:textId="759C02B3" w:rsidR="0066490B" w:rsidRPr="00FA3F37" w:rsidRDefault="0066490B" w:rsidP="0066490B">
      <w:pPr>
        <w:pStyle w:val="02lnek"/>
        <w:numPr>
          <w:ilvl w:val="0"/>
          <w:numId w:val="0"/>
        </w:numPr>
        <w:jc w:val="center"/>
        <w:rPr>
          <w:rFonts w:ascii="Arial" w:hAnsi="Arial" w:cs="Arial"/>
          <w:sz w:val="16"/>
          <w:szCs w:val="16"/>
        </w:rPr>
      </w:pPr>
      <w:r w:rsidRPr="00FA3F37">
        <w:rPr>
          <w:rFonts w:ascii="Arial" w:hAnsi="Arial" w:cs="Arial"/>
          <w:sz w:val="20"/>
          <w:szCs w:val="20"/>
        </w:rPr>
        <w:t>ke smlouvě o dílo č. 692-2022-505206 ze dne 04.08.2022</w:t>
      </w:r>
    </w:p>
    <w:p w14:paraId="1492103C" w14:textId="77777777" w:rsidR="0066490B" w:rsidRPr="0066490B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66490B">
        <w:rPr>
          <w:rFonts w:ascii="Arial" w:hAnsi="Arial" w:cs="Arial"/>
          <w:snapToGrid w:val="0"/>
          <w:sz w:val="20"/>
          <w:szCs w:val="20"/>
        </w:rPr>
        <w:t>na provedení díla</w:t>
      </w:r>
    </w:p>
    <w:p w14:paraId="42859282" w14:textId="77777777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19524E5C" w14:textId="61C86C08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b/>
        </w:rPr>
      </w:pPr>
      <w:r w:rsidRPr="00DC2EFC">
        <w:rPr>
          <w:rFonts w:ascii="Arial" w:hAnsi="Arial" w:cs="Arial"/>
          <w:b/>
        </w:rPr>
        <w:t xml:space="preserve">Komplexní pozemkové úpravy </w:t>
      </w:r>
      <w:r>
        <w:rPr>
          <w:rFonts w:ascii="Arial" w:hAnsi="Arial" w:cs="Arial"/>
          <w:b/>
        </w:rPr>
        <w:t>Mnichov</w:t>
      </w:r>
    </w:p>
    <w:p w14:paraId="0594DDB1" w14:textId="77777777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10"/>
          <w:szCs w:val="10"/>
        </w:rPr>
      </w:pPr>
    </w:p>
    <w:p w14:paraId="3B09809B" w14:textId="77777777" w:rsidR="0066490B" w:rsidRPr="0066490B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66490B">
        <w:rPr>
          <w:rFonts w:ascii="Arial" w:hAnsi="Arial" w:cs="Arial"/>
          <w:snapToGrid w:val="0"/>
          <w:sz w:val="20"/>
          <w:szCs w:val="20"/>
        </w:rPr>
        <w:t xml:space="preserve">uzavřený podle § 2586 a násl. zákona č. 89/2012 Sb., občanský zákoník, </w:t>
      </w:r>
    </w:p>
    <w:p w14:paraId="12BCF3C1" w14:textId="2FF9813C" w:rsidR="0066490B" w:rsidRDefault="0066490B" w:rsidP="0066490B">
      <w:pPr>
        <w:pStyle w:val="02lnek"/>
        <w:numPr>
          <w:ilvl w:val="0"/>
          <w:numId w:val="0"/>
        </w:numPr>
        <w:spacing w:after="0"/>
        <w:jc w:val="center"/>
        <w:rPr>
          <w:rFonts w:ascii="Arial" w:hAnsi="Arial" w:cs="Arial"/>
          <w:b w:val="0"/>
          <w:spacing w:val="2"/>
          <w:sz w:val="20"/>
          <w:szCs w:val="20"/>
        </w:rPr>
      </w:pPr>
      <w:r w:rsidRPr="0066490B">
        <w:rPr>
          <w:rFonts w:ascii="Arial" w:hAnsi="Arial" w:cs="Arial"/>
          <w:b w:val="0"/>
          <w:sz w:val="20"/>
          <w:szCs w:val="20"/>
        </w:rPr>
        <w:t xml:space="preserve">ve znění </w:t>
      </w:r>
      <w:r w:rsidRPr="0066490B">
        <w:rPr>
          <w:rFonts w:ascii="Arial" w:hAnsi="Arial" w:cs="Arial"/>
          <w:b w:val="0"/>
          <w:spacing w:val="2"/>
          <w:sz w:val="20"/>
          <w:szCs w:val="20"/>
        </w:rPr>
        <w:t>pozdějších předpisů</w:t>
      </w:r>
    </w:p>
    <w:p w14:paraId="28863E8F" w14:textId="77777777" w:rsidR="0066490B" w:rsidRPr="0066490B" w:rsidRDefault="0066490B" w:rsidP="0066490B">
      <w:pPr>
        <w:pStyle w:val="02lnek"/>
        <w:numPr>
          <w:ilvl w:val="0"/>
          <w:numId w:val="0"/>
        </w:numPr>
        <w:spacing w:after="0"/>
        <w:jc w:val="center"/>
        <w:rPr>
          <w:rFonts w:ascii="Arial" w:hAnsi="Arial" w:cs="Arial"/>
          <w:b w:val="0"/>
          <w:sz w:val="20"/>
          <w:szCs w:val="20"/>
        </w:rPr>
      </w:pPr>
    </w:p>
    <w:p w14:paraId="7947449C" w14:textId="77777777" w:rsidR="00E0086F" w:rsidRPr="0066490B" w:rsidRDefault="00E0086F" w:rsidP="006B4BBB">
      <w:pPr>
        <w:pStyle w:val="Nadpis1"/>
        <w:keepNext w:val="0"/>
        <w:spacing w:after="240"/>
        <w:jc w:val="both"/>
        <w:rPr>
          <w:rFonts w:ascii="Arial" w:hAnsi="Arial"/>
          <w:b w:val="0"/>
          <w:sz w:val="20"/>
          <w:szCs w:val="20"/>
        </w:rPr>
      </w:pPr>
      <w:r w:rsidRPr="0066490B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66490B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Česká republika</w:t>
      </w:r>
      <w:r w:rsidR="004F5D1F" w:rsidRPr="0066490B">
        <w:rPr>
          <w:rFonts w:ascii="Arial" w:hAnsi="Arial" w:cs="Arial"/>
          <w:b/>
          <w:sz w:val="20"/>
          <w:szCs w:val="20"/>
        </w:rPr>
        <w:t xml:space="preserve"> –</w:t>
      </w:r>
      <w:r w:rsidRPr="0066490B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1D777E5D" w14:textId="77777777" w:rsidR="008A2A53" w:rsidRPr="0066490B" w:rsidRDefault="008A2A53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se sídlem Husinecká 1024/11a, 130 00 Praha 3 – Žižkov, IČO: 013 12 774, Krajský pozemkový úřad pro Jihočeský kraj, Pobočka Strakonice, na adrese Palackého nám. 1090, 386 01 Strakonice </w:t>
      </w:r>
    </w:p>
    <w:p w14:paraId="2BB55C1B" w14:textId="2CEB3712" w:rsidR="00E0086F" w:rsidRPr="0066490B" w:rsidRDefault="00E0086F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Zastoupená: </w:t>
      </w:r>
      <w:r w:rsidR="008A2A53" w:rsidRPr="0066490B">
        <w:rPr>
          <w:rFonts w:ascii="Arial" w:hAnsi="Arial" w:cs="Arial"/>
          <w:sz w:val="20"/>
          <w:szCs w:val="20"/>
        </w:rPr>
        <w:t>Ing. Richard Valný, vedoucí Pobočky Strakonice</w:t>
      </w:r>
      <w:r w:rsidRPr="0066490B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4368FA23" w:rsidR="00E0086F" w:rsidRPr="0066490B" w:rsidRDefault="00E0086F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66490B">
        <w:rPr>
          <w:rFonts w:ascii="Arial" w:hAnsi="Arial" w:cs="Arial"/>
          <w:sz w:val="20"/>
          <w:szCs w:val="20"/>
        </w:rPr>
        <w:t>zastoupená</w:t>
      </w:r>
      <w:r w:rsidRPr="0066490B">
        <w:rPr>
          <w:rFonts w:ascii="Arial" w:hAnsi="Arial" w:cs="Arial"/>
          <w:sz w:val="20"/>
          <w:szCs w:val="20"/>
        </w:rPr>
        <w:t xml:space="preserve">: </w:t>
      </w:r>
      <w:r w:rsidR="008A2A53" w:rsidRPr="0066490B">
        <w:rPr>
          <w:rFonts w:ascii="Arial" w:hAnsi="Arial" w:cs="Arial"/>
          <w:sz w:val="20"/>
          <w:szCs w:val="20"/>
        </w:rPr>
        <w:t>Ing. Richard Valný, vedoucí Pobočky Strakonice</w:t>
      </w:r>
      <w:r w:rsidRPr="0066490B">
        <w:rPr>
          <w:rFonts w:ascii="Arial" w:hAnsi="Arial" w:cs="Arial"/>
          <w:sz w:val="20"/>
          <w:szCs w:val="20"/>
        </w:rPr>
        <w:t xml:space="preserve"> </w:t>
      </w:r>
    </w:p>
    <w:p w14:paraId="4939C5C6" w14:textId="3BE15E43" w:rsidR="00E0086F" w:rsidRPr="0066490B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66490B">
        <w:rPr>
          <w:rFonts w:ascii="Arial" w:hAnsi="Arial" w:cs="Arial"/>
          <w:sz w:val="20"/>
          <w:szCs w:val="20"/>
        </w:rPr>
        <w:t>zastoupená</w:t>
      </w:r>
      <w:r w:rsidRPr="0066490B">
        <w:rPr>
          <w:rFonts w:ascii="Arial" w:hAnsi="Arial" w:cs="Arial"/>
          <w:sz w:val="20"/>
          <w:szCs w:val="20"/>
        </w:rPr>
        <w:t>:</w:t>
      </w:r>
      <w:r w:rsidRPr="0066490B">
        <w:rPr>
          <w:rFonts w:ascii="Arial" w:hAnsi="Arial" w:cs="Arial"/>
          <w:snapToGrid w:val="0"/>
          <w:sz w:val="20"/>
          <w:szCs w:val="20"/>
        </w:rPr>
        <w:t xml:space="preserve"> </w:t>
      </w:r>
      <w:r w:rsidR="0066490B" w:rsidRPr="0066490B">
        <w:rPr>
          <w:rFonts w:ascii="Arial" w:hAnsi="Arial" w:cs="Arial"/>
          <w:snapToGrid w:val="0"/>
          <w:sz w:val="20"/>
          <w:szCs w:val="20"/>
        </w:rPr>
        <w:t>Pavel Hromek</w:t>
      </w:r>
      <w:r w:rsidR="00441513" w:rsidRPr="0066490B">
        <w:rPr>
          <w:rFonts w:ascii="Arial" w:hAnsi="Arial" w:cs="Arial"/>
          <w:snapToGrid w:val="0"/>
          <w:sz w:val="20"/>
          <w:szCs w:val="20"/>
        </w:rPr>
        <w:t xml:space="preserve">, </w:t>
      </w:r>
      <w:r w:rsidR="00441513" w:rsidRPr="0066490B">
        <w:rPr>
          <w:rFonts w:ascii="Arial" w:hAnsi="Arial" w:cs="Arial"/>
          <w:sz w:val="20"/>
          <w:szCs w:val="20"/>
        </w:rPr>
        <w:t>Pobočka Strakonice</w:t>
      </w:r>
      <w:r w:rsidRPr="0066490B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66490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445EC06" w14:textId="77777777" w:rsidR="008A2A53" w:rsidRPr="0066490B" w:rsidRDefault="008A2A53" w:rsidP="008A2A5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Tel.: </w:t>
      </w:r>
      <w:r w:rsidRPr="0066490B">
        <w:rPr>
          <w:rFonts w:ascii="Arial" w:hAnsi="Arial" w:cs="Arial"/>
          <w:snapToGrid w:val="0"/>
          <w:sz w:val="20"/>
          <w:szCs w:val="20"/>
        </w:rPr>
        <w:t>702 153 007</w:t>
      </w:r>
    </w:p>
    <w:p w14:paraId="397C9A24" w14:textId="77777777" w:rsidR="008A2A53" w:rsidRPr="0066490B" w:rsidRDefault="008A2A53" w:rsidP="008A2A5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E-mail:</w:t>
      </w:r>
      <w:r w:rsidRPr="0066490B">
        <w:rPr>
          <w:rFonts w:ascii="Arial" w:hAnsi="Arial" w:cs="Arial"/>
          <w:snapToGrid w:val="0"/>
          <w:sz w:val="20"/>
          <w:szCs w:val="20"/>
        </w:rPr>
        <w:t xml:space="preserve"> strakonice.pk@spucr.cz</w:t>
      </w:r>
    </w:p>
    <w:p w14:paraId="251A0BC1" w14:textId="7C322992" w:rsidR="00E0086F" w:rsidRPr="0066490B" w:rsidRDefault="008A2A53" w:rsidP="008A2A53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66490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Bankovní</w:t>
      </w:r>
      <w:r w:rsidRPr="0066490B">
        <w:rPr>
          <w:rFonts w:ascii="Arial" w:hAnsi="Arial" w:cs="Arial"/>
          <w:sz w:val="20"/>
          <w:szCs w:val="20"/>
        </w:rPr>
        <w:t xml:space="preserve"> </w:t>
      </w:r>
      <w:r w:rsidRPr="0066490B">
        <w:rPr>
          <w:rFonts w:ascii="Arial" w:hAnsi="Arial" w:cs="Arial"/>
          <w:b/>
          <w:sz w:val="20"/>
          <w:szCs w:val="20"/>
        </w:rPr>
        <w:t>spojení</w:t>
      </w:r>
      <w:r w:rsidRPr="0066490B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66490B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66490B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DIČ: CZ01312774 (</w:t>
      </w:r>
      <w:r w:rsidRPr="0066490B">
        <w:rPr>
          <w:rFonts w:ascii="Arial" w:hAnsi="Arial" w:cs="Arial"/>
          <w:i/>
          <w:iCs/>
          <w:sz w:val="20"/>
          <w:szCs w:val="20"/>
        </w:rPr>
        <w:t>není plátce DPH</w:t>
      </w:r>
      <w:r w:rsidRPr="0066490B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66490B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(„</w:t>
      </w:r>
      <w:r w:rsidRPr="0066490B">
        <w:rPr>
          <w:rFonts w:ascii="Arial" w:hAnsi="Arial" w:cs="Arial"/>
          <w:b/>
          <w:sz w:val="20"/>
          <w:szCs w:val="20"/>
        </w:rPr>
        <w:t>Objednatel</w:t>
      </w:r>
      <w:r w:rsidRPr="0066490B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66490B" w:rsidRDefault="00E0086F" w:rsidP="006B4BBB">
      <w:pPr>
        <w:spacing w:before="360" w:after="24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a</w:t>
      </w:r>
    </w:p>
    <w:p w14:paraId="60A84729" w14:textId="1F8E245B" w:rsidR="00E0086F" w:rsidRPr="0066490B" w:rsidRDefault="006B4BB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GEODETICKÉ SDRUŽENÍ s.r.o.</w:t>
      </w:r>
    </w:p>
    <w:p w14:paraId="00D595A5" w14:textId="67078169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společnost založená a existující podle právního řádu [České republiky], se sídlem Pod</w:t>
      </w:r>
      <w:r w:rsidR="000718F1" w:rsidRPr="0066490B">
        <w:rPr>
          <w:rFonts w:ascii="Arial" w:hAnsi="Arial" w:cs="Arial"/>
          <w:sz w:val="20"/>
          <w:szCs w:val="20"/>
        </w:rPr>
        <w:t> </w:t>
      </w:r>
      <w:r w:rsidRPr="0066490B">
        <w:rPr>
          <w:rFonts w:ascii="Arial" w:hAnsi="Arial" w:cs="Arial"/>
          <w:sz w:val="20"/>
          <w:szCs w:val="20"/>
        </w:rPr>
        <w:t>Anenskou 245 261 01 Příbram IV, IČO: 61682764, zapsaná v obchodním rejstříku vedeném u Městského soudu v Praze, oddíl C, vložka 37161</w:t>
      </w:r>
    </w:p>
    <w:p w14:paraId="1CDA8787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Zastoupená: Ing. Vladimírem Luksem</w:t>
      </w:r>
    </w:p>
    <w:p w14:paraId="068DFC72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Ve smluvních záležitostech zastoupená: Ing. Vladimír Luks</w:t>
      </w:r>
    </w:p>
    <w:p w14:paraId="101A5B73" w14:textId="588BB289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 technických záležitostech zastoupená: </w:t>
      </w:r>
      <w:r w:rsidR="00C130FF">
        <w:rPr>
          <w:rFonts w:ascii="Arial" w:hAnsi="Arial" w:cs="Arial"/>
          <w:sz w:val="20"/>
          <w:szCs w:val="20"/>
        </w:rPr>
        <w:t>xxxxxxxxxx</w:t>
      </w:r>
    </w:p>
    <w:p w14:paraId="5E33052F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65AB952" w14:textId="097ED971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Tel.: </w:t>
      </w:r>
      <w:r w:rsidR="00C130FF">
        <w:rPr>
          <w:rFonts w:ascii="Arial" w:hAnsi="Arial" w:cs="Arial"/>
          <w:sz w:val="20"/>
          <w:szCs w:val="20"/>
        </w:rPr>
        <w:t>xxxxxxxxxx</w:t>
      </w:r>
    </w:p>
    <w:p w14:paraId="41846DD5" w14:textId="6D953AF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E-mail: </w:t>
      </w:r>
      <w:r w:rsidR="00C130FF">
        <w:rPr>
          <w:rFonts w:ascii="Arial" w:hAnsi="Arial" w:cs="Arial"/>
          <w:sz w:val="20"/>
          <w:szCs w:val="20"/>
        </w:rPr>
        <w:t>xxxxxxxxxx</w:t>
      </w:r>
    </w:p>
    <w:p w14:paraId="10766590" w14:textId="77777777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ID datové schránky: eep75pz</w:t>
      </w:r>
    </w:p>
    <w:p w14:paraId="29230F58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Bankovní spojení:</w:t>
      </w:r>
      <w:r w:rsidRPr="0066490B">
        <w:rPr>
          <w:rFonts w:ascii="Arial" w:hAnsi="Arial" w:cs="Arial"/>
          <w:sz w:val="20"/>
          <w:szCs w:val="20"/>
        </w:rPr>
        <w:t xml:space="preserve"> Moneta Money Bank a.s.</w:t>
      </w:r>
    </w:p>
    <w:p w14:paraId="41106821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Číslo účtu: 237001749/0600</w:t>
      </w:r>
    </w:p>
    <w:p w14:paraId="134C93A6" w14:textId="77777777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DIČ: CZ61682764 </w:t>
      </w:r>
    </w:p>
    <w:p w14:paraId="483330C9" w14:textId="5BD4F1C9" w:rsidR="00E0086F" w:rsidRPr="0066490B" w:rsidRDefault="00E0086F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</w:t>
      </w:r>
      <w:r w:rsidRPr="0066490B">
        <w:rPr>
          <w:rFonts w:ascii="Arial" w:hAnsi="Arial" w:cs="Arial"/>
          <w:b/>
          <w:sz w:val="20"/>
          <w:szCs w:val="20"/>
        </w:rPr>
        <w:t>„Zhotovitel“</w:t>
      </w:r>
      <w:r w:rsidRPr="0066490B">
        <w:rPr>
          <w:rFonts w:ascii="Arial" w:hAnsi="Arial" w:cs="Arial"/>
          <w:sz w:val="20"/>
          <w:szCs w:val="20"/>
        </w:rPr>
        <w:t>)</w:t>
      </w:r>
    </w:p>
    <w:p w14:paraId="6EE35A18" w14:textId="77777777" w:rsidR="00E0086F" w:rsidRPr="0066490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(Objednatel a Zhotovitel dále jako „</w:t>
      </w:r>
      <w:r w:rsidRPr="0066490B">
        <w:rPr>
          <w:rFonts w:ascii="Arial" w:hAnsi="Arial" w:cs="Arial"/>
          <w:b/>
          <w:sz w:val="20"/>
          <w:szCs w:val="20"/>
        </w:rPr>
        <w:t>Smluvní strany</w:t>
      </w:r>
      <w:r w:rsidRPr="0066490B">
        <w:rPr>
          <w:rFonts w:ascii="Arial" w:hAnsi="Arial" w:cs="Arial"/>
          <w:sz w:val="20"/>
          <w:szCs w:val="20"/>
        </w:rPr>
        <w:t>“ a každý z nich samostatně jako „</w:t>
      </w:r>
      <w:r w:rsidRPr="0066490B">
        <w:rPr>
          <w:rFonts w:ascii="Arial" w:hAnsi="Arial" w:cs="Arial"/>
          <w:b/>
          <w:sz w:val="20"/>
          <w:szCs w:val="20"/>
        </w:rPr>
        <w:t>Smluvní strana</w:t>
      </w:r>
      <w:r w:rsidRPr="0066490B">
        <w:rPr>
          <w:rFonts w:ascii="Arial" w:hAnsi="Arial" w:cs="Arial"/>
          <w:sz w:val="20"/>
          <w:szCs w:val="20"/>
        </w:rPr>
        <w:t>“)</w:t>
      </w:r>
    </w:p>
    <w:p w14:paraId="127919C6" w14:textId="77777777" w:rsidR="00D375DF" w:rsidRDefault="00D375DF" w:rsidP="00D375DF">
      <w:pPr>
        <w:jc w:val="both"/>
        <w:rPr>
          <w:rFonts w:ascii="Arial" w:hAnsi="Arial" w:cs="Arial"/>
          <w:b/>
          <w:bCs/>
          <w:snapToGrid w:val="0"/>
        </w:rPr>
      </w:pPr>
    </w:p>
    <w:p w14:paraId="3139C7D9" w14:textId="77777777" w:rsidR="008B0742" w:rsidRDefault="008B0742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C822CCD" w14:textId="77777777" w:rsidR="008B0742" w:rsidRDefault="008B0742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E2C8072" w14:textId="77777777" w:rsidR="00876699" w:rsidRDefault="00876699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3EED4ED4" w14:textId="10B4A09C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I.</w:t>
      </w:r>
    </w:p>
    <w:p w14:paraId="52B4707F" w14:textId="4CD91451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Úvodní ustanovení</w:t>
      </w:r>
    </w:p>
    <w:p w14:paraId="6F4C98CB" w14:textId="77777777" w:rsidR="00D375DF" w:rsidRP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B6500DE" w14:textId="77777777" w:rsidR="00FA3F37" w:rsidRDefault="00D375DF" w:rsidP="00D375DF">
      <w:pPr>
        <w:pStyle w:val="Odstavecseseznamem1"/>
        <w:ind w:left="0"/>
        <w:rPr>
          <w:rFonts w:ascii="Arial" w:hAnsi="Arial" w:cs="Arial"/>
          <w:bCs/>
          <w:snapToGrid w:val="0"/>
          <w:sz w:val="20"/>
          <w:szCs w:val="20"/>
        </w:rPr>
      </w:pP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Smluvní strany shodně konstatují a činí nesporným, že uzavřely dne </w:t>
      </w:r>
      <w:r>
        <w:rPr>
          <w:rFonts w:ascii="Arial" w:hAnsi="Arial" w:cs="Arial"/>
          <w:bCs/>
          <w:snapToGrid w:val="0"/>
          <w:sz w:val="20"/>
          <w:szCs w:val="20"/>
        </w:rPr>
        <w:t>04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</w:t>
      </w:r>
      <w:r>
        <w:rPr>
          <w:rFonts w:ascii="Arial" w:hAnsi="Arial" w:cs="Arial"/>
          <w:bCs/>
          <w:snapToGrid w:val="0"/>
          <w:sz w:val="20"/>
          <w:szCs w:val="20"/>
        </w:rPr>
        <w:t>08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.20</w:t>
      </w:r>
      <w:r>
        <w:rPr>
          <w:rFonts w:ascii="Arial" w:hAnsi="Arial" w:cs="Arial"/>
          <w:bCs/>
          <w:snapToGrid w:val="0"/>
          <w:sz w:val="20"/>
          <w:szCs w:val="20"/>
        </w:rPr>
        <w:t>22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Smlouvu o dílo č.</w:t>
      </w:r>
      <w:r>
        <w:rPr>
          <w:rFonts w:ascii="Arial" w:hAnsi="Arial" w:cs="Arial"/>
          <w:bCs/>
          <w:snapToGrid w:val="0"/>
          <w:sz w:val="20"/>
          <w:szCs w:val="20"/>
        </w:rPr>
        <w:t> 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>692</w:t>
      </w:r>
      <w:r w:rsidRPr="009256FD">
        <w:rPr>
          <w:rFonts w:ascii="Arial" w:hAnsi="Arial" w:cs="Arial"/>
          <w:sz w:val="20"/>
          <w:szCs w:val="20"/>
        </w:rPr>
        <w:t>-20</w:t>
      </w:r>
      <w:r>
        <w:rPr>
          <w:rFonts w:ascii="Arial" w:hAnsi="Arial" w:cs="Arial"/>
          <w:sz w:val="20"/>
          <w:szCs w:val="20"/>
        </w:rPr>
        <w:t>22</w:t>
      </w:r>
      <w:r w:rsidRPr="009256FD">
        <w:rPr>
          <w:rFonts w:ascii="Arial" w:hAnsi="Arial" w:cs="Arial"/>
          <w:sz w:val="20"/>
          <w:szCs w:val="20"/>
        </w:rPr>
        <w:t>-505206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, kterou se zhotovitel zavázal k provedení díla s názvem „Komplexní pozemkové úpravy </w:t>
      </w:r>
      <w:r>
        <w:rPr>
          <w:rFonts w:ascii="Arial" w:hAnsi="Arial" w:cs="Arial"/>
          <w:bCs/>
          <w:snapToGrid w:val="0"/>
          <w:sz w:val="20"/>
          <w:szCs w:val="20"/>
        </w:rPr>
        <w:t>Mnichov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“ a objednatel se zavázal k převzetí díla a zaplacení jeho ceny, a to vše v rozsahu a za podmínek ujednaných v této smlouvě (dále jen „</w:t>
      </w:r>
      <w:r>
        <w:rPr>
          <w:rFonts w:ascii="Arial" w:hAnsi="Arial" w:cs="Arial"/>
          <w:bCs/>
          <w:snapToGrid w:val="0"/>
          <w:sz w:val="20"/>
          <w:szCs w:val="20"/>
        </w:rPr>
        <w:t>S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mlouva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o dílo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“).</w:t>
      </w:r>
    </w:p>
    <w:p w14:paraId="688E89B9" w14:textId="2C88656C" w:rsidR="00D375DF" w:rsidRDefault="00FA3F37" w:rsidP="00FA3F37">
      <w:pPr>
        <w:pStyle w:val="Odstavecseseznamem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Dodatkem č. 1 ke Smlouvě o dílo</w:t>
      </w:r>
      <w:r w:rsidRPr="009256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sz w:val="20"/>
          <w:szCs w:val="20"/>
        </w:rPr>
        <w:t>ze dne 07.11.2023</w:t>
      </w:r>
      <w:r w:rsidRPr="00FA3F37">
        <w:t xml:space="preserve">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bylo ujednáno předávání digitálních dat mezi oběma Smluvními stranami výhradně prostřednictvím Výměnného úložiště SPÚ. V důsledku této změny se změnil čl.</w:t>
      </w:r>
      <w:r>
        <w:rPr>
          <w:rFonts w:ascii="Arial" w:hAnsi="Arial" w:cs="Arial"/>
          <w:bCs/>
          <w:snapToGrid w:val="0"/>
          <w:sz w:val="20"/>
          <w:szCs w:val="20"/>
        </w:rPr>
        <w:t> 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7. TECHNICKÉ POŽADAVKY NA PROVEDENÍ DÍLA. Další změna se týkala předávání faktur podle čl. 4. PLATEBNÍ A FAKTURAČNÍ PODMÍNKY. Nově podle čl. 4.3 mezi náležitosti Faktury nepatří kopie Akceptačního protokolu.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Současně došlo k úpravě termínů odevzdání dílčích částí díla -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- fakturačních celků 6.2.4.</w:t>
      </w:r>
      <w:r>
        <w:rPr>
          <w:rFonts w:ascii="Arial" w:hAnsi="Arial" w:cs="Arial"/>
          <w:bCs/>
          <w:snapToGrid w:val="0"/>
          <w:sz w:val="20"/>
          <w:szCs w:val="20"/>
        </w:rPr>
        <w:t>,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 xml:space="preserve"> 6.2.5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6.2.8.</w:t>
      </w:r>
      <w:r>
        <w:rPr>
          <w:rFonts w:ascii="Arial" w:hAnsi="Arial" w:cs="Arial"/>
          <w:bCs/>
          <w:snapToGrid w:val="0"/>
          <w:sz w:val="20"/>
          <w:szCs w:val="20"/>
        </w:rPr>
        <w:t>,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 xml:space="preserve"> 6.3.1.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(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vč. souvisejících 6.3.1 i)a), 6.3.1 i)b), 6.3.1 i)c) a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6.3.2.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Tímto dodatkem dále došlo ke změně počtu měrných jednotek</w:t>
      </w:r>
      <w:r w:rsidR="00281878">
        <w:rPr>
          <w:rFonts w:ascii="Arial" w:hAnsi="Arial" w:cs="Arial"/>
          <w:bCs/>
          <w:snapToGrid w:val="0"/>
          <w:sz w:val="20"/>
          <w:szCs w:val="20"/>
        </w:rPr>
        <w:t xml:space="preserve"> (a s tím související změně ceny)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281878">
        <w:rPr>
          <w:rFonts w:ascii="Arial" w:hAnsi="Arial" w:cs="Arial"/>
          <w:sz w:val="20"/>
          <w:szCs w:val="20"/>
          <w:lang w:eastAsia="ar-SA"/>
        </w:rPr>
        <w:t xml:space="preserve">u geodetických prací, tj. </w:t>
      </w:r>
      <w:r>
        <w:rPr>
          <w:rFonts w:ascii="Arial" w:hAnsi="Arial" w:cs="Arial"/>
          <w:bCs/>
          <w:snapToGrid w:val="0"/>
          <w:sz w:val="20"/>
          <w:szCs w:val="20"/>
        </w:rPr>
        <w:t>u dílčí části díla – fakturačního celku</w:t>
      </w:r>
      <w:r w:rsidR="00281878">
        <w:rPr>
          <w:rFonts w:ascii="Arial" w:hAnsi="Arial" w:cs="Arial"/>
          <w:bCs/>
          <w:snapToGrid w:val="0"/>
          <w:sz w:val="20"/>
          <w:szCs w:val="20"/>
        </w:rPr>
        <w:t xml:space="preserve"> 6.2.5.</w:t>
      </w:r>
    </w:p>
    <w:p w14:paraId="2CD5AF4A" w14:textId="77777777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02DC76C7" w14:textId="77777777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C7018FB" w14:textId="5EC560D8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II.</w:t>
      </w:r>
    </w:p>
    <w:p w14:paraId="637B12FF" w14:textId="12380448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Předmět dodatku</w:t>
      </w:r>
    </w:p>
    <w:p w14:paraId="220ACA9F" w14:textId="130BF262" w:rsidR="00D375DF" w:rsidRDefault="00D375DF" w:rsidP="00D375DF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711D8384" w14:textId="5805DC0C" w:rsidR="00D375DF" w:rsidRDefault="00D375DF" w:rsidP="008B0742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  <w:r w:rsidRPr="00D375DF">
        <w:rPr>
          <w:rFonts w:ascii="Arial" w:hAnsi="Arial" w:cs="Arial"/>
          <w:sz w:val="20"/>
          <w:szCs w:val="20"/>
        </w:rPr>
        <w:t xml:space="preserve">Předmětem Dodatku č. </w:t>
      </w:r>
      <w:r w:rsidR="00863DEC">
        <w:rPr>
          <w:rFonts w:ascii="Arial" w:hAnsi="Arial" w:cs="Arial"/>
          <w:sz w:val="20"/>
          <w:szCs w:val="20"/>
        </w:rPr>
        <w:t>2</w:t>
      </w:r>
      <w:r w:rsidRPr="00D375DF">
        <w:rPr>
          <w:rFonts w:ascii="Arial" w:hAnsi="Arial" w:cs="Arial"/>
          <w:sz w:val="20"/>
          <w:szCs w:val="20"/>
        </w:rPr>
        <w:t xml:space="preserve"> ke Smlouvě</w:t>
      </w:r>
      <w:r>
        <w:rPr>
          <w:rFonts w:ascii="Arial" w:hAnsi="Arial" w:cs="Arial"/>
          <w:sz w:val="20"/>
          <w:szCs w:val="20"/>
        </w:rPr>
        <w:t xml:space="preserve"> o dílo</w:t>
      </w:r>
      <w:r w:rsidRPr="00D375DF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>:</w:t>
      </w:r>
    </w:p>
    <w:p w14:paraId="5D584C8A" w14:textId="77777777" w:rsidR="008B0742" w:rsidRPr="008B0742" w:rsidRDefault="008B0742" w:rsidP="008B0742">
      <w:pPr>
        <w:pStyle w:val="Odstavecseseznamem1"/>
        <w:spacing w:after="120"/>
        <w:ind w:left="0"/>
        <w:rPr>
          <w:rFonts w:ascii="Arial" w:hAnsi="Arial" w:cs="Arial"/>
          <w:sz w:val="12"/>
          <w:szCs w:val="12"/>
        </w:rPr>
      </w:pPr>
    </w:p>
    <w:p w14:paraId="0AE402AD" w14:textId="6B25C044" w:rsidR="004F41CC" w:rsidRPr="00876699" w:rsidRDefault="008A005C" w:rsidP="004F41CC">
      <w:pPr>
        <w:pStyle w:val="Odstavecseseznamem1"/>
        <w:ind w:left="0"/>
        <w:rPr>
          <w:rFonts w:ascii="Arial" w:hAnsi="Arial" w:cs="Arial"/>
          <w:sz w:val="20"/>
          <w:szCs w:val="20"/>
        </w:rPr>
      </w:pPr>
      <w:bookmarkStart w:id="0" w:name="_Hlk149723183"/>
      <w:r w:rsidRPr="00876699">
        <w:rPr>
          <w:rFonts w:ascii="Arial" w:hAnsi="Arial" w:cs="Arial"/>
          <w:sz w:val="20"/>
          <w:szCs w:val="20"/>
        </w:rPr>
        <w:t xml:space="preserve">Na kontrolním dnu, který se konal dne 26.08.2024 bylo konstatováno, že </w:t>
      </w:r>
      <w:r w:rsidR="004F41CC" w:rsidRPr="00876699">
        <w:rPr>
          <w:rFonts w:ascii="Arial" w:hAnsi="Arial" w:cs="Arial"/>
          <w:sz w:val="20"/>
          <w:szCs w:val="20"/>
        </w:rPr>
        <w:t>elaborát Zjišťování hranic obvodu KoPÚ… (fakturační celek 6.2.4) byl na KP Strakonice předán ke kontrole dne 22.</w:t>
      </w:r>
      <w:r w:rsidR="00876699">
        <w:rPr>
          <w:rFonts w:ascii="Arial" w:hAnsi="Arial" w:cs="Arial"/>
          <w:sz w:val="20"/>
          <w:szCs w:val="20"/>
        </w:rPr>
        <w:t>0</w:t>
      </w:r>
      <w:r w:rsidR="004F41CC" w:rsidRPr="00876699">
        <w:rPr>
          <w:rFonts w:ascii="Arial" w:hAnsi="Arial" w:cs="Arial"/>
          <w:sz w:val="20"/>
          <w:szCs w:val="20"/>
        </w:rPr>
        <w:t xml:space="preserve">2.2024. Po provedených opravách byl elaborát předán Pobočce a KP Strakonice dne </w:t>
      </w:r>
      <w:r w:rsidR="00876699">
        <w:rPr>
          <w:rFonts w:ascii="Arial" w:hAnsi="Arial" w:cs="Arial"/>
          <w:sz w:val="20"/>
          <w:szCs w:val="20"/>
        </w:rPr>
        <w:t>0</w:t>
      </w:r>
      <w:r w:rsidR="004F41CC" w:rsidRPr="00876699">
        <w:rPr>
          <w:rFonts w:ascii="Arial" w:hAnsi="Arial" w:cs="Arial"/>
          <w:sz w:val="20"/>
          <w:szCs w:val="20"/>
        </w:rPr>
        <w:t>2.</w:t>
      </w:r>
      <w:r w:rsidR="00876699">
        <w:rPr>
          <w:rFonts w:ascii="Arial" w:hAnsi="Arial" w:cs="Arial"/>
          <w:sz w:val="20"/>
          <w:szCs w:val="20"/>
        </w:rPr>
        <w:t>0</w:t>
      </w:r>
      <w:r w:rsidR="004F41CC" w:rsidRPr="00876699">
        <w:rPr>
          <w:rFonts w:ascii="Arial" w:hAnsi="Arial" w:cs="Arial"/>
          <w:sz w:val="20"/>
          <w:szCs w:val="20"/>
        </w:rPr>
        <w:t>5.2024. Ke dni 28.08.2024 nebylo ze strany KP Strakonice provedeno potvrzení ani jednoho z předaných geometrických plánů. Dle informací z</w:t>
      </w:r>
      <w:r w:rsidR="00876699">
        <w:rPr>
          <w:rFonts w:ascii="Arial" w:hAnsi="Arial" w:cs="Arial"/>
          <w:sz w:val="20"/>
          <w:szCs w:val="20"/>
        </w:rPr>
        <w:t> </w:t>
      </w:r>
      <w:r w:rsidR="004F41CC" w:rsidRPr="00876699">
        <w:rPr>
          <w:rFonts w:ascii="Arial" w:hAnsi="Arial" w:cs="Arial"/>
          <w:sz w:val="20"/>
          <w:szCs w:val="20"/>
        </w:rPr>
        <w:t>KP</w:t>
      </w:r>
      <w:r w:rsidR="00876699">
        <w:rPr>
          <w:rFonts w:ascii="Arial" w:hAnsi="Arial" w:cs="Arial"/>
          <w:sz w:val="20"/>
          <w:szCs w:val="20"/>
        </w:rPr>
        <w:t> </w:t>
      </w:r>
      <w:r w:rsidR="004F41CC" w:rsidRPr="00876699">
        <w:rPr>
          <w:rFonts w:ascii="Arial" w:hAnsi="Arial" w:cs="Arial"/>
          <w:sz w:val="20"/>
          <w:szCs w:val="20"/>
        </w:rPr>
        <w:t xml:space="preserve">Strakonice lze očekávat jejich potvrzení a následný zápis do </w:t>
      </w:r>
      <w:r w:rsidR="00876699">
        <w:rPr>
          <w:rFonts w:ascii="Arial" w:hAnsi="Arial" w:cs="Arial"/>
          <w:sz w:val="20"/>
          <w:szCs w:val="20"/>
        </w:rPr>
        <w:t>katastru nemovitostí</w:t>
      </w:r>
      <w:r w:rsidR="004F41CC" w:rsidRPr="00876699">
        <w:rPr>
          <w:rFonts w:ascii="Arial" w:hAnsi="Arial" w:cs="Arial"/>
          <w:sz w:val="20"/>
          <w:szCs w:val="20"/>
        </w:rPr>
        <w:t xml:space="preserve"> do konce roku 2024. </w:t>
      </w:r>
      <w:r w:rsidR="00876699" w:rsidRPr="00876699">
        <w:rPr>
          <w:rFonts w:ascii="Arial" w:hAnsi="Arial" w:cs="Arial"/>
          <w:sz w:val="20"/>
          <w:szCs w:val="20"/>
        </w:rPr>
        <w:t>Ze</w:t>
      </w:r>
      <w:r w:rsidR="00876699">
        <w:rPr>
          <w:rFonts w:ascii="Arial" w:hAnsi="Arial" w:cs="Arial"/>
          <w:sz w:val="20"/>
          <w:szCs w:val="20"/>
        </w:rPr>
        <w:t> </w:t>
      </w:r>
      <w:r w:rsidR="00876699" w:rsidRPr="00876699">
        <w:rPr>
          <w:rFonts w:ascii="Arial" w:hAnsi="Arial" w:cs="Arial"/>
          <w:sz w:val="20"/>
          <w:szCs w:val="20"/>
        </w:rPr>
        <w:t>strany objednatele je posun termínů odevzdání výše uvedených fakturačních celků uznán jako důvodný a</w:t>
      </w:r>
      <w:r w:rsidR="00876699">
        <w:rPr>
          <w:rFonts w:ascii="Arial" w:hAnsi="Arial" w:cs="Arial"/>
          <w:sz w:val="20"/>
          <w:szCs w:val="20"/>
        </w:rPr>
        <w:t> </w:t>
      </w:r>
      <w:r w:rsidR="00876699" w:rsidRPr="00876699">
        <w:rPr>
          <w:rFonts w:ascii="Arial" w:hAnsi="Arial" w:cs="Arial"/>
          <w:sz w:val="20"/>
          <w:szCs w:val="20"/>
        </w:rPr>
        <w:t xml:space="preserve">dohodl se se zpracovatelem na nových termínech odevzdání fakturačních celků </w:t>
      </w:r>
      <w:r w:rsidR="00876699" w:rsidRPr="00876699">
        <w:rPr>
          <w:rFonts w:ascii="Arial" w:hAnsi="Arial" w:cs="Arial"/>
          <w:b/>
          <w:bCs/>
          <w:sz w:val="20"/>
          <w:szCs w:val="20"/>
          <w:lang w:eastAsia="ar-SA"/>
        </w:rPr>
        <w:t>6.2.8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 xml:space="preserve"> „Dokumentace k</w:t>
      </w:r>
      <w:r w:rsidR="00876699">
        <w:rPr>
          <w:rFonts w:ascii="Arial" w:hAnsi="Arial" w:cs="Arial"/>
          <w:sz w:val="20"/>
          <w:szCs w:val="20"/>
          <w:lang w:eastAsia="ar-SA"/>
        </w:rPr>
        <w:t> 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 xml:space="preserve">soupisu nároků vlastníků pozemků“; </w:t>
      </w:r>
      <w:r w:rsidR="00876699" w:rsidRPr="00876699">
        <w:rPr>
          <w:rFonts w:ascii="Arial" w:hAnsi="Arial" w:cs="Arial"/>
          <w:b/>
          <w:bCs/>
          <w:sz w:val="20"/>
          <w:szCs w:val="20"/>
          <w:lang w:eastAsia="ar-SA"/>
        </w:rPr>
        <w:t>6.3.1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 xml:space="preserve"> „Vypracování plánu společných zařízení ("PSZ")“ vč. podetap 6.3.1</w:t>
      </w:r>
      <w:r w:rsidR="00876699">
        <w:rPr>
          <w:rFonts w:ascii="Arial" w:hAnsi="Arial" w:cs="Arial"/>
          <w:sz w:val="20"/>
          <w:szCs w:val="20"/>
          <w:lang w:eastAsia="ar-SA"/>
        </w:rPr>
        <w:t> 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 xml:space="preserve">i)a), 6.3.1 i)b), 6.3.1 i)c) a </w:t>
      </w:r>
      <w:r w:rsidR="00876699" w:rsidRPr="00876699">
        <w:rPr>
          <w:rFonts w:ascii="Arial" w:hAnsi="Arial" w:cs="Arial"/>
          <w:b/>
          <w:bCs/>
          <w:sz w:val="20"/>
          <w:szCs w:val="20"/>
          <w:lang w:eastAsia="ar-SA"/>
        </w:rPr>
        <w:t>6.3.2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 xml:space="preserve"> „Vypracování návrhu nového uspořádání pozemků k jeho vystavení dle</w:t>
      </w:r>
      <w:r w:rsidR="00876699">
        <w:rPr>
          <w:rFonts w:ascii="Arial" w:hAnsi="Arial" w:cs="Arial"/>
          <w:sz w:val="20"/>
          <w:szCs w:val="20"/>
          <w:lang w:eastAsia="ar-SA"/>
        </w:rPr>
        <w:t> 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>§</w:t>
      </w:r>
      <w:r w:rsidR="00876699">
        <w:rPr>
          <w:rFonts w:ascii="Arial" w:hAnsi="Arial" w:cs="Arial"/>
          <w:sz w:val="20"/>
          <w:szCs w:val="20"/>
          <w:lang w:eastAsia="ar-SA"/>
        </w:rPr>
        <w:t> </w:t>
      </w:r>
      <w:r w:rsidR="00876699" w:rsidRPr="00876699">
        <w:rPr>
          <w:rFonts w:ascii="Arial" w:hAnsi="Arial" w:cs="Arial"/>
          <w:sz w:val="20"/>
          <w:szCs w:val="20"/>
          <w:lang w:eastAsia="ar-SA"/>
        </w:rPr>
        <w:t>11 odst. 1 Zákona“</w:t>
      </w:r>
      <w:r w:rsidR="00876699" w:rsidRPr="00876699">
        <w:rPr>
          <w:rFonts w:ascii="Arial" w:hAnsi="Arial" w:cs="Arial"/>
          <w:sz w:val="20"/>
          <w:szCs w:val="20"/>
        </w:rPr>
        <w:t xml:space="preserve"> </w:t>
      </w:r>
      <w:r w:rsidR="004F41CC" w:rsidRPr="00876699">
        <w:rPr>
          <w:rFonts w:ascii="Arial" w:hAnsi="Arial" w:cs="Arial"/>
          <w:sz w:val="20"/>
          <w:szCs w:val="20"/>
        </w:rPr>
        <w:t xml:space="preserve">v závislosti na skutečném termínu zápisu všech geometrických plánů do katastru nemovitostí. Termíny jednotlivých </w:t>
      </w:r>
      <w:r w:rsidR="00336F79" w:rsidRPr="00876699">
        <w:rPr>
          <w:rFonts w:ascii="Arial" w:hAnsi="Arial" w:cs="Arial"/>
          <w:sz w:val="20"/>
          <w:szCs w:val="20"/>
        </w:rPr>
        <w:t>fakturačních celků</w:t>
      </w:r>
      <w:r w:rsidR="004F41CC" w:rsidRPr="00876699">
        <w:rPr>
          <w:rFonts w:ascii="Arial" w:hAnsi="Arial" w:cs="Arial"/>
          <w:sz w:val="20"/>
          <w:szCs w:val="20"/>
        </w:rPr>
        <w:t xml:space="preserve"> byly stanoveny tak, aby časový odstup odevzdání jednotlivých dílčích etap (fakturačních celků) nebyl větší, než časový odstup ujednaný ve Smlouvě</w:t>
      </w:r>
      <w:r w:rsidR="00336F79" w:rsidRPr="00876699">
        <w:rPr>
          <w:rFonts w:ascii="Arial" w:hAnsi="Arial" w:cs="Arial"/>
          <w:sz w:val="20"/>
          <w:szCs w:val="20"/>
        </w:rPr>
        <w:t xml:space="preserve"> o dílo.</w:t>
      </w:r>
    </w:p>
    <w:p w14:paraId="543CE9A3" w14:textId="5ACAFF93" w:rsidR="00336F79" w:rsidRPr="00876699" w:rsidRDefault="004F41CC" w:rsidP="004F41CC">
      <w:pPr>
        <w:pStyle w:val="Odstavecseseznamem1"/>
        <w:ind w:left="0"/>
        <w:rPr>
          <w:rFonts w:ascii="Arial" w:hAnsi="Arial" w:cs="Arial"/>
          <w:sz w:val="20"/>
          <w:szCs w:val="20"/>
        </w:rPr>
      </w:pPr>
      <w:r w:rsidRPr="00876699">
        <w:rPr>
          <w:rFonts w:ascii="Arial" w:hAnsi="Arial" w:cs="Arial"/>
          <w:sz w:val="20"/>
          <w:szCs w:val="20"/>
        </w:rPr>
        <w:t xml:space="preserve">Termíny </w:t>
      </w:r>
      <w:r w:rsidR="00336F79" w:rsidRPr="00876699">
        <w:rPr>
          <w:rFonts w:ascii="Arial" w:hAnsi="Arial" w:cs="Arial"/>
          <w:sz w:val="20"/>
          <w:szCs w:val="20"/>
        </w:rPr>
        <w:t xml:space="preserve">odevzdání </w:t>
      </w:r>
      <w:r w:rsidRPr="00876699">
        <w:rPr>
          <w:rFonts w:ascii="Arial" w:hAnsi="Arial" w:cs="Arial"/>
          <w:sz w:val="20"/>
          <w:szCs w:val="20"/>
        </w:rPr>
        <w:t xml:space="preserve">následných </w:t>
      </w:r>
      <w:r w:rsidR="00336F79" w:rsidRPr="00876699">
        <w:rPr>
          <w:rFonts w:ascii="Arial" w:hAnsi="Arial" w:cs="Arial"/>
          <w:sz w:val="20"/>
          <w:szCs w:val="20"/>
        </w:rPr>
        <w:t>fakturačních celků</w:t>
      </w:r>
      <w:r w:rsidRPr="00876699">
        <w:rPr>
          <w:rFonts w:ascii="Arial" w:hAnsi="Arial" w:cs="Arial"/>
          <w:sz w:val="20"/>
          <w:szCs w:val="20"/>
        </w:rPr>
        <w:t xml:space="preserve"> jsou dohodnuty následovně: </w:t>
      </w:r>
    </w:p>
    <w:p w14:paraId="0EC139B2" w14:textId="77777777" w:rsidR="00336F79" w:rsidRPr="00876699" w:rsidRDefault="00336F79" w:rsidP="004F41CC">
      <w:pPr>
        <w:pStyle w:val="Odstavecseseznamem1"/>
        <w:ind w:left="0"/>
        <w:rPr>
          <w:rFonts w:ascii="Arial" w:hAnsi="Arial" w:cs="Arial"/>
          <w:color w:val="FF0000"/>
          <w:sz w:val="20"/>
          <w:szCs w:val="20"/>
        </w:rPr>
      </w:pPr>
    </w:p>
    <w:tbl>
      <w:tblPr>
        <w:tblW w:w="929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2835"/>
        <w:gridCol w:w="1701"/>
        <w:gridCol w:w="3686"/>
      </w:tblGrid>
      <w:tr w:rsidR="00336F79" w:rsidRPr="009B002F" w14:paraId="7C6511C5" w14:textId="77777777" w:rsidTr="00336F79">
        <w:trPr>
          <w:trHeight w:val="331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92A271" w14:textId="77777777" w:rsidR="00336F79" w:rsidRPr="009B002F" w:rsidRDefault="00336F79" w:rsidP="00336F79">
            <w:pPr>
              <w:spacing w:after="0" w:line="240" w:lineRule="auto"/>
              <w:ind w:left="7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Etapa (fakturační celek)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D30704" w14:textId="588A6813" w:rsidR="00336F79" w:rsidRPr="00336F79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36F79">
              <w:rPr>
                <w:rFonts w:ascii="Arial" w:hAnsi="Arial" w:cs="Arial"/>
                <w:bCs/>
                <w:iCs/>
                <w:sz w:val="20"/>
                <w:szCs w:val="20"/>
              </w:rPr>
              <w:t>Původní termín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736ECAC0" w14:textId="00A41555" w:rsidR="00336F79" w:rsidRPr="009B002F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Nově navržený termín</w:t>
            </w:r>
          </w:p>
        </w:tc>
      </w:tr>
      <w:tr w:rsidR="00336F79" w:rsidRPr="009B002F" w14:paraId="0216CDC7" w14:textId="77777777" w:rsidTr="00336F79">
        <w:trPr>
          <w:trHeight w:val="778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B3AB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6.2.8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647FC3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4D52EB" w14:textId="70043F8C" w:rsidR="00336F79" w:rsidRPr="00336F79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36F79">
              <w:rPr>
                <w:rFonts w:ascii="Arial" w:hAnsi="Arial" w:cs="Arial"/>
                <w:bCs/>
                <w:iCs/>
                <w:sz w:val="20"/>
                <w:szCs w:val="20"/>
              </w:rPr>
              <w:t>30.11.2024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86311C" w14:textId="0B2C619C" w:rsidR="00336F79" w:rsidRPr="009B002F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měsíců od zápisu posledního GP do katastru k etapě 6.2.4.</w:t>
            </w:r>
          </w:p>
        </w:tc>
      </w:tr>
      <w:tr w:rsidR="00336F79" w:rsidRPr="009B002F" w14:paraId="2970D940" w14:textId="77777777" w:rsidTr="00336F79">
        <w:trPr>
          <w:trHeight w:val="469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D29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6.3.1.</w:t>
            </w:r>
          </w:p>
          <w:p w14:paraId="32F71BA2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6.3.1 i)a) 6.3.1 i)b) 6.3.1 i)c)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93F" w14:textId="00209F5B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Plán společných zařízení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B002F">
              <w:rPr>
                <w:rFonts w:ascii="Arial" w:hAnsi="Arial" w:cs="Arial"/>
                <w:iCs/>
                <w:sz w:val="20"/>
                <w:szCs w:val="20"/>
              </w:rPr>
              <w:t>-PSZ, výškopis a DTR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7C4A" w14:textId="5E8ACDC1" w:rsidR="00336F79" w:rsidRPr="00336F79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36F79">
              <w:rPr>
                <w:rFonts w:ascii="Arial" w:hAnsi="Arial" w:cs="Arial"/>
                <w:bCs/>
                <w:iCs/>
                <w:sz w:val="20"/>
                <w:szCs w:val="20"/>
              </w:rPr>
              <w:t>30.09.2025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FF619" w14:textId="06CF1479" w:rsidR="00336F79" w:rsidRPr="009B002F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měsíců od zápisu posledního GP do katastru k etapě 6.2.4.</w:t>
            </w:r>
          </w:p>
        </w:tc>
      </w:tr>
      <w:tr w:rsidR="00336F79" w:rsidRPr="009B002F" w14:paraId="1B99B340" w14:textId="77777777" w:rsidTr="00336F79">
        <w:trPr>
          <w:trHeight w:val="844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409E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6.3.2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B79" w14:textId="77777777" w:rsidR="00336F79" w:rsidRPr="009B002F" w:rsidRDefault="00336F79" w:rsidP="008814B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Vypracování návrhu nového uspořádání pozemků k jeho vystavení dle §11 odst.1 zák.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376" w14:textId="27E0CF60" w:rsidR="00336F79" w:rsidRPr="00336F79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36F79">
              <w:rPr>
                <w:rFonts w:ascii="Arial" w:hAnsi="Arial" w:cs="Arial"/>
                <w:bCs/>
                <w:iCs/>
                <w:sz w:val="20"/>
                <w:szCs w:val="20"/>
              </w:rPr>
              <w:t>31.05.2026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25DEA" w14:textId="2F3849C6" w:rsidR="00336F79" w:rsidRPr="009B002F" w:rsidRDefault="00336F79" w:rsidP="008814B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3</w:t>
            </w: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měsíců od zápisu posledního GP do katastru k etapě 6.2.4.</w:t>
            </w:r>
          </w:p>
        </w:tc>
      </w:tr>
    </w:tbl>
    <w:p w14:paraId="7670FEEC" w14:textId="77777777" w:rsidR="00336F79" w:rsidRDefault="00336F79" w:rsidP="004F41CC">
      <w:pPr>
        <w:pStyle w:val="Odstavecseseznamem1"/>
        <w:ind w:left="0"/>
        <w:rPr>
          <w:rFonts w:ascii="Arial" w:hAnsi="Arial" w:cs="Arial"/>
          <w:color w:val="FF0000"/>
          <w:sz w:val="20"/>
          <w:szCs w:val="20"/>
        </w:rPr>
      </w:pPr>
    </w:p>
    <w:p w14:paraId="60AD6F58" w14:textId="77777777" w:rsidR="00876699" w:rsidRDefault="00876699" w:rsidP="0087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14:paraId="744D3E5D" w14:textId="25CDBBE1" w:rsidR="00876699" w:rsidRDefault="00876699" w:rsidP="0087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Ostatní ustanovení Smlouvy o dílo se tímto Dodatkem nemění.</w:t>
      </w:r>
    </w:p>
    <w:p w14:paraId="1537963C" w14:textId="639A9AA1" w:rsidR="008A005C" w:rsidRDefault="008A005C" w:rsidP="004F41CC">
      <w:pPr>
        <w:pStyle w:val="Odstavecseseznamem1"/>
        <w:ind w:left="0"/>
        <w:rPr>
          <w:rFonts w:ascii="Arial" w:hAnsi="Arial" w:cs="Arial"/>
          <w:color w:val="FF0000"/>
          <w:sz w:val="20"/>
          <w:szCs w:val="20"/>
          <w:u w:val="single"/>
        </w:rPr>
      </w:pPr>
    </w:p>
    <w:bookmarkEnd w:id="0"/>
    <w:p w14:paraId="5782DA57" w14:textId="51FF10E0" w:rsidR="00D425BA" w:rsidRDefault="00D425BA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F1738B" w14:textId="77777777" w:rsidR="00876699" w:rsidRDefault="00876699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45032A" w14:textId="77777777" w:rsidR="00876699" w:rsidRDefault="00876699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8823AE" w14:textId="77777777" w:rsidR="00876699" w:rsidRDefault="00876699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B09A74" w14:textId="36225D56" w:rsidR="00D425BA" w:rsidRDefault="00D425BA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BA40B9" w14:textId="77777777" w:rsidR="00D425BA" w:rsidRDefault="00D425BA" w:rsidP="00D425BA">
      <w:pPr>
        <w:jc w:val="center"/>
        <w:rPr>
          <w:rFonts w:ascii="Arial" w:hAnsi="Arial" w:cs="Arial"/>
          <w:b/>
          <w:bCs/>
          <w:snapToGrid w:val="0"/>
        </w:rPr>
      </w:pPr>
      <w:r w:rsidRPr="005842D1">
        <w:rPr>
          <w:rFonts w:ascii="Arial" w:hAnsi="Arial" w:cs="Arial"/>
          <w:b/>
          <w:bCs/>
          <w:snapToGrid w:val="0"/>
        </w:rPr>
        <w:t xml:space="preserve">III. </w:t>
      </w:r>
    </w:p>
    <w:p w14:paraId="5551A38A" w14:textId="77777777" w:rsidR="00D425BA" w:rsidRPr="005842D1" w:rsidRDefault="00D425BA" w:rsidP="00D425BA">
      <w:pPr>
        <w:jc w:val="center"/>
        <w:rPr>
          <w:rFonts w:ascii="Arial" w:hAnsi="Arial" w:cs="Arial"/>
          <w:b/>
          <w:bCs/>
          <w:snapToGrid w:val="0"/>
        </w:rPr>
      </w:pPr>
      <w:r w:rsidRPr="005842D1">
        <w:rPr>
          <w:rFonts w:ascii="Arial" w:hAnsi="Arial" w:cs="Arial"/>
          <w:b/>
          <w:bCs/>
          <w:snapToGrid w:val="0"/>
        </w:rPr>
        <w:t>Závěrečná ustanovení</w:t>
      </w:r>
    </w:p>
    <w:p w14:paraId="51360F8D" w14:textId="24B73488" w:rsidR="00D425BA" w:rsidRPr="00D425BA" w:rsidRDefault="00D425BA" w:rsidP="00D425B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D425BA">
        <w:rPr>
          <w:rFonts w:ascii="Arial" w:hAnsi="Arial" w:cs="Arial"/>
          <w:sz w:val="20"/>
          <w:szCs w:val="20"/>
        </w:rPr>
        <w:t>Smluvní strany jsou si plně vědomy zákonné povinnosti od 1. 7. 2016 uveřejnit dle zákona č. 340/2015 Sb., o</w:t>
      </w:r>
      <w:r>
        <w:rPr>
          <w:rFonts w:ascii="Arial" w:hAnsi="Arial" w:cs="Arial"/>
          <w:sz w:val="20"/>
          <w:szCs w:val="20"/>
        </w:rPr>
        <w:t> </w:t>
      </w:r>
      <w:r w:rsidRPr="00D425BA">
        <w:rPr>
          <w:rFonts w:ascii="Arial" w:hAnsi="Arial" w:cs="Arial"/>
          <w:sz w:val="20"/>
          <w:szCs w:val="20"/>
        </w:rPr>
        <w:t>zvláštních podmínkách účinnosti některých smluv, uveřejňování těchto smluv a o registru smluv (zákon o</w:t>
      </w:r>
      <w:r>
        <w:rPr>
          <w:rFonts w:ascii="Arial" w:hAnsi="Arial" w:cs="Arial"/>
          <w:sz w:val="20"/>
          <w:szCs w:val="20"/>
        </w:rPr>
        <w:t> </w:t>
      </w:r>
      <w:r w:rsidRPr="00D425BA">
        <w:rPr>
          <w:rFonts w:ascii="Arial" w:hAnsi="Arial" w:cs="Arial"/>
          <w:sz w:val="20"/>
          <w:szCs w:val="20"/>
        </w:rPr>
        <w:t xml:space="preserve">registru smluv) tento Dodatek č. </w:t>
      </w:r>
      <w:r w:rsidR="00876699">
        <w:rPr>
          <w:rFonts w:ascii="Arial" w:hAnsi="Arial" w:cs="Arial"/>
          <w:sz w:val="20"/>
          <w:szCs w:val="20"/>
        </w:rPr>
        <w:t>2</w:t>
      </w:r>
      <w:r w:rsidRPr="00D425BA">
        <w:rPr>
          <w:rFonts w:ascii="Arial" w:hAnsi="Arial" w:cs="Arial"/>
          <w:sz w:val="20"/>
          <w:szCs w:val="20"/>
        </w:rPr>
        <w:t xml:space="preserve">, a to prostřednictvím registru smluv. Smluvní strany se dohodly, že tento Dodatek č. </w:t>
      </w:r>
      <w:r w:rsidR="00876699">
        <w:rPr>
          <w:rFonts w:ascii="Arial" w:hAnsi="Arial" w:cs="Arial"/>
          <w:sz w:val="20"/>
          <w:szCs w:val="20"/>
        </w:rPr>
        <w:t>2</w:t>
      </w:r>
      <w:r w:rsidRPr="00D425BA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</w:p>
    <w:p w14:paraId="6022827D" w14:textId="40C88360" w:rsidR="00D425BA" w:rsidRPr="00D425BA" w:rsidRDefault="00D425BA" w:rsidP="00D425B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D425BA">
        <w:rPr>
          <w:rFonts w:ascii="Arial" w:hAnsi="Arial" w:cs="Arial"/>
          <w:sz w:val="20"/>
          <w:szCs w:val="20"/>
        </w:rPr>
        <w:t xml:space="preserve">Dodatek č. </w:t>
      </w:r>
      <w:r w:rsidR="00876699">
        <w:rPr>
          <w:rFonts w:ascii="Arial" w:hAnsi="Arial" w:cs="Arial"/>
          <w:sz w:val="20"/>
          <w:szCs w:val="20"/>
        </w:rPr>
        <w:t>2</w:t>
      </w:r>
      <w:r w:rsidRPr="00D425BA">
        <w:rPr>
          <w:rFonts w:ascii="Arial" w:hAnsi="Arial" w:cs="Arial"/>
          <w:sz w:val="20"/>
          <w:szCs w:val="20"/>
        </w:rPr>
        <w:t xml:space="preserve"> nabývá platnosti dnem podpisu smluvních stran a účinnosti dnem jeho uveřejnění v registru smluv dle ust. § 6 odst. 1 zákona č. 340/2015 Sb., o registru smluv. </w:t>
      </w:r>
    </w:p>
    <w:p w14:paraId="1DAD8326" w14:textId="24094EE9" w:rsidR="00D425BA" w:rsidRPr="00D425BA" w:rsidRDefault="00D425BA" w:rsidP="00D425BA">
      <w:pPr>
        <w:spacing w:after="12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Smluvní strany prohlašují, že si tento </w:t>
      </w:r>
      <w:r>
        <w:rPr>
          <w:rFonts w:ascii="Arial" w:hAnsi="Arial" w:cs="Arial"/>
          <w:bCs/>
          <w:snapToGrid w:val="0"/>
          <w:sz w:val="20"/>
          <w:szCs w:val="20"/>
        </w:rPr>
        <w:t>D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>odatek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č. </w:t>
      </w:r>
      <w:r w:rsidR="00876699">
        <w:rPr>
          <w:rFonts w:ascii="Arial" w:hAnsi="Arial" w:cs="Arial"/>
          <w:bCs/>
          <w:snapToGrid w:val="0"/>
          <w:sz w:val="20"/>
          <w:szCs w:val="20"/>
        </w:rPr>
        <w:t>2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 přečetly, souhlasí s jeho obsahem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a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 dále prohlašují, že nebyl sepsán v tísni ani za nápadně nevýhodných podmínek. Na důkaz toho připojují své podpisy.</w:t>
      </w:r>
    </w:p>
    <w:p w14:paraId="7DB99BB5" w14:textId="77777777" w:rsidR="002B735B" w:rsidRPr="00D425BA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DB552F" w14:textId="63A9413E" w:rsidR="002B735B" w:rsidRPr="00D425BA" w:rsidRDefault="00D425B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Ve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95810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Strakonic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ích</w:t>
      </w:r>
      <w:r w:rsidR="00C130F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dne 14.10.2024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</w:t>
      </w:r>
      <w:r w:rsidR="00C130FF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Příbrami</w:t>
      </w:r>
      <w:r w:rsidR="00C130F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dne 14.10.2024</w:t>
      </w:r>
    </w:p>
    <w:p w14:paraId="4B555DE5" w14:textId="59B481FF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E1F0AA3" w14:textId="77777777" w:rsidR="00D425BA" w:rsidRPr="00D425BA" w:rsidRDefault="00D425BA" w:rsidP="00D425BA">
      <w:pPr>
        <w:tabs>
          <w:tab w:val="left" w:pos="5670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425BA">
        <w:rPr>
          <w:rFonts w:ascii="Arial" w:hAnsi="Arial" w:cs="Arial"/>
          <w:bCs/>
          <w:snapToGrid w:val="0"/>
          <w:sz w:val="20"/>
          <w:szCs w:val="20"/>
        </w:rPr>
        <w:t>Za objednatele: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ab/>
        <w:t>Za zhotovitele:</w:t>
      </w:r>
    </w:p>
    <w:p w14:paraId="2500063D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CFC2928" w14:textId="19953F4F" w:rsidR="002B735B" w:rsidRPr="00D425BA" w:rsidRDefault="0002360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="00C130FF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C130FF"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40C39296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9DB6108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60262FE5" w14:textId="15F1E1B9" w:rsidR="002B735B" w:rsidRPr="00D425BA" w:rsidRDefault="006958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Richard Valný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87934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Vladimír Luks</w:t>
      </w:r>
    </w:p>
    <w:p w14:paraId="340842AD" w14:textId="6725C35B" w:rsidR="002B735B" w:rsidRPr="00D425BA" w:rsidRDefault="006958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vedoucí Pobočky Strakonice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87934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</w:p>
    <w:p w14:paraId="51D9681F" w14:textId="1C7C5BC9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D9DE6C" w14:textId="6636BC1C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CDB6712" w14:textId="680E02C4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C8D0240" w14:textId="489C446A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DF97764" w14:textId="56660BD9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3E1597A" w14:textId="17326867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3DBEB0C" w14:textId="26D4E49B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6535A7B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Za správnost: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16C2E565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DE71CD2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64988EB" w14:textId="033D1234" w:rsidR="00C87934" w:rsidRPr="00D425BA" w:rsidRDefault="0002360D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3E16770A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EE18209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C469772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Jiří Roučka</w:t>
      </w:r>
    </w:p>
    <w:p w14:paraId="7598F50C" w14:textId="2EC462BC" w:rsidR="00B3745E" w:rsidRDefault="00C87934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Pobočka Strakonice</w:t>
      </w:r>
    </w:p>
    <w:p w14:paraId="3F0C969F" w14:textId="60FB20CF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D26973E" w14:textId="6C84EA88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2264869" w14:textId="51B4B84A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D0EC80D" w14:textId="5B1D540B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F2E021D" w14:textId="7313DD63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C210A69" w14:textId="7A994A43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5C2F0A9" w14:textId="02977B35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85E64BE" w14:textId="129BEE2F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30D4E4B" w14:textId="77777777" w:rsidR="00112D96" w:rsidRDefault="00112D96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3AA55DF" w14:textId="68AD309A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BA7390C" w14:textId="77777777" w:rsidR="00876699" w:rsidRDefault="00876699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77CF146" w14:textId="77777777" w:rsidR="00B97495" w:rsidRDefault="00B97495" w:rsidP="004832E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  <w:sectPr w:rsidR="00B97495" w:rsidSect="00B1042E">
          <w:headerReference w:type="default" r:id="rId14"/>
          <w:footerReference w:type="default" r:id="rId15"/>
          <w:headerReference w:type="first" r:id="rId16"/>
          <w:pgSz w:w="11907" w:h="16839" w:code="9"/>
          <w:pgMar w:top="1276" w:right="1077" w:bottom="1418" w:left="1077" w:header="709" w:footer="709" w:gutter="0"/>
          <w:cols w:space="708"/>
          <w:titlePg/>
          <w:docGrid w:linePitch="360"/>
        </w:sectPr>
      </w:pPr>
    </w:p>
    <w:p w14:paraId="46210D41" w14:textId="5C14813B" w:rsidR="005C0157" w:rsidRPr="005C0157" w:rsidRDefault="005C0157" w:rsidP="004832E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C0157">
        <w:rPr>
          <w:rFonts w:ascii="Arial" w:eastAsia="Times New Roman" w:hAnsi="Arial" w:cs="Arial"/>
          <w:b/>
          <w:sz w:val="20"/>
          <w:szCs w:val="20"/>
          <w:lang w:eastAsia="cs-CZ"/>
        </w:rPr>
        <w:t>Položkový výkaz činností</w:t>
      </w:r>
      <w:r w:rsidRPr="005C015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–  Příloha k Dodatku č. </w:t>
      </w:r>
      <w:r w:rsidR="00B1042E">
        <w:rPr>
          <w:rFonts w:ascii="Arial" w:eastAsia="Times New Roman" w:hAnsi="Arial" w:cs="Arial"/>
          <w:bCs/>
          <w:sz w:val="20"/>
          <w:szCs w:val="20"/>
          <w:lang w:eastAsia="cs-CZ"/>
        </w:rPr>
        <w:t>2</w:t>
      </w:r>
      <w:r w:rsidRPr="005C015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Smlouvy o dílo –  Komplexní pozemkové úpravy Mnichov</w:t>
      </w:r>
    </w:p>
    <w:tbl>
      <w:tblPr>
        <w:tblW w:w="965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41"/>
        <w:gridCol w:w="3420"/>
        <w:gridCol w:w="11"/>
        <w:gridCol w:w="798"/>
        <w:gridCol w:w="798"/>
        <w:gridCol w:w="530"/>
        <w:gridCol w:w="691"/>
        <w:gridCol w:w="687"/>
        <w:gridCol w:w="411"/>
        <w:gridCol w:w="1290"/>
        <w:gridCol w:w="171"/>
      </w:tblGrid>
      <w:tr w:rsidR="005C0157" w:rsidRPr="00D425BA" w14:paraId="5DB481F7" w14:textId="77777777" w:rsidTr="00B1042E">
        <w:trPr>
          <w:trHeight w:val="42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3CD5C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E15CE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B5DEA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2BE3F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479A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4AF09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18F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5C0157" w:rsidRPr="00D425BA" w14:paraId="5778D0A2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EADBA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CB8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A72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6A2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16D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4B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F50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2C6C1971" w14:textId="77777777" w:rsidTr="00B1042E">
        <w:trPr>
          <w:trHeight w:hRule="exact" w:val="227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9A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875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A97B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F6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42 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A7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E1A5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63 000,00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2C3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30.4.2023</w:t>
            </w:r>
          </w:p>
        </w:tc>
      </w:tr>
      <w:tr w:rsidR="005C0157" w:rsidRPr="00D425BA" w14:paraId="03F5BE56" w14:textId="77777777" w:rsidTr="00B1042E">
        <w:trPr>
          <w:trHeight w:hRule="exact" w:val="22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C74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C8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DE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3D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066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357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64 000,00</w:t>
            </w:r>
          </w:p>
        </w:tc>
        <w:tc>
          <w:tcPr>
            <w:tcW w:w="14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344D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C152580" w14:textId="77777777" w:rsidTr="00B1042E">
        <w:trPr>
          <w:trHeight w:hRule="exact" w:val="39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99E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56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97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37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0E5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3CE7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519 400,00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6505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30.4.2023</w:t>
            </w:r>
          </w:p>
        </w:tc>
      </w:tr>
      <w:tr w:rsidR="005C0157" w:rsidRPr="00D425BA" w14:paraId="02B95CFF" w14:textId="77777777" w:rsidTr="00B1042E">
        <w:trPr>
          <w:trHeight w:hRule="exact" w:val="39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C57C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A37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v trvalých porostech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E2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77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7A6A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877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52 000,00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C44C8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4231B451" w14:textId="77777777" w:rsidTr="00B1042E">
        <w:trPr>
          <w:trHeight w:val="6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B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72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1" w:name="_Hlk179533037"/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</w:t>
            </w:r>
            <w:bookmarkEnd w:id="1"/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geometrické plány pro stanovení obvodu KoPÚ, předepsaná stabilizace dle vyhlášky č. 357/2013 Sb.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8C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C1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EC1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3F5A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662 400,00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48AC" w14:textId="45836FCE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06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5C0157" w:rsidRPr="00D425BA" w14:paraId="595CDC6B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C5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C3D" w14:textId="77777777" w:rsidR="00D425BA" w:rsidRPr="00D425BA" w:rsidRDefault="00D425BA" w:rsidP="004832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571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9FF0" w14:textId="1DC2DB1B" w:rsidR="00D425BA" w:rsidRPr="00D425BA" w:rsidRDefault="00BF45EC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5D3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F1C" w14:textId="0F6A07B3" w:rsidR="00D425BA" w:rsidRPr="00D425BA" w:rsidRDefault="00BF45EC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D425BA"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DEE5" w14:textId="6F5DD11D" w:rsidR="00D425BA" w:rsidRPr="00D425BA" w:rsidRDefault="00BF45EC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30.06.2024</w:t>
            </w:r>
          </w:p>
        </w:tc>
      </w:tr>
      <w:tr w:rsidR="005C0157" w:rsidRPr="00D425BA" w14:paraId="0CB96BBB" w14:textId="77777777" w:rsidTr="00B1042E">
        <w:trPr>
          <w:trHeight w:val="5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DE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738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2F9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E5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330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981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307 000,00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77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5C0157" w:rsidRPr="00D425BA" w14:paraId="55D08A83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8DD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80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9B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10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C64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508E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322 800,00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248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31.5.2024</w:t>
            </w:r>
          </w:p>
        </w:tc>
      </w:tr>
      <w:tr w:rsidR="005C0157" w:rsidRPr="00D425BA" w14:paraId="1DDACD35" w14:textId="77777777" w:rsidTr="00B1042E">
        <w:trPr>
          <w:trHeight w:hRule="exact" w:val="60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F4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77DB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03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F0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152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AF92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403 500,00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6CBF" w14:textId="1599BEBF" w:rsidR="00D425BA" w:rsidRPr="00D425BA" w:rsidRDefault="00B1042E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042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 měsíců od zápisu posledního GP do KN k etapě 6.2.4.</w:t>
            </w:r>
          </w:p>
        </w:tc>
      </w:tr>
      <w:tr w:rsidR="005C0157" w:rsidRPr="00D425BA" w14:paraId="7D9C89F6" w14:textId="77777777" w:rsidTr="00B1042E">
        <w:trPr>
          <w:trHeight w:hRule="exact" w:val="227"/>
        </w:trPr>
        <w:tc>
          <w:tcPr>
            <w:tcW w:w="4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F1A5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3066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A56B1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1CAF12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53F98" w14:textId="53BAEC72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5A65F" w14:textId="7963C24C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  <w:tr w:rsidR="005C0157" w:rsidRPr="00D425BA" w14:paraId="00112B07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65A18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4E9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10F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E5F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DB8D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2D0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5209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25B3A603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4A5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82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C9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AF3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FB0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7B5C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645 600,00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5244" w14:textId="21DEDCB3" w:rsidR="00D425BA" w:rsidRPr="00D425BA" w:rsidRDefault="00B1042E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042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15 měsíců od zápisu posledního GP do</w:t>
            </w: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  <w:r w:rsidRPr="00B1042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KN k etapě 6.2.4</w:t>
            </w:r>
            <w:r w:rsidRPr="00B104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</w:tr>
      <w:tr w:rsidR="005C0157" w:rsidRPr="00D425BA" w14:paraId="0615FEA2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A7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EE8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6C6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11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0A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03CC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17 500,00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D58D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45428184" w14:textId="77777777" w:rsidTr="00B1042E">
        <w:trPr>
          <w:trHeight w:val="62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E1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06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EB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29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B0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1B373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DFD1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BAF29E2" w14:textId="77777777" w:rsidTr="00B1042E">
        <w:trPr>
          <w:trHeight w:val="97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86F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55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F5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3A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2BA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8C79D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4E94C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16415FF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6796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885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A2E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44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16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C45B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1B2C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54342941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96B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52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584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3B68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4F0F9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71CD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CC1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4D56A86E" w14:textId="77777777" w:rsidTr="00B1042E">
        <w:trPr>
          <w:trHeight w:hRule="exact" w:val="483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848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B1D9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44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DF8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50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36B2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2EFE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65FA9238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BD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681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AA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135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E7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8C39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3D40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4DD43E02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39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56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0C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6B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0F1F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F45A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DD3C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119837FB" w14:textId="77777777" w:rsidTr="00B1042E">
        <w:trPr>
          <w:trHeight w:val="669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C4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8D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02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1B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0A7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9182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645 600,00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01FE" w14:textId="7B38B419" w:rsidR="00D425BA" w:rsidRPr="00B1042E" w:rsidRDefault="00B1042E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1042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23 měsíců od zápisu posledního GP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</w:t>
            </w:r>
            <w:r w:rsidRPr="00B1042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</w:t>
            </w:r>
            <w:r w:rsidRPr="00B1042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KN k etapě 6.2.4.</w:t>
            </w:r>
          </w:p>
        </w:tc>
      </w:tr>
      <w:tr w:rsidR="005C0157" w:rsidRPr="00D425BA" w14:paraId="7D97A27F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F5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DBB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E3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7D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BC1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AEAE1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835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1 měsíce od výzvy Objednatele</w:t>
            </w:r>
          </w:p>
        </w:tc>
      </w:tr>
      <w:tr w:rsidR="005C0157" w:rsidRPr="00D425BA" w14:paraId="2C0EF0C7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DC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17E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77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E5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02F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603C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AA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5AC515DB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C3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5E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77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1689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74B9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ACF2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A882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63E50167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16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E10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8DA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672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5B2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91A51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684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2C0EC0AB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56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512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3E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98A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786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7824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A2F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693047F6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42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9A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ED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26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CA2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37F9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245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67898537" w14:textId="77777777" w:rsidTr="00B1042E">
        <w:trPr>
          <w:trHeight w:hRule="exact" w:val="248"/>
        </w:trPr>
        <w:tc>
          <w:tcPr>
            <w:tcW w:w="4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590F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7437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3660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67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48C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1 598 100,00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38D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5C0157" w:rsidRPr="00D425BA" w14:paraId="44135408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88B8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61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72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659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E3FE" w14:textId="77777777" w:rsidR="00D425BA" w:rsidRPr="00B1042E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10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91A" w14:textId="6F6B6E54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403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6C4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4832E2" w14:paraId="31CF71F8" w14:textId="77777777" w:rsidTr="00F45ED9">
        <w:trPr>
          <w:trHeight w:hRule="exact" w:val="300"/>
        </w:trPr>
        <w:tc>
          <w:tcPr>
            <w:tcW w:w="42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B7CE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3035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398D0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199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362D9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403 500,00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F79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BF45EC" w:rsidRPr="004832E2" w14:paraId="0B6F2DBF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D97C" w14:textId="20EB8095" w:rsidR="00BF45EC" w:rsidRPr="00BF45EC" w:rsidRDefault="00BF45EC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41D12" w14:textId="77777777" w:rsidR="00BF45EC" w:rsidRPr="00BF45EC" w:rsidRDefault="00BF45EC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C3021" w14:textId="77777777" w:rsidR="00BF45EC" w:rsidRPr="00BF45EC" w:rsidRDefault="00BF45EC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</w:pPr>
          </w:p>
        </w:tc>
      </w:tr>
      <w:tr w:rsidR="004832E2" w:rsidRPr="004832E2" w14:paraId="527DDE0E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0D8D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8AD" w14:textId="3BB428A7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</w:t>
            </w:r>
            <w:r w:rsidR="00BF45E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DAAF25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832E2" w:rsidRPr="004832E2" w14:paraId="052A867C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A118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FAB" w14:textId="77777777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1 598 100,00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9DAE09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832E2" w:rsidRPr="004832E2" w14:paraId="60082B34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5F626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500" w14:textId="77777777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0DF8A2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832E2" w:rsidRPr="004832E2" w14:paraId="33625FC9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4741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4888" w14:textId="4F8E86E0" w:rsidR="004832E2" w:rsidRPr="004832E2" w:rsidRDefault="004832E2" w:rsidP="004832E2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4 4</w:t>
            </w:r>
            <w:r w:rsidR="00BF4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DB3A8F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832E2" w:rsidRPr="004832E2" w14:paraId="46433022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61B5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45BB" w14:textId="7E548778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  <w:r w:rsidR="00BF45E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BF45E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95DCC5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832E2" w:rsidRPr="004832E2" w14:paraId="04E97C4B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5588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F955" w14:textId="22AD6D84" w:rsidR="004832E2" w:rsidRPr="004832E2" w:rsidRDefault="004832E2" w:rsidP="004832E2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5 </w:t>
            </w:r>
            <w:r w:rsidR="00BF4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403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BF4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9CEAD4" w14:textId="77777777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</w:tbl>
    <w:p w14:paraId="507FDCCA" w14:textId="2BED12F5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="00D425BA" w:rsidSect="00B1042E">
      <w:footerReference w:type="default" r:id="rId17"/>
      <w:headerReference w:type="first" r:id="rId18"/>
      <w:pgSz w:w="11907" w:h="16839" w:code="9"/>
      <w:pgMar w:top="1276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9A62AE" w:rsidRDefault="009A62AE" w:rsidP="007936E4">
      <w:pPr>
        <w:spacing w:after="0"/>
      </w:pPr>
      <w:r>
        <w:separator/>
      </w:r>
    </w:p>
  </w:endnote>
  <w:endnote w:type="continuationSeparator" w:id="0">
    <w:p w14:paraId="5C8D182C" w14:textId="77777777" w:rsidR="009A62AE" w:rsidRDefault="009A62AE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9A62AE" w:rsidRDefault="009A62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B527BD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97495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E46" w14:textId="1DC283C9" w:rsidR="00B97495" w:rsidRPr="00B97495" w:rsidRDefault="00B97495" w:rsidP="00B97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9A62AE" w:rsidRDefault="009A62AE" w:rsidP="007936E4">
      <w:pPr>
        <w:spacing w:after="0"/>
      </w:pPr>
      <w:r>
        <w:separator/>
      </w:r>
    </w:p>
  </w:footnote>
  <w:footnote w:type="continuationSeparator" w:id="0">
    <w:p w14:paraId="4BDC5CE1" w14:textId="77777777" w:rsidR="009A62AE" w:rsidRDefault="009A62AE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9A62AE" w:rsidRDefault="009A62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EB8F487" w:rsidR="00043079" w:rsidRPr="001D4BED" w:rsidRDefault="00D375D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76699">
      <w:rPr>
        <w:szCs w:val="16"/>
      </w:rPr>
      <w:t>2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E6A04">
      <w:rPr>
        <w:szCs w:val="16"/>
      </w:rPr>
      <w:t>Mnichov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7E4FC57" w:rsidR="00043079" w:rsidRPr="001D4BED" w:rsidRDefault="008E0283" w:rsidP="008E028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</w:t>
    </w:r>
    <w:r w:rsidRPr="008E0283">
      <w:rPr>
        <w:rFonts w:cs="Arial"/>
        <w:szCs w:val="16"/>
        <w:lang w:val="fr-FR" w:eastAsia="cs-CZ"/>
      </w:rPr>
      <w:t>j.:</w:t>
    </w:r>
    <w:r>
      <w:rPr>
        <w:rFonts w:cs="Arial"/>
        <w:szCs w:val="16"/>
        <w:lang w:val="fr-FR" w:eastAsia="cs-CZ"/>
      </w:rPr>
      <w:t xml:space="preserve"> </w:t>
    </w:r>
    <w:r w:rsidR="00FA3F37" w:rsidRPr="00FA3F37">
      <w:rPr>
        <w:rFonts w:cs="Arial"/>
        <w:szCs w:val="16"/>
        <w:lang w:val="fr-FR" w:eastAsia="cs-CZ"/>
      </w:rPr>
      <w:t>SPU 404810/2024</w:t>
    </w:r>
    <w:r w:rsidR="00043079" w:rsidRPr="008E0283">
      <w:rPr>
        <w:rFonts w:cs="Arial"/>
        <w:szCs w:val="16"/>
        <w:lang w:val="fr-FR" w:eastAsia="cs-CZ"/>
      </w:rPr>
      <w:tab/>
    </w:r>
    <w:r w:rsidR="00043079" w:rsidRPr="008E0283">
      <w:rPr>
        <w:rFonts w:cs="Arial"/>
        <w:szCs w:val="16"/>
        <w:lang w:val="fr-FR" w:eastAsia="cs-CZ"/>
      </w:rPr>
      <w:tab/>
      <w:t xml:space="preserve">Číslo Smlouvy Objednatele: </w:t>
    </w:r>
    <w:r w:rsidR="000718F1" w:rsidRPr="008E0283">
      <w:rPr>
        <w:rFonts w:cs="Arial"/>
        <w:szCs w:val="16"/>
        <w:lang w:val="fr-FR" w:eastAsia="cs-CZ"/>
      </w:rPr>
      <w:t>692-2022-505206</w:t>
    </w:r>
    <w:r w:rsidRPr="008E0283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UID : </w:t>
    </w:r>
    <w:r w:rsidR="00FA3F37" w:rsidRPr="00FA3F37">
      <w:rPr>
        <w:rFonts w:cs="Arial"/>
        <w:szCs w:val="16"/>
        <w:lang w:val="fr-FR" w:eastAsia="cs-CZ"/>
      </w:rPr>
      <w:t>spudms00000014948531</w:t>
    </w:r>
    <w:r w:rsidR="00043079" w:rsidRPr="008E0283">
      <w:rPr>
        <w:rFonts w:cs="Arial"/>
        <w:szCs w:val="16"/>
        <w:lang w:val="fr-FR" w:eastAsia="cs-CZ"/>
      </w:rPr>
      <w:tab/>
    </w:r>
    <w:r w:rsidR="00043079" w:rsidRPr="008E0283">
      <w:rPr>
        <w:rFonts w:cs="Arial"/>
        <w:szCs w:val="16"/>
        <w:lang w:val="fr-FR" w:eastAsia="cs-CZ"/>
      </w:rPr>
      <w:tab/>
    </w:r>
    <w:r w:rsidR="00043079" w:rsidRPr="00AF250A">
      <w:rPr>
        <w:rFonts w:cs="Arial"/>
        <w:szCs w:val="16"/>
        <w:lang w:val="fr-FR" w:eastAsia="cs-CZ"/>
      </w:rPr>
      <w:t>Číslo Smlouvy Zhotovitele:</w:t>
    </w:r>
    <w:r w:rsidR="00AF250A">
      <w:rPr>
        <w:rFonts w:cs="Arial"/>
        <w:szCs w:val="16"/>
        <w:lang w:val="fr-FR" w:eastAsia="cs-CZ"/>
      </w:rPr>
      <w:t xml:space="preserve"> ---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5C5BD0F" w:rsidR="00043079" w:rsidRPr="001D4BED" w:rsidRDefault="00043079" w:rsidP="008E028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E028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Komplexní pozemkové úpravy</w:t>
    </w:r>
    <w:r w:rsidR="008A2A53">
      <w:rPr>
        <w:rFonts w:cs="Arial"/>
        <w:szCs w:val="16"/>
        <w:lang w:val="fr-FR" w:eastAsia="cs-CZ"/>
      </w:rPr>
      <w:t xml:space="preserve"> Mnichov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B72C" w14:textId="58D8D2D2" w:rsidR="00B97495" w:rsidRPr="00B97495" w:rsidRDefault="00B97495" w:rsidP="00B97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05A"/>
    <w:multiLevelType w:val="hybridMultilevel"/>
    <w:tmpl w:val="748482DA"/>
    <w:lvl w:ilvl="0" w:tplc="B022B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6E04EF"/>
    <w:multiLevelType w:val="hybridMultilevel"/>
    <w:tmpl w:val="1B7E38D0"/>
    <w:lvl w:ilvl="0" w:tplc="1D2C7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5A4F11"/>
    <w:multiLevelType w:val="hybridMultilevel"/>
    <w:tmpl w:val="93AEF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C66E44"/>
    <w:multiLevelType w:val="hybridMultilevel"/>
    <w:tmpl w:val="84D69C4E"/>
    <w:lvl w:ilvl="0" w:tplc="70724CC4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6A7418"/>
    <w:multiLevelType w:val="hybridMultilevel"/>
    <w:tmpl w:val="C5EC9C98"/>
    <w:lvl w:ilvl="0" w:tplc="3454010E">
      <w:start w:val="7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F91E45"/>
    <w:multiLevelType w:val="hybridMultilevel"/>
    <w:tmpl w:val="ECB21336"/>
    <w:lvl w:ilvl="0" w:tplc="516C1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61C7490"/>
    <w:multiLevelType w:val="hybridMultilevel"/>
    <w:tmpl w:val="2E12DF3C"/>
    <w:lvl w:ilvl="0" w:tplc="D05E4FE4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5F49E5"/>
    <w:multiLevelType w:val="hybridMultilevel"/>
    <w:tmpl w:val="831C610C"/>
    <w:lvl w:ilvl="0" w:tplc="64E2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277150">
    <w:abstractNumId w:val="35"/>
  </w:num>
  <w:num w:numId="2" w16cid:durableId="1929536846">
    <w:abstractNumId w:val="41"/>
  </w:num>
  <w:num w:numId="3" w16cid:durableId="1541210576">
    <w:abstractNumId w:val="19"/>
  </w:num>
  <w:num w:numId="4" w16cid:durableId="1680620167">
    <w:abstractNumId w:val="24"/>
  </w:num>
  <w:num w:numId="5" w16cid:durableId="1575357851">
    <w:abstractNumId w:val="38"/>
  </w:num>
  <w:num w:numId="6" w16cid:durableId="286275924">
    <w:abstractNumId w:val="11"/>
  </w:num>
  <w:num w:numId="7" w16cid:durableId="986478325">
    <w:abstractNumId w:val="28"/>
  </w:num>
  <w:num w:numId="8" w16cid:durableId="1329821590">
    <w:abstractNumId w:val="6"/>
  </w:num>
  <w:num w:numId="9" w16cid:durableId="122231744">
    <w:abstractNumId w:val="0"/>
  </w:num>
  <w:num w:numId="10" w16cid:durableId="15082955">
    <w:abstractNumId w:val="7"/>
  </w:num>
  <w:num w:numId="11" w16cid:durableId="1124617242">
    <w:abstractNumId w:val="45"/>
  </w:num>
  <w:num w:numId="12" w16cid:durableId="1819493618">
    <w:abstractNumId w:val="20"/>
  </w:num>
  <w:num w:numId="13" w16cid:durableId="533616764">
    <w:abstractNumId w:val="43"/>
  </w:num>
  <w:num w:numId="14" w16cid:durableId="922910079">
    <w:abstractNumId w:val="34"/>
  </w:num>
  <w:num w:numId="15" w16cid:durableId="703793326">
    <w:abstractNumId w:val="14"/>
  </w:num>
  <w:num w:numId="16" w16cid:durableId="1751777360">
    <w:abstractNumId w:val="29"/>
  </w:num>
  <w:num w:numId="17" w16cid:durableId="1093210000">
    <w:abstractNumId w:val="14"/>
    <w:lvlOverride w:ilvl="0">
      <w:startOverride w:val="1"/>
    </w:lvlOverride>
  </w:num>
  <w:num w:numId="18" w16cid:durableId="1971352322">
    <w:abstractNumId w:val="23"/>
  </w:num>
  <w:num w:numId="19" w16cid:durableId="483930599">
    <w:abstractNumId w:val="40"/>
  </w:num>
  <w:num w:numId="20" w16cid:durableId="2128767661">
    <w:abstractNumId w:val="32"/>
  </w:num>
  <w:num w:numId="21" w16cid:durableId="907762384">
    <w:abstractNumId w:val="13"/>
  </w:num>
  <w:num w:numId="22" w16cid:durableId="14740630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7158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42854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99223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9460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53889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15970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66592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78423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87295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71265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30024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61511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93522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9546332">
    <w:abstractNumId w:val="18"/>
  </w:num>
  <w:num w:numId="37" w16cid:durableId="1832788715">
    <w:abstractNumId w:val="8"/>
  </w:num>
  <w:num w:numId="38" w16cid:durableId="1896040652">
    <w:abstractNumId w:val="22"/>
  </w:num>
  <w:num w:numId="39" w16cid:durableId="1161195260">
    <w:abstractNumId w:val="17"/>
  </w:num>
  <w:num w:numId="40" w16cid:durableId="1425564947">
    <w:abstractNumId w:val="25"/>
  </w:num>
  <w:num w:numId="41" w16cid:durableId="58095559">
    <w:abstractNumId w:val="3"/>
  </w:num>
  <w:num w:numId="42" w16cid:durableId="231043425">
    <w:abstractNumId w:val="16"/>
  </w:num>
  <w:num w:numId="43" w16cid:durableId="742532989">
    <w:abstractNumId w:val="15"/>
  </w:num>
  <w:num w:numId="44" w16cid:durableId="506795495">
    <w:abstractNumId w:val="2"/>
  </w:num>
  <w:num w:numId="45" w16cid:durableId="2109228866">
    <w:abstractNumId w:val="33"/>
  </w:num>
  <w:num w:numId="46" w16cid:durableId="449862440">
    <w:abstractNumId w:val="30"/>
  </w:num>
  <w:num w:numId="47" w16cid:durableId="1047611575">
    <w:abstractNumId w:val="5"/>
  </w:num>
  <w:num w:numId="48" w16cid:durableId="971785005">
    <w:abstractNumId w:val="9"/>
  </w:num>
  <w:num w:numId="49" w16cid:durableId="8773517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94092061">
    <w:abstractNumId w:val="39"/>
  </w:num>
  <w:num w:numId="51" w16cid:durableId="223755924">
    <w:abstractNumId w:val="27"/>
  </w:num>
  <w:num w:numId="52" w16cid:durableId="1370297123">
    <w:abstractNumId w:val="36"/>
  </w:num>
  <w:num w:numId="53" w16cid:durableId="1399090886">
    <w:abstractNumId w:val="10"/>
  </w:num>
  <w:num w:numId="54" w16cid:durableId="1426724989">
    <w:abstractNumId w:val="12"/>
  </w:num>
  <w:num w:numId="55" w16cid:durableId="19042180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06991992">
    <w:abstractNumId w:val="38"/>
  </w:num>
  <w:num w:numId="57" w16cid:durableId="1238325274">
    <w:abstractNumId w:val="44"/>
  </w:num>
  <w:num w:numId="58" w16cid:durableId="807363799">
    <w:abstractNumId w:val="21"/>
  </w:num>
  <w:num w:numId="59" w16cid:durableId="666640077">
    <w:abstractNumId w:val="1"/>
  </w:num>
  <w:num w:numId="60" w16cid:durableId="1604652175">
    <w:abstractNumId w:val="4"/>
  </w:num>
  <w:num w:numId="61" w16cid:durableId="602030979">
    <w:abstractNumId w:val="26"/>
  </w:num>
  <w:num w:numId="62" w16cid:durableId="1335647351">
    <w:abstractNumId w:val="31"/>
  </w:num>
  <w:num w:numId="63" w16cid:durableId="107899745">
    <w:abstractNumId w:val="37"/>
  </w:num>
  <w:num w:numId="64" w16cid:durableId="922185744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0D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403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8F1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A88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22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D96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BF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82B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4A6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878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157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05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F79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513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2E2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1CC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1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98D"/>
    <w:rsid w:val="00596441"/>
    <w:rsid w:val="00596B2C"/>
    <w:rsid w:val="005975CA"/>
    <w:rsid w:val="00597AFF"/>
    <w:rsid w:val="005A09D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57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90B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10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BBB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D3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02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EC"/>
    <w:rsid w:val="00864F8D"/>
    <w:rsid w:val="008658B9"/>
    <w:rsid w:val="008658DE"/>
    <w:rsid w:val="00865BD1"/>
    <w:rsid w:val="00865F0C"/>
    <w:rsid w:val="00866EB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699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5C"/>
    <w:rsid w:val="008A1579"/>
    <w:rsid w:val="008A1A17"/>
    <w:rsid w:val="008A1E2B"/>
    <w:rsid w:val="008A24F8"/>
    <w:rsid w:val="008A2680"/>
    <w:rsid w:val="008A2A53"/>
    <w:rsid w:val="008A2C95"/>
    <w:rsid w:val="008A390B"/>
    <w:rsid w:val="008A5038"/>
    <w:rsid w:val="008A7266"/>
    <w:rsid w:val="008B074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0CC"/>
    <w:rsid w:val="008C19B8"/>
    <w:rsid w:val="008C20A4"/>
    <w:rsid w:val="008C219F"/>
    <w:rsid w:val="008C223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28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71B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091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D73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4EC7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275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020"/>
    <w:rsid w:val="00AF0789"/>
    <w:rsid w:val="00AF24A5"/>
    <w:rsid w:val="00AF250A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42E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2F4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495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5EC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0FF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20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934"/>
    <w:rsid w:val="00C914EA"/>
    <w:rsid w:val="00C91E3B"/>
    <w:rsid w:val="00C93DC8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4DF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5DF"/>
    <w:rsid w:val="00D378C1"/>
    <w:rsid w:val="00D40B72"/>
    <w:rsid w:val="00D40DAE"/>
    <w:rsid w:val="00D410D7"/>
    <w:rsid w:val="00D41C00"/>
    <w:rsid w:val="00D41CF2"/>
    <w:rsid w:val="00D41DE4"/>
    <w:rsid w:val="00D425B3"/>
    <w:rsid w:val="00D425BA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A45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A04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ED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F37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703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D7EF7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1B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071B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071B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1">
    <w:name w:val="Odstavec se seznamem1"/>
    <w:basedOn w:val="Normln"/>
    <w:qFormat/>
    <w:rsid w:val="00D375D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Roučka Jiří Ing.</cp:lastModifiedBy>
  <cp:revision>3</cp:revision>
  <cp:lastPrinted>2023-11-06T07:35:00Z</cp:lastPrinted>
  <dcterms:created xsi:type="dcterms:W3CDTF">2024-10-14T11:56:00Z</dcterms:created>
  <dcterms:modified xsi:type="dcterms:W3CDTF">2024-10-14T12:01:00Z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