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56C0A8B" w:rsidR="00D516A3" w:rsidRPr="00726B26" w:rsidRDefault="00A31BC0" w:rsidP="00D516A3">
      <w:pPr>
        <w:rPr>
          <w:b/>
        </w:rPr>
      </w:pPr>
      <w:r>
        <w:rPr>
          <w:b/>
        </w:rPr>
        <w:t>Míča-</w:t>
      </w:r>
      <w:proofErr w:type="spellStart"/>
      <w:r>
        <w:rPr>
          <w:b/>
        </w:rPr>
        <w:t>Bagoňová</w:t>
      </w:r>
      <w:proofErr w:type="spellEnd"/>
      <w:r>
        <w:rPr>
          <w:b/>
        </w:rPr>
        <w:t xml:space="preserve"> s.r.o.</w:t>
      </w:r>
    </w:p>
    <w:p w14:paraId="6C82765F" w14:textId="12842678" w:rsidR="00D516A3" w:rsidRDefault="00D516A3" w:rsidP="00D516A3">
      <w:r>
        <w:t xml:space="preserve">IČO: </w:t>
      </w:r>
      <w:r w:rsidR="00A31BC0" w:rsidRPr="00A31BC0">
        <w:t>05247951</w:t>
      </w:r>
    </w:p>
    <w:p w14:paraId="64040907" w14:textId="7E6F3F0F" w:rsidR="00D516A3" w:rsidRPr="00512AB9" w:rsidRDefault="00D516A3" w:rsidP="00D516A3">
      <w:r>
        <w:t xml:space="preserve">DIČ: </w:t>
      </w:r>
      <w:r w:rsidR="00A31BC0">
        <w:t>CZ</w:t>
      </w:r>
      <w:r w:rsidR="00A31BC0" w:rsidRPr="00A31BC0">
        <w:t>05247951</w:t>
      </w:r>
    </w:p>
    <w:p w14:paraId="09DB4EC0" w14:textId="7E05409F" w:rsidR="00D516A3" w:rsidRPr="00512AB9" w:rsidRDefault="00D516A3" w:rsidP="00D516A3">
      <w:r>
        <w:t>se sídlem</w:t>
      </w:r>
      <w:r w:rsidRPr="00512AB9">
        <w:t xml:space="preserve">:  </w:t>
      </w:r>
      <w:r w:rsidR="00A31BC0">
        <w:t xml:space="preserve">Božice </w:t>
      </w:r>
      <w:r w:rsidR="00A31BC0" w:rsidRPr="00A31BC0">
        <w:t>362, 671 64 Božice</w:t>
      </w:r>
    </w:p>
    <w:p w14:paraId="3D68E33B" w14:textId="4A0CDC0C" w:rsidR="00D516A3" w:rsidRPr="00512AB9" w:rsidRDefault="00D516A3" w:rsidP="00D516A3">
      <w:r>
        <w:t>zastoupena</w:t>
      </w:r>
      <w:r w:rsidRPr="00512AB9">
        <w:t xml:space="preserve">: </w:t>
      </w:r>
      <w:r w:rsidR="00A31BC0">
        <w:t>Rudolf Míča, Radek Svoboda, jednatelé</w:t>
      </w:r>
    </w:p>
    <w:p w14:paraId="7BE23335" w14:textId="3E7BCF5D" w:rsidR="00D516A3" w:rsidRPr="00512AB9" w:rsidRDefault="00D516A3" w:rsidP="00D516A3">
      <w:r w:rsidRPr="00512AB9">
        <w:t xml:space="preserve">bankovní spojení: </w:t>
      </w:r>
      <w:r w:rsidR="00A31BC0">
        <w:t>ČSOB banka</w:t>
      </w:r>
    </w:p>
    <w:p w14:paraId="2FD38439" w14:textId="553DF202" w:rsidR="00D516A3" w:rsidRPr="00512AB9" w:rsidRDefault="00D516A3" w:rsidP="00D516A3">
      <w:r w:rsidRPr="00512AB9">
        <w:t xml:space="preserve">číslo účtu: </w:t>
      </w:r>
      <w:r w:rsidR="00A31BC0" w:rsidRPr="00A31BC0">
        <w:t>317199003</w:t>
      </w:r>
      <w:r w:rsidR="00A31BC0">
        <w:t>/0300</w:t>
      </w:r>
    </w:p>
    <w:p w14:paraId="60843DDF" w14:textId="5F37DC24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A31BC0">
        <w:t>u Krajského soudu v Brně</w:t>
      </w:r>
      <w:r w:rsidRPr="00652864">
        <w:t xml:space="preserve">, oddíl </w:t>
      </w:r>
      <w:r w:rsidR="00A31BC0">
        <w:t>C,</w:t>
      </w:r>
      <w:r w:rsidRPr="00652864">
        <w:t xml:space="preserve"> vložka </w:t>
      </w:r>
      <w:r w:rsidR="00A31BC0" w:rsidRPr="00A31BC0">
        <w:t>94293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  <w:bookmarkStart w:id="0" w:name="_GoBack"/>
      <w:bookmarkEnd w:id="0"/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D5801C8" w:rsidR="00D516A3" w:rsidRDefault="00D516A3" w:rsidP="00D516A3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F118F1">
        <w:rPr>
          <w:b/>
        </w:rPr>
        <w:t>Dodávka ovoce a zeleniny</w:t>
      </w:r>
      <w:r w:rsidR="00927924">
        <w:rPr>
          <w:b/>
        </w:rPr>
        <w:t xml:space="preserve"> 2/2024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5ABCF4EF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4A9D1E3C" w:rsidR="00D516A3" w:rsidRDefault="00D516A3" w:rsidP="0069206D">
      <w:pPr>
        <w:pStyle w:val="Psmenoodstavce"/>
      </w:pPr>
      <w:r>
        <w:t xml:space="preserve">e-mailem na adresu </w:t>
      </w:r>
      <w:proofErr w:type="spellStart"/>
      <w:r w:rsidR="00127D45">
        <w:t>xxxxxxxxxxxx</w:t>
      </w:r>
      <w:proofErr w:type="spellEnd"/>
    </w:p>
    <w:p w14:paraId="4BD7EE51" w14:textId="27ABDA70" w:rsidR="00D516A3" w:rsidRDefault="00D516A3" w:rsidP="0069206D">
      <w:pPr>
        <w:pStyle w:val="Psmenoodstavce"/>
      </w:pPr>
      <w:r>
        <w:t xml:space="preserve">na telefonní </w:t>
      </w:r>
      <w:proofErr w:type="spellStart"/>
      <w:r w:rsidR="00127D45">
        <w:t>xxxxxxxxxxx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45029D5B" w14:textId="77777777" w:rsidR="008D4E00" w:rsidRDefault="00D516A3" w:rsidP="00EC5E99">
      <w:pPr>
        <w:pStyle w:val="Odstavecsmlouvy"/>
        <w:numPr>
          <w:ilvl w:val="0"/>
          <w:numId w:val="0"/>
        </w:numPr>
        <w:ind w:left="567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</w:t>
      </w:r>
    </w:p>
    <w:p w14:paraId="678520E3" w14:textId="05C2DCE0" w:rsidR="00014CFB" w:rsidRDefault="00D516A3" w:rsidP="00EC5E99">
      <w:pPr>
        <w:pStyle w:val="Odstavecsmlouvy"/>
        <w:numPr>
          <w:ilvl w:val="0"/>
          <w:numId w:val="0"/>
        </w:numPr>
        <w:ind w:left="567"/>
      </w:pPr>
      <w:r>
        <w:t xml:space="preserve">na čísle </w:t>
      </w:r>
      <w:proofErr w:type="spellStart"/>
      <w:r w:rsidR="00127D45">
        <w:t>xxxxxxxxxxx</w:t>
      </w:r>
      <w:proofErr w:type="spellEnd"/>
    </w:p>
    <w:p w14:paraId="01080178" w14:textId="77777777" w:rsidR="008D4E00" w:rsidRDefault="008D4E00" w:rsidP="00EC5E99">
      <w:pPr>
        <w:pStyle w:val="Odstavecsmlouvy"/>
        <w:numPr>
          <w:ilvl w:val="0"/>
          <w:numId w:val="0"/>
        </w:numPr>
        <w:ind w:left="567"/>
      </w:pPr>
    </w:p>
    <w:p w14:paraId="678520E4" w14:textId="274448C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proofErr w:type="spellStart"/>
      <w:r w:rsidR="00127D45" w:rsidRPr="00127D45">
        <w:rPr>
          <w:rStyle w:val="Hypertextovodkaz"/>
          <w:color w:val="auto"/>
          <w:u w:val="none"/>
        </w:rPr>
        <w:t>xxxxxxxxxxxx</w:t>
      </w:r>
      <w:proofErr w:type="spellEnd"/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1E6BDA">
        <w:t xml:space="preserve">III.3 </w:t>
      </w:r>
      <w:r w:rsidR="00844162">
        <w:t>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6"/>
      <w:bookmarkEnd w:id="7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304CE68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E8706E">
        <w:t xml:space="preserve"> Prodávající garan</w:t>
      </w:r>
      <w:r w:rsidR="00DE4CAB">
        <w:t>tuje, aby nejméně 80 %</w:t>
      </w:r>
      <w:r w:rsidR="00E8706E">
        <w:t xml:space="preserve"> obalů, ve kterých bude Zboží dodáno, bylo vratné.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</w:t>
      </w:r>
      <w:r w:rsidR="003D3584">
        <w:lastRenderedPageBreak/>
        <w:t xml:space="preserve">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1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</w:t>
      </w:r>
      <w:r>
        <w:lastRenderedPageBreak/>
        <w:t>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77E3B8EB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>na dobu</w:t>
      </w:r>
      <w:r w:rsidR="009B5F0F" w:rsidRPr="00437D6A">
        <w:rPr>
          <w:b/>
        </w:rPr>
        <w:t xml:space="preserve"> </w:t>
      </w:r>
      <w:r w:rsidR="00E60A6E" w:rsidRPr="00E60A6E">
        <w:rPr>
          <w:b/>
        </w:rPr>
        <w:t>3 měsíců</w:t>
      </w:r>
      <w:r w:rsidR="00E60A6E"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096A60" w:rsidRPr="00D722DC" w14:paraId="5457EDA1" w14:textId="77777777" w:rsidTr="00EC5E99">
        <w:tc>
          <w:tcPr>
            <w:tcW w:w="4077" w:type="dxa"/>
            <w:shd w:val="clear" w:color="auto" w:fill="auto"/>
          </w:tcPr>
          <w:p w14:paraId="14A42849" w14:textId="511359FC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B60F6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6A60" w:rsidRPr="00D722DC" w14:paraId="08CEFF90" w14:textId="77777777" w:rsidTr="00EC5E99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A49BF9B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6A60" w:rsidRPr="00D722DC" w14:paraId="2FFABDB8" w14:textId="77777777" w:rsidTr="00BB60F6">
        <w:trPr>
          <w:trHeight w:val="765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3C694E04" w:rsidR="00D516A3" w:rsidRPr="00D722DC" w:rsidRDefault="00BB60F6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Rudolf Míča, Radek Svoboda</w:t>
            </w:r>
          </w:p>
          <w:p w14:paraId="0DBDD8DB" w14:textId="1780FC89" w:rsidR="00D516A3" w:rsidRPr="00D722DC" w:rsidRDefault="00BB60F6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jednatelé</w:t>
            </w:r>
          </w:p>
        </w:tc>
        <w:tc>
          <w:tcPr>
            <w:tcW w:w="1134" w:type="dxa"/>
            <w:shd w:val="clear" w:color="auto" w:fill="auto"/>
          </w:tcPr>
          <w:p w14:paraId="47350640" w14:textId="5B8CE9E4" w:rsidR="00D516A3" w:rsidRPr="00D722DC" w:rsidRDefault="00096A60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EC5E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48EFC1F1" w14:textId="77777777" w:rsidR="00B05AD2" w:rsidRDefault="00B05AD2" w:rsidP="007E416F">
      <w:pPr>
        <w:jc w:val="center"/>
        <w:rPr>
          <w:b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2410"/>
        <w:gridCol w:w="2410"/>
        <w:gridCol w:w="2409"/>
        <w:gridCol w:w="2127"/>
      </w:tblGrid>
      <w:tr w:rsidR="00F7109B" w:rsidRPr="00E8024F" w14:paraId="3AE741D7" w14:textId="77777777" w:rsidTr="00EC5E99">
        <w:trPr>
          <w:trHeight w:val="897"/>
        </w:trPr>
        <w:tc>
          <w:tcPr>
            <w:tcW w:w="1271" w:type="dxa"/>
            <w:noWrap/>
            <w:vAlign w:val="center"/>
            <w:hideMark/>
          </w:tcPr>
          <w:p w14:paraId="3996AC5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PČ</w:t>
            </w:r>
          </w:p>
        </w:tc>
        <w:tc>
          <w:tcPr>
            <w:tcW w:w="2268" w:type="dxa"/>
            <w:noWrap/>
            <w:vAlign w:val="center"/>
            <w:hideMark/>
          </w:tcPr>
          <w:p w14:paraId="645EA128" w14:textId="75648432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Název</w:t>
            </w:r>
            <w:r w:rsidR="005E1A67" w:rsidRPr="00E8024F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134" w:type="dxa"/>
            <w:vAlign w:val="center"/>
            <w:hideMark/>
          </w:tcPr>
          <w:p w14:paraId="1D5958A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MJ**</w:t>
            </w:r>
          </w:p>
        </w:tc>
        <w:tc>
          <w:tcPr>
            <w:tcW w:w="2410" w:type="dxa"/>
            <w:vAlign w:val="center"/>
            <w:hideMark/>
          </w:tcPr>
          <w:p w14:paraId="07AB697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Přesné označení nabízeného produktu, u kusů váha jednoho kusu ***</w:t>
            </w:r>
          </w:p>
        </w:tc>
        <w:tc>
          <w:tcPr>
            <w:tcW w:w="2410" w:type="dxa"/>
            <w:vAlign w:val="center"/>
            <w:hideMark/>
          </w:tcPr>
          <w:p w14:paraId="55FAEAA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Minimální trvanlivost</w:t>
            </w:r>
          </w:p>
        </w:tc>
        <w:tc>
          <w:tcPr>
            <w:tcW w:w="2409" w:type="dxa"/>
            <w:vAlign w:val="center"/>
            <w:hideMark/>
          </w:tcPr>
          <w:p w14:paraId="1608E76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Cena za MJ bez DPH ****</w:t>
            </w:r>
          </w:p>
        </w:tc>
        <w:tc>
          <w:tcPr>
            <w:tcW w:w="2127" w:type="dxa"/>
            <w:vAlign w:val="center"/>
            <w:hideMark/>
          </w:tcPr>
          <w:p w14:paraId="6EA13E7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8024F">
              <w:rPr>
                <w:rFonts w:ascii="Calibri" w:hAnsi="Calibri" w:cs="Calibri"/>
                <w:b/>
                <w:bCs/>
              </w:rPr>
              <w:t>DPH</w:t>
            </w:r>
          </w:p>
        </w:tc>
      </w:tr>
      <w:tr w:rsidR="00E8024F" w:rsidRPr="00E8024F" w14:paraId="4AA28B67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54D5957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20D3F78F" w14:textId="215E1A0B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Banány volné</w:t>
            </w:r>
          </w:p>
        </w:tc>
        <w:tc>
          <w:tcPr>
            <w:tcW w:w="1134" w:type="dxa"/>
            <w:noWrap/>
            <w:vAlign w:val="center"/>
            <w:hideMark/>
          </w:tcPr>
          <w:p w14:paraId="7ECCF00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7223164" w14:textId="3219DEC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15CD76D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0653C6D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700895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B43B51C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58CAC75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764EDF33" w14:textId="25855144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Citrony</w:t>
            </w:r>
          </w:p>
        </w:tc>
        <w:tc>
          <w:tcPr>
            <w:tcW w:w="1134" w:type="dxa"/>
            <w:noWrap/>
            <w:vAlign w:val="center"/>
            <w:hideMark/>
          </w:tcPr>
          <w:p w14:paraId="4AD58C0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D68F287" w14:textId="068B5BAC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E2D220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47F191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AF3850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CB8CAAD" w14:textId="77777777" w:rsidTr="00EC5E99">
        <w:trPr>
          <w:trHeight w:val="592"/>
        </w:trPr>
        <w:tc>
          <w:tcPr>
            <w:tcW w:w="1271" w:type="dxa"/>
            <w:noWrap/>
            <w:vAlign w:val="center"/>
            <w:hideMark/>
          </w:tcPr>
          <w:p w14:paraId="1F87E35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3B29574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8024F">
              <w:rPr>
                <w:rFonts w:ascii="Calibri" w:hAnsi="Calibri" w:cs="Calibri"/>
                <w:color w:val="000000"/>
              </w:rPr>
              <w:t>Hrozno</w:t>
            </w:r>
            <w:proofErr w:type="spellEnd"/>
            <w:r w:rsidRPr="00E8024F">
              <w:rPr>
                <w:rFonts w:ascii="Calibri" w:hAnsi="Calibri" w:cs="Calibri"/>
                <w:color w:val="000000"/>
              </w:rPr>
              <w:t xml:space="preserve"> bílé</w:t>
            </w:r>
          </w:p>
        </w:tc>
        <w:tc>
          <w:tcPr>
            <w:tcW w:w="1134" w:type="dxa"/>
            <w:noWrap/>
            <w:vAlign w:val="center"/>
            <w:hideMark/>
          </w:tcPr>
          <w:p w14:paraId="3C06DE8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6E935AF9" w14:textId="2B48914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615E75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157AE6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BCB2E3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8B1B1FC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2844086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5502D15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8024F">
              <w:rPr>
                <w:rFonts w:ascii="Calibri" w:hAnsi="Calibri" w:cs="Calibri"/>
                <w:color w:val="000000"/>
              </w:rPr>
              <w:t>Hrozno</w:t>
            </w:r>
            <w:proofErr w:type="spellEnd"/>
            <w:r w:rsidRPr="00E8024F">
              <w:rPr>
                <w:rFonts w:ascii="Calibri" w:hAnsi="Calibri" w:cs="Calibri"/>
                <w:color w:val="000000"/>
              </w:rPr>
              <w:t xml:space="preserve"> modré</w:t>
            </w:r>
          </w:p>
        </w:tc>
        <w:tc>
          <w:tcPr>
            <w:tcW w:w="1134" w:type="dxa"/>
            <w:noWrap/>
            <w:vAlign w:val="center"/>
            <w:hideMark/>
          </w:tcPr>
          <w:p w14:paraId="6826282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AE07FA6" w14:textId="19FA28B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18DBE5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5CC3B4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70A7ED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3C94EB4D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3405F84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14:paraId="641171B6" w14:textId="2CF79DE3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Hrušky</w:t>
            </w:r>
          </w:p>
        </w:tc>
        <w:tc>
          <w:tcPr>
            <w:tcW w:w="1134" w:type="dxa"/>
            <w:noWrap/>
            <w:vAlign w:val="center"/>
            <w:hideMark/>
          </w:tcPr>
          <w:p w14:paraId="0C44316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F271D0C" w14:textId="3270DEEA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A9221C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327005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A45387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1B582CC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3813C54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698452F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Jablka</w:t>
            </w:r>
          </w:p>
        </w:tc>
        <w:tc>
          <w:tcPr>
            <w:tcW w:w="1134" w:type="dxa"/>
            <w:noWrap/>
            <w:vAlign w:val="center"/>
            <w:hideMark/>
          </w:tcPr>
          <w:p w14:paraId="146FB89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D08E05B" w14:textId="2F247B7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893CDA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946AF7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7C6D3B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F9AC3D1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5B67D27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14:paraId="3901A035" w14:textId="25A26B5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Jahody</w:t>
            </w:r>
          </w:p>
        </w:tc>
        <w:tc>
          <w:tcPr>
            <w:tcW w:w="1134" w:type="dxa"/>
            <w:noWrap/>
            <w:vAlign w:val="center"/>
            <w:hideMark/>
          </w:tcPr>
          <w:p w14:paraId="0E6BD29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597AD3AE" w14:textId="62FD9969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817987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C4120C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229,00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992CBA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7B9DDF4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4F570B1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5950FC8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Kiwi volné</w:t>
            </w:r>
          </w:p>
        </w:tc>
        <w:tc>
          <w:tcPr>
            <w:tcW w:w="1134" w:type="dxa"/>
            <w:noWrap/>
            <w:vAlign w:val="center"/>
            <w:hideMark/>
          </w:tcPr>
          <w:p w14:paraId="12F456A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42AC2FE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95 g</w:t>
            </w:r>
          </w:p>
        </w:tc>
        <w:tc>
          <w:tcPr>
            <w:tcW w:w="2410" w:type="dxa"/>
            <w:noWrap/>
            <w:vAlign w:val="center"/>
            <w:hideMark/>
          </w:tcPr>
          <w:p w14:paraId="62B7CEA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080771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B64DE8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CAFA4C4" w14:textId="77777777" w:rsidTr="00EC5E99">
        <w:trPr>
          <w:trHeight w:val="748"/>
        </w:trPr>
        <w:tc>
          <w:tcPr>
            <w:tcW w:w="1271" w:type="dxa"/>
            <w:noWrap/>
            <w:vAlign w:val="center"/>
            <w:hideMark/>
          </w:tcPr>
          <w:p w14:paraId="0084854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76F8B72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Limety</w:t>
            </w:r>
          </w:p>
        </w:tc>
        <w:tc>
          <w:tcPr>
            <w:tcW w:w="1134" w:type="dxa"/>
            <w:noWrap/>
            <w:vAlign w:val="center"/>
            <w:hideMark/>
          </w:tcPr>
          <w:p w14:paraId="3E9710E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470936F" w14:textId="35F34E0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DD4EC8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C82E3C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4689F2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54D1B3B" w14:textId="77777777" w:rsidTr="00EC5E99">
        <w:trPr>
          <w:trHeight w:val="897"/>
        </w:trPr>
        <w:tc>
          <w:tcPr>
            <w:tcW w:w="1271" w:type="dxa"/>
            <w:noWrap/>
            <w:vAlign w:val="center"/>
            <w:hideMark/>
          </w:tcPr>
          <w:p w14:paraId="5950D31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0CBFC63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Mandarinky</w:t>
            </w:r>
          </w:p>
        </w:tc>
        <w:tc>
          <w:tcPr>
            <w:tcW w:w="1134" w:type="dxa"/>
            <w:noWrap/>
            <w:vAlign w:val="center"/>
            <w:hideMark/>
          </w:tcPr>
          <w:p w14:paraId="34232AA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428353D" w14:textId="52061AB2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58F469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493079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797CAD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D100EFE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1A1A75B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268" w:type="dxa"/>
            <w:noWrap/>
            <w:vAlign w:val="center"/>
            <w:hideMark/>
          </w:tcPr>
          <w:p w14:paraId="04228157" w14:textId="4F3AED9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Meruňky</w:t>
            </w:r>
          </w:p>
        </w:tc>
        <w:tc>
          <w:tcPr>
            <w:tcW w:w="1134" w:type="dxa"/>
            <w:noWrap/>
            <w:vAlign w:val="center"/>
            <w:hideMark/>
          </w:tcPr>
          <w:p w14:paraId="3AC89F4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3D924061" w14:textId="22B8916B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EBC92D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359440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292994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AC25344" w14:textId="77777777" w:rsidTr="00EC5E99">
        <w:trPr>
          <w:trHeight w:val="882"/>
        </w:trPr>
        <w:tc>
          <w:tcPr>
            <w:tcW w:w="1271" w:type="dxa"/>
            <w:noWrap/>
            <w:vAlign w:val="center"/>
            <w:hideMark/>
          </w:tcPr>
          <w:p w14:paraId="5C1BEEF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36AAE7D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Nektarinky</w:t>
            </w:r>
          </w:p>
        </w:tc>
        <w:tc>
          <w:tcPr>
            <w:tcW w:w="1134" w:type="dxa"/>
            <w:noWrap/>
            <w:vAlign w:val="center"/>
            <w:hideMark/>
          </w:tcPr>
          <w:p w14:paraId="558C53A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037325BD" w14:textId="1DAF832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37B69D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099824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C27B7C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7FF319E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2C0128D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14:paraId="4389022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Pomeranče</w:t>
            </w:r>
          </w:p>
        </w:tc>
        <w:tc>
          <w:tcPr>
            <w:tcW w:w="1134" w:type="dxa"/>
            <w:noWrap/>
            <w:vAlign w:val="center"/>
            <w:hideMark/>
          </w:tcPr>
          <w:p w14:paraId="7A2516B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BE473CA" w14:textId="71462083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63B176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3FC959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C049CC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F4A7DDF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241F648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14:paraId="635F3DC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Brokolice</w:t>
            </w:r>
          </w:p>
        </w:tc>
        <w:tc>
          <w:tcPr>
            <w:tcW w:w="1134" w:type="dxa"/>
            <w:noWrap/>
            <w:vAlign w:val="center"/>
            <w:hideMark/>
          </w:tcPr>
          <w:p w14:paraId="57D17C0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1A9084C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500 g</w:t>
            </w:r>
          </w:p>
        </w:tc>
        <w:tc>
          <w:tcPr>
            <w:tcW w:w="2410" w:type="dxa"/>
            <w:noWrap/>
            <w:vAlign w:val="center"/>
            <w:hideMark/>
          </w:tcPr>
          <w:p w14:paraId="35432E9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D5E742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B9BB3B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DD6A22B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67CBC0A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14:paraId="0EAAD58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Celer</w:t>
            </w:r>
          </w:p>
        </w:tc>
        <w:tc>
          <w:tcPr>
            <w:tcW w:w="1134" w:type="dxa"/>
            <w:noWrap/>
            <w:vAlign w:val="center"/>
            <w:hideMark/>
          </w:tcPr>
          <w:p w14:paraId="4ACF915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8076789" w14:textId="2A5A4324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F1BBDB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649481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45F0F3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1FD103D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4E181D8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14:paraId="0E313F4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Celer řapíkatý</w:t>
            </w:r>
          </w:p>
        </w:tc>
        <w:tc>
          <w:tcPr>
            <w:tcW w:w="1134" w:type="dxa"/>
            <w:noWrap/>
            <w:vAlign w:val="center"/>
            <w:hideMark/>
          </w:tcPr>
          <w:p w14:paraId="12543C1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492F169" w14:textId="63CE982A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44430E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715972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255006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40FC4A1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2464BD3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14:paraId="47BBC4A4" w14:textId="07B0662B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Cibule lahůdková</w:t>
            </w:r>
          </w:p>
        </w:tc>
        <w:tc>
          <w:tcPr>
            <w:tcW w:w="1134" w:type="dxa"/>
            <w:noWrap/>
            <w:vAlign w:val="center"/>
            <w:hideMark/>
          </w:tcPr>
          <w:p w14:paraId="0973A35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sv.</w:t>
            </w:r>
          </w:p>
        </w:tc>
        <w:tc>
          <w:tcPr>
            <w:tcW w:w="2410" w:type="dxa"/>
            <w:noWrap/>
            <w:vAlign w:val="center"/>
            <w:hideMark/>
          </w:tcPr>
          <w:p w14:paraId="344F142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150 g</w:t>
            </w:r>
          </w:p>
        </w:tc>
        <w:tc>
          <w:tcPr>
            <w:tcW w:w="2410" w:type="dxa"/>
            <w:noWrap/>
            <w:vAlign w:val="center"/>
            <w:hideMark/>
          </w:tcPr>
          <w:p w14:paraId="58C60A0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07C1FF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4E303A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0B79C74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2BF73FB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14:paraId="4754002F" w14:textId="154C2A1C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Cibule</w:t>
            </w:r>
          </w:p>
        </w:tc>
        <w:tc>
          <w:tcPr>
            <w:tcW w:w="1134" w:type="dxa"/>
            <w:noWrap/>
            <w:vAlign w:val="center"/>
            <w:hideMark/>
          </w:tcPr>
          <w:p w14:paraId="7C97E77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6A977248" w14:textId="25F82746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F081AE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04FC2B1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21,90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90CF24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EC6FE97" w14:textId="77777777" w:rsidTr="005E1A67">
        <w:trPr>
          <w:trHeight w:val="814"/>
        </w:trPr>
        <w:tc>
          <w:tcPr>
            <w:tcW w:w="1271" w:type="dxa"/>
            <w:noWrap/>
            <w:vAlign w:val="center"/>
            <w:hideMark/>
          </w:tcPr>
          <w:p w14:paraId="7EFA085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14:paraId="591F21F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Mrkev</w:t>
            </w:r>
          </w:p>
        </w:tc>
        <w:tc>
          <w:tcPr>
            <w:tcW w:w="1134" w:type="dxa"/>
            <w:noWrap/>
            <w:vAlign w:val="center"/>
            <w:hideMark/>
          </w:tcPr>
          <w:p w14:paraId="1A67B0D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6F8F2D7" w14:textId="3C077DA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788F2C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0BD7945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863913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088A9FD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4321BA4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14:paraId="7FF3097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Cibule červená</w:t>
            </w:r>
          </w:p>
        </w:tc>
        <w:tc>
          <w:tcPr>
            <w:tcW w:w="1134" w:type="dxa"/>
            <w:noWrap/>
            <w:vAlign w:val="center"/>
            <w:hideMark/>
          </w:tcPr>
          <w:p w14:paraId="29BEB00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3741DB7" w14:textId="066B2AC3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8A4C42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40601B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57D3C8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9F2AC63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45EE34A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14:paraId="5E672B0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Cibule šalotka</w:t>
            </w:r>
          </w:p>
        </w:tc>
        <w:tc>
          <w:tcPr>
            <w:tcW w:w="1134" w:type="dxa"/>
            <w:noWrap/>
            <w:vAlign w:val="center"/>
            <w:hideMark/>
          </w:tcPr>
          <w:p w14:paraId="36E9CFF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2DCAB5F" w14:textId="585420D4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26A7378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809EB9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89,00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FA0E15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E131C0F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7DCC389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14:paraId="1EA4D96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Cuketa</w:t>
            </w:r>
          </w:p>
        </w:tc>
        <w:tc>
          <w:tcPr>
            <w:tcW w:w="1134" w:type="dxa"/>
            <w:noWrap/>
            <w:vAlign w:val="center"/>
            <w:hideMark/>
          </w:tcPr>
          <w:p w14:paraId="3534C2F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429792B" w14:textId="2E7C4261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61A39D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72ACBE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FDDE12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4FE52A5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3E28609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2268" w:type="dxa"/>
            <w:noWrap/>
            <w:vAlign w:val="center"/>
            <w:hideMark/>
          </w:tcPr>
          <w:p w14:paraId="2E0D4A8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 xml:space="preserve">Dýně </w:t>
            </w:r>
            <w:proofErr w:type="spellStart"/>
            <w:r w:rsidRPr="00E8024F">
              <w:rPr>
                <w:rFonts w:ascii="Calibri" w:hAnsi="Calibri" w:cs="Calibri"/>
                <w:color w:val="000000"/>
              </w:rPr>
              <w:t>hokaido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EF2060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35DED9BE" w14:textId="700B4326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15430A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5DA6BD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3767679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65D01E3" w14:textId="77777777" w:rsidTr="005E1A67">
        <w:trPr>
          <w:trHeight w:val="631"/>
        </w:trPr>
        <w:tc>
          <w:tcPr>
            <w:tcW w:w="1271" w:type="dxa"/>
            <w:noWrap/>
            <w:vAlign w:val="center"/>
            <w:hideMark/>
          </w:tcPr>
          <w:p w14:paraId="7BB5334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noWrap/>
            <w:vAlign w:val="center"/>
            <w:hideMark/>
          </w:tcPr>
          <w:p w14:paraId="717DBCA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Feferonky</w:t>
            </w:r>
          </w:p>
        </w:tc>
        <w:tc>
          <w:tcPr>
            <w:tcW w:w="1134" w:type="dxa"/>
            <w:noWrap/>
            <w:vAlign w:val="center"/>
            <w:hideMark/>
          </w:tcPr>
          <w:p w14:paraId="7FBB4EF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FD18D7C" w14:textId="7B1C06A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52D9E9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22A112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369,00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2E1AAA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8F06D2C" w14:textId="77777777" w:rsidTr="005E1A67">
        <w:trPr>
          <w:trHeight w:val="557"/>
        </w:trPr>
        <w:tc>
          <w:tcPr>
            <w:tcW w:w="1271" w:type="dxa"/>
            <w:noWrap/>
            <w:vAlign w:val="center"/>
            <w:hideMark/>
          </w:tcPr>
          <w:p w14:paraId="691E624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noWrap/>
            <w:vAlign w:val="center"/>
            <w:hideMark/>
          </w:tcPr>
          <w:p w14:paraId="4DACADD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Hlíva</w:t>
            </w:r>
          </w:p>
        </w:tc>
        <w:tc>
          <w:tcPr>
            <w:tcW w:w="1134" w:type="dxa"/>
            <w:noWrap/>
            <w:vAlign w:val="center"/>
            <w:hideMark/>
          </w:tcPr>
          <w:p w14:paraId="7495AA2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CACA774" w14:textId="7D39476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6A0E38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545C2C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109,00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304F2FF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26D73EC" w14:textId="77777777" w:rsidTr="005E1A67">
        <w:trPr>
          <w:trHeight w:val="598"/>
        </w:trPr>
        <w:tc>
          <w:tcPr>
            <w:tcW w:w="1271" w:type="dxa"/>
            <w:noWrap/>
            <w:vAlign w:val="center"/>
            <w:hideMark/>
          </w:tcPr>
          <w:p w14:paraId="6A992BA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noWrap/>
            <w:vAlign w:val="center"/>
            <w:hideMark/>
          </w:tcPr>
          <w:p w14:paraId="112C19A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Kopr</w:t>
            </w:r>
          </w:p>
        </w:tc>
        <w:tc>
          <w:tcPr>
            <w:tcW w:w="1134" w:type="dxa"/>
            <w:noWrap/>
            <w:vAlign w:val="center"/>
            <w:hideMark/>
          </w:tcPr>
          <w:p w14:paraId="63E1FFA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0198288" w14:textId="197546E9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1DB1859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E5E677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290,00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6B32A6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3D7BEAD4" w14:textId="77777777" w:rsidTr="005E1A67">
        <w:trPr>
          <w:trHeight w:val="637"/>
        </w:trPr>
        <w:tc>
          <w:tcPr>
            <w:tcW w:w="1271" w:type="dxa"/>
            <w:noWrap/>
            <w:vAlign w:val="center"/>
            <w:hideMark/>
          </w:tcPr>
          <w:p w14:paraId="1C0516C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noWrap/>
            <w:vAlign w:val="center"/>
            <w:hideMark/>
          </w:tcPr>
          <w:p w14:paraId="0A47954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Křen</w:t>
            </w:r>
          </w:p>
        </w:tc>
        <w:tc>
          <w:tcPr>
            <w:tcW w:w="1134" w:type="dxa"/>
            <w:noWrap/>
            <w:vAlign w:val="center"/>
            <w:hideMark/>
          </w:tcPr>
          <w:p w14:paraId="77378FF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99B3DF7" w14:textId="432E224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3A505F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CE2E1B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6FB306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2A0C949" w14:textId="77777777" w:rsidTr="005E1A67">
        <w:trPr>
          <w:trHeight w:val="677"/>
        </w:trPr>
        <w:tc>
          <w:tcPr>
            <w:tcW w:w="1271" w:type="dxa"/>
            <w:noWrap/>
            <w:vAlign w:val="center"/>
            <w:hideMark/>
          </w:tcPr>
          <w:p w14:paraId="55ECAEF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noWrap/>
            <w:vAlign w:val="center"/>
            <w:hideMark/>
          </w:tcPr>
          <w:p w14:paraId="74002AEA" w14:textId="5BE6ACA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Květák</w:t>
            </w:r>
          </w:p>
        </w:tc>
        <w:tc>
          <w:tcPr>
            <w:tcW w:w="1134" w:type="dxa"/>
            <w:noWrap/>
            <w:vAlign w:val="center"/>
            <w:hideMark/>
          </w:tcPr>
          <w:p w14:paraId="457B4B4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26035E1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1000 g</w:t>
            </w:r>
          </w:p>
        </w:tc>
        <w:tc>
          <w:tcPr>
            <w:tcW w:w="2410" w:type="dxa"/>
            <w:noWrap/>
            <w:vAlign w:val="center"/>
            <w:hideMark/>
          </w:tcPr>
          <w:p w14:paraId="6A3CC7B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8C7400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EF11AD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07485CB" w14:textId="77777777" w:rsidTr="005E1A67">
        <w:trPr>
          <w:trHeight w:val="580"/>
        </w:trPr>
        <w:tc>
          <w:tcPr>
            <w:tcW w:w="1271" w:type="dxa"/>
            <w:noWrap/>
            <w:vAlign w:val="center"/>
            <w:hideMark/>
          </w:tcPr>
          <w:p w14:paraId="3D56BB0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noWrap/>
            <w:vAlign w:val="center"/>
            <w:hideMark/>
          </w:tcPr>
          <w:p w14:paraId="4352D12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Lilek</w:t>
            </w:r>
          </w:p>
        </w:tc>
        <w:tc>
          <w:tcPr>
            <w:tcW w:w="1134" w:type="dxa"/>
            <w:noWrap/>
            <w:vAlign w:val="center"/>
            <w:hideMark/>
          </w:tcPr>
          <w:p w14:paraId="5B2E2FB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5EA4173" w14:textId="3B7A63DA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6DD9FC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0F48A98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19C9E5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894FA3C" w14:textId="77777777" w:rsidTr="005E1A67">
        <w:trPr>
          <w:trHeight w:val="727"/>
        </w:trPr>
        <w:tc>
          <w:tcPr>
            <w:tcW w:w="1271" w:type="dxa"/>
            <w:noWrap/>
            <w:vAlign w:val="center"/>
            <w:hideMark/>
          </w:tcPr>
          <w:p w14:paraId="313D8A2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noWrap/>
            <w:vAlign w:val="center"/>
            <w:hideMark/>
          </w:tcPr>
          <w:p w14:paraId="20E99FA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Okurky hadovky</w:t>
            </w:r>
          </w:p>
        </w:tc>
        <w:tc>
          <w:tcPr>
            <w:tcW w:w="1134" w:type="dxa"/>
            <w:noWrap/>
            <w:vAlign w:val="center"/>
            <w:hideMark/>
          </w:tcPr>
          <w:p w14:paraId="3D9DDCC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6C2C5ADE" w14:textId="61556C39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CA6F1E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B9B237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9ACE33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D1C5D6D" w14:textId="77777777" w:rsidTr="005E1A67">
        <w:trPr>
          <w:trHeight w:val="698"/>
        </w:trPr>
        <w:tc>
          <w:tcPr>
            <w:tcW w:w="1271" w:type="dxa"/>
            <w:noWrap/>
            <w:vAlign w:val="center"/>
            <w:hideMark/>
          </w:tcPr>
          <w:p w14:paraId="0650C06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noWrap/>
            <w:vAlign w:val="center"/>
            <w:hideMark/>
          </w:tcPr>
          <w:p w14:paraId="62F27CA5" w14:textId="2525B23B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Paprika červená</w:t>
            </w:r>
          </w:p>
        </w:tc>
        <w:tc>
          <w:tcPr>
            <w:tcW w:w="1134" w:type="dxa"/>
            <w:noWrap/>
            <w:vAlign w:val="center"/>
            <w:hideMark/>
          </w:tcPr>
          <w:p w14:paraId="0BA4B37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8868B51" w14:textId="32334E03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C9B722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276FFD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A417B1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396A9FE" w14:textId="77777777" w:rsidTr="005E1A67">
        <w:trPr>
          <w:trHeight w:val="693"/>
        </w:trPr>
        <w:tc>
          <w:tcPr>
            <w:tcW w:w="1271" w:type="dxa"/>
            <w:noWrap/>
            <w:vAlign w:val="center"/>
            <w:hideMark/>
          </w:tcPr>
          <w:p w14:paraId="5438F54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68" w:type="dxa"/>
            <w:noWrap/>
            <w:vAlign w:val="center"/>
            <w:hideMark/>
          </w:tcPr>
          <w:p w14:paraId="2826F7C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Paprika žlutá</w:t>
            </w:r>
          </w:p>
        </w:tc>
        <w:tc>
          <w:tcPr>
            <w:tcW w:w="1134" w:type="dxa"/>
            <w:noWrap/>
            <w:vAlign w:val="center"/>
            <w:hideMark/>
          </w:tcPr>
          <w:p w14:paraId="79FCED6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72C6D45" w14:textId="754494F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E68DCC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7EAFA7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C96786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777EB52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6604382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noWrap/>
            <w:vAlign w:val="center"/>
            <w:hideMark/>
          </w:tcPr>
          <w:p w14:paraId="4AEC44C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Paprika zelená</w:t>
            </w:r>
          </w:p>
        </w:tc>
        <w:tc>
          <w:tcPr>
            <w:tcW w:w="1134" w:type="dxa"/>
            <w:noWrap/>
            <w:vAlign w:val="center"/>
            <w:hideMark/>
          </w:tcPr>
          <w:p w14:paraId="6517811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51C0911F" w14:textId="6314AE3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38C217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1EC857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39C9A2D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A6EE60F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1E8B4F8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noWrap/>
            <w:vAlign w:val="center"/>
            <w:hideMark/>
          </w:tcPr>
          <w:p w14:paraId="6176C45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Paprika bílá</w:t>
            </w:r>
          </w:p>
        </w:tc>
        <w:tc>
          <w:tcPr>
            <w:tcW w:w="1134" w:type="dxa"/>
            <w:noWrap/>
            <w:vAlign w:val="center"/>
            <w:hideMark/>
          </w:tcPr>
          <w:p w14:paraId="2457E0D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5A59E675" w14:textId="2B6B4014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5EAF97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271E1D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69,90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5F2B0A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A07D8C7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5B7C918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noWrap/>
            <w:vAlign w:val="center"/>
            <w:hideMark/>
          </w:tcPr>
          <w:p w14:paraId="54E8F90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8024F">
              <w:rPr>
                <w:rFonts w:ascii="Calibri" w:hAnsi="Calibri" w:cs="Calibri"/>
                <w:color w:val="000000"/>
              </w:rPr>
              <w:t>Cherry</w:t>
            </w:r>
            <w:proofErr w:type="spellEnd"/>
            <w:r w:rsidRPr="00E8024F">
              <w:rPr>
                <w:rFonts w:ascii="Calibri" w:hAnsi="Calibri" w:cs="Calibri"/>
                <w:color w:val="000000"/>
              </w:rPr>
              <w:t xml:space="preserve"> rajčata</w:t>
            </w:r>
          </w:p>
        </w:tc>
        <w:tc>
          <w:tcPr>
            <w:tcW w:w="1134" w:type="dxa"/>
            <w:noWrap/>
            <w:vAlign w:val="center"/>
            <w:hideMark/>
          </w:tcPr>
          <w:p w14:paraId="08A793B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FD9753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250 g</w:t>
            </w:r>
          </w:p>
        </w:tc>
        <w:tc>
          <w:tcPr>
            <w:tcW w:w="2410" w:type="dxa"/>
            <w:noWrap/>
            <w:vAlign w:val="center"/>
            <w:hideMark/>
          </w:tcPr>
          <w:p w14:paraId="7473AF1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51161A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107,60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6DBD1A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04F9C09" w14:textId="77777777" w:rsidTr="005E1A67">
        <w:trPr>
          <w:trHeight w:val="631"/>
        </w:trPr>
        <w:tc>
          <w:tcPr>
            <w:tcW w:w="1271" w:type="dxa"/>
            <w:noWrap/>
            <w:vAlign w:val="center"/>
            <w:hideMark/>
          </w:tcPr>
          <w:p w14:paraId="2A14189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noWrap/>
            <w:vAlign w:val="center"/>
            <w:hideMark/>
          </w:tcPr>
          <w:p w14:paraId="600051F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Petržel listová</w:t>
            </w:r>
          </w:p>
        </w:tc>
        <w:tc>
          <w:tcPr>
            <w:tcW w:w="1134" w:type="dxa"/>
            <w:noWrap/>
            <w:vAlign w:val="center"/>
            <w:hideMark/>
          </w:tcPr>
          <w:p w14:paraId="0754526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8EA410A" w14:textId="4C861489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DCDEDA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02220E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99,00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85497C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6433C3F" w14:textId="77777777" w:rsidTr="005E1A67">
        <w:trPr>
          <w:trHeight w:val="569"/>
        </w:trPr>
        <w:tc>
          <w:tcPr>
            <w:tcW w:w="1271" w:type="dxa"/>
            <w:noWrap/>
            <w:vAlign w:val="center"/>
            <w:hideMark/>
          </w:tcPr>
          <w:p w14:paraId="6921F11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2268" w:type="dxa"/>
            <w:noWrap/>
            <w:vAlign w:val="center"/>
            <w:hideMark/>
          </w:tcPr>
          <w:p w14:paraId="562AE7CE" w14:textId="4ECE9A5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Petržel</w:t>
            </w:r>
          </w:p>
        </w:tc>
        <w:tc>
          <w:tcPr>
            <w:tcW w:w="1134" w:type="dxa"/>
            <w:noWrap/>
            <w:vAlign w:val="center"/>
            <w:hideMark/>
          </w:tcPr>
          <w:p w14:paraId="470BAB9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5C3A7D0" w14:textId="6704F6B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E09A11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276CB7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268B70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4168A16" w14:textId="77777777" w:rsidTr="005E1A67">
        <w:trPr>
          <w:trHeight w:val="681"/>
        </w:trPr>
        <w:tc>
          <w:tcPr>
            <w:tcW w:w="1271" w:type="dxa"/>
            <w:noWrap/>
            <w:vAlign w:val="center"/>
            <w:hideMark/>
          </w:tcPr>
          <w:p w14:paraId="6C6B248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68" w:type="dxa"/>
            <w:noWrap/>
            <w:vAlign w:val="center"/>
            <w:hideMark/>
          </w:tcPr>
          <w:p w14:paraId="6564977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Pór</w:t>
            </w:r>
          </w:p>
        </w:tc>
        <w:tc>
          <w:tcPr>
            <w:tcW w:w="1134" w:type="dxa"/>
            <w:noWrap/>
            <w:vAlign w:val="center"/>
            <w:hideMark/>
          </w:tcPr>
          <w:p w14:paraId="5F12D2F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0336248" w14:textId="447AB4C2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E4E523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DB54E7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F900B8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D902F6D" w14:textId="77777777" w:rsidTr="005E1A67">
        <w:trPr>
          <w:trHeight w:val="735"/>
        </w:trPr>
        <w:tc>
          <w:tcPr>
            <w:tcW w:w="1271" w:type="dxa"/>
            <w:noWrap/>
            <w:vAlign w:val="center"/>
            <w:hideMark/>
          </w:tcPr>
          <w:p w14:paraId="4FBC649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noWrap/>
            <w:vAlign w:val="center"/>
            <w:hideMark/>
          </w:tcPr>
          <w:p w14:paraId="096C566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Rajče volné</w:t>
            </w:r>
          </w:p>
        </w:tc>
        <w:tc>
          <w:tcPr>
            <w:tcW w:w="1134" w:type="dxa"/>
            <w:noWrap/>
            <w:vAlign w:val="center"/>
            <w:hideMark/>
          </w:tcPr>
          <w:p w14:paraId="1C3B0A2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00058A0" w14:textId="3275593C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854B44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4953D4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43,90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C5C575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C5DEDFA" w14:textId="77777777" w:rsidTr="005E1A67">
        <w:trPr>
          <w:trHeight w:val="633"/>
        </w:trPr>
        <w:tc>
          <w:tcPr>
            <w:tcW w:w="1271" w:type="dxa"/>
            <w:noWrap/>
            <w:vAlign w:val="center"/>
            <w:hideMark/>
          </w:tcPr>
          <w:p w14:paraId="3F783B9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noWrap/>
            <w:vAlign w:val="center"/>
            <w:hideMark/>
          </w:tcPr>
          <w:p w14:paraId="0294002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Ředkvičky</w:t>
            </w:r>
          </w:p>
        </w:tc>
        <w:tc>
          <w:tcPr>
            <w:tcW w:w="1134" w:type="dxa"/>
            <w:noWrap/>
            <w:vAlign w:val="center"/>
            <w:hideMark/>
          </w:tcPr>
          <w:p w14:paraId="02D5C2C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sv.</w:t>
            </w:r>
          </w:p>
        </w:tc>
        <w:tc>
          <w:tcPr>
            <w:tcW w:w="2410" w:type="dxa"/>
            <w:noWrap/>
            <w:vAlign w:val="center"/>
            <w:hideMark/>
          </w:tcPr>
          <w:p w14:paraId="5D9D855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200 g</w:t>
            </w:r>
          </w:p>
        </w:tc>
        <w:tc>
          <w:tcPr>
            <w:tcW w:w="2410" w:type="dxa"/>
            <w:noWrap/>
            <w:vAlign w:val="center"/>
            <w:hideMark/>
          </w:tcPr>
          <w:p w14:paraId="7F11248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FB4387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13,90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FE842F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734ECCD" w14:textId="77777777" w:rsidTr="005E1A67">
        <w:trPr>
          <w:trHeight w:val="717"/>
        </w:trPr>
        <w:tc>
          <w:tcPr>
            <w:tcW w:w="1271" w:type="dxa"/>
            <w:noWrap/>
            <w:vAlign w:val="center"/>
            <w:hideMark/>
          </w:tcPr>
          <w:p w14:paraId="5A7F470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noWrap/>
            <w:vAlign w:val="center"/>
            <w:hideMark/>
          </w:tcPr>
          <w:p w14:paraId="5FD545D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Řepa vakuovaná</w:t>
            </w:r>
          </w:p>
        </w:tc>
        <w:tc>
          <w:tcPr>
            <w:tcW w:w="1134" w:type="dxa"/>
            <w:noWrap/>
            <w:vAlign w:val="center"/>
            <w:hideMark/>
          </w:tcPr>
          <w:p w14:paraId="13E42E1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33C89639" w14:textId="5AED15B5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137E43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83A23B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7977E26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2B80C6A" w14:textId="77777777" w:rsidTr="005E1A67">
        <w:trPr>
          <w:trHeight w:val="699"/>
        </w:trPr>
        <w:tc>
          <w:tcPr>
            <w:tcW w:w="1271" w:type="dxa"/>
            <w:noWrap/>
            <w:vAlign w:val="center"/>
            <w:hideMark/>
          </w:tcPr>
          <w:p w14:paraId="146D194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noWrap/>
            <w:vAlign w:val="center"/>
            <w:hideMark/>
          </w:tcPr>
          <w:p w14:paraId="386F004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Salát hlávkový</w:t>
            </w:r>
          </w:p>
        </w:tc>
        <w:tc>
          <w:tcPr>
            <w:tcW w:w="1134" w:type="dxa"/>
            <w:noWrap/>
            <w:vAlign w:val="center"/>
            <w:hideMark/>
          </w:tcPr>
          <w:p w14:paraId="156B3F1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4E60739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300 g</w:t>
            </w:r>
          </w:p>
        </w:tc>
        <w:tc>
          <w:tcPr>
            <w:tcW w:w="2410" w:type="dxa"/>
            <w:noWrap/>
            <w:vAlign w:val="center"/>
            <w:hideMark/>
          </w:tcPr>
          <w:p w14:paraId="653FCCC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B9F2B4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44D40B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3F860064" w14:textId="77777777" w:rsidTr="005E1A67">
        <w:trPr>
          <w:trHeight w:val="709"/>
        </w:trPr>
        <w:tc>
          <w:tcPr>
            <w:tcW w:w="1271" w:type="dxa"/>
            <w:noWrap/>
            <w:vAlign w:val="center"/>
            <w:hideMark/>
          </w:tcPr>
          <w:p w14:paraId="09C0FBE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noWrap/>
            <w:vAlign w:val="center"/>
            <w:hideMark/>
          </w:tcPr>
          <w:p w14:paraId="4B8B912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Salát ledový</w:t>
            </w:r>
          </w:p>
        </w:tc>
        <w:tc>
          <w:tcPr>
            <w:tcW w:w="1134" w:type="dxa"/>
            <w:noWrap/>
            <w:vAlign w:val="center"/>
            <w:hideMark/>
          </w:tcPr>
          <w:p w14:paraId="444C314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3A0C304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450 g</w:t>
            </w:r>
          </w:p>
        </w:tc>
        <w:tc>
          <w:tcPr>
            <w:tcW w:w="2410" w:type="dxa"/>
            <w:noWrap/>
            <w:vAlign w:val="center"/>
            <w:hideMark/>
          </w:tcPr>
          <w:p w14:paraId="00A54E2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0B38AF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34,90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2E67E3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57785E8" w14:textId="77777777" w:rsidTr="005E1A67">
        <w:trPr>
          <w:trHeight w:val="692"/>
        </w:trPr>
        <w:tc>
          <w:tcPr>
            <w:tcW w:w="1271" w:type="dxa"/>
            <w:noWrap/>
            <w:vAlign w:val="center"/>
            <w:hideMark/>
          </w:tcPr>
          <w:p w14:paraId="12C9DD7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noWrap/>
            <w:vAlign w:val="center"/>
            <w:hideMark/>
          </w:tcPr>
          <w:p w14:paraId="6540D4B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 w:rsidRPr="00E8024F">
              <w:rPr>
                <w:rFonts w:ascii="Calibri" w:hAnsi="Calibri" w:cs="Calibri"/>
                <w:color w:val="000000"/>
              </w:rPr>
              <w:t>biondo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32E930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2CCB661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300 g</w:t>
            </w:r>
          </w:p>
        </w:tc>
        <w:tc>
          <w:tcPr>
            <w:tcW w:w="2410" w:type="dxa"/>
            <w:noWrap/>
            <w:vAlign w:val="center"/>
            <w:hideMark/>
          </w:tcPr>
          <w:p w14:paraId="12190F9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6783FB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2E3229B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6C574A5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6558FE1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noWrap/>
            <w:vAlign w:val="center"/>
            <w:hideMark/>
          </w:tcPr>
          <w:p w14:paraId="2219301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 w:rsidRPr="00E8024F">
              <w:rPr>
                <w:rFonts w:ascii="Calibri" w:hAnsi="Calibri" w:cs="Calibri"/>
                <w:color w:val="000000"/>
              </w:rPr>
              <w:t>rosso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3B55E95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69E5C7C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300 g</w:t>
            </w:r>
          </w:p>
        </w:tc>
        <w:tc>
          <w:tcPr>
            <w:tcW w:w="2410" w:type="dxa"/>
            <w:noWrap/>
            <w:vAlign w:val="center"/>
            <w:hideMark/>
          </w:tcPr>
          <w:p w14:paraId="2F2D41C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6425DF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B1CB12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8378770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2018B66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noWrap/>
            <w:vAlign w:val="center"/>
            <w:hideMark/>
          </w:tcPr>
          <w:p w14:paraId="6F1B87A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Salát polníček</w:t>
            </w:r>
          </w:p>
        </w:tc>
        <w:tc>
          <w:tcPr>
            <w:tcW w:w="1134" w:type="dxa"/>
            <w:noWrap/>
            <w:vAlign w:val="center"/>
            <w:hideMark/>
          </w:tcPr>
          <w:p w14:paraId="0E300EE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64B76EE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125 g</w:t>
            </w:r>
          </w:p>
        </w:tc>
        <w:tc>
          <w:tcPr>
            <w:tcW w:w="2410" w:type="dxa"/>
            <w:noWrap/>
            <w:vAlign w:val="center"/>
            <w:hideMark/>
          </w:tcPr>
          <w:p w14:paraId="6C278C3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43AAEB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33,90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A4E484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5DEDEC9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15539DA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noWrap/>
            <w:vAlign w:val="center"/>
            <w:hideMark/>
          </w:tcPr>
          <w:p w14:paraId="43D3812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 w:rsidRPr="00E8024F">
              <w:rPr>
                <w:rFonts w:ascii="Calibri" w:hAnsi="Calibri" w:cs="Calibri"/>
                <w:color w:val="000000"/>
              </w:rPr>
              <w:t>rucola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240DC60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2410" w:type="dxa"/>
            <w:noWrap/>
            <w:vAlign w:val="center"/>
            <w:hideMark/>
          </w:tcPr>
          <w:p w14:paraId="3F73AC4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125 g</w:t>
            </w:r>
          </w:p>
        </w:tc>
        <w:tc>
          <w:tcPr>
            <w:tcW w:w="2410" w:type="dxa"/>
            <w:noWrap/>
            <w:vAlign w:val="center"/>
            <w:hideMark/>
          </w:tcPr>
          <w:p w14:paraId="53A3F0A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535556D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31,90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BF089B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04921B9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7215812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noWrap/>
            <w:vAlign w:val="center"/>
            <w:hideMark/>
          </w:tcPr>
          <w:p w14:paraId="3E09E2C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Špenát baby</w:t>
            </w:r>
          </w:p>
        </w:tc>
        <w:tc>
          <w:tcPr>
            <w:tcW w:w="1134" w:type="dxa"/>
            <w:noWrap/>
            <w:vAlign w:val="center"/>
            <w:hideMark/>
          </w:tcPr>
          <w:p w14:paraId="1C4EE70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A02E55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125 g</w:t>
            </w:r>
          </w:p>
        </w:tc>
        <w:tc>
          <w:tcPr>
            <w:tcW w:w="2410" w:type="dxa"/>
            <w:noWrap/>
            <w:vAlign w:val="center"/>
            <w:hideMark/>
          </w:tcPr>
          <w:p w14:paraId="7C2531F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9FAB82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31,90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276BD4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09276BC5" w14:textId="77777777" w:rsidTr="005E1A67">
        <w:trPr>
          <w:trHeight w:val="632"/>
        </w:trPr>
        <w:tc>
          <w:tcPr>
            <w:tcW w:w="1271" w:type="dxa"/>
            <w:noWrap/>
            <w:vAlign w:val="center"/>
            <w:hideMark/>
          </w:tcPr>
          <w:p w14:paraId="109F552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noWrap/>
            <w:vAlign w:val="center"/>
            <w:hideMark/>
          </w:tcPr>
          <w:p w14:paraId="4B9293AF" w14:textId="5466A276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Zázvor</w:t>
            </w:r>
          </w:p>
        </w:tc>
        <w:tc>
          <w:tcPr>
            <w:tcW w:w="1134" w:type="dxa"/>
            <w:noWrap/>
            <w:vAlign w:val="center"/>
            <w:hideMark/>
          </w:tcPr>
          <w:p w14:paraId="5138729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7D915BAD" w14:textId="00735D51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4C7704F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0D06612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109,90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8CA04D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A10A6FF" w14:textId="77777777" w:rsidTr="005E1A67">
        <w:trPr>
          <w:trHeight w:val="681"/>
        </w:trPr>
        <w:tc>
          <w:tcPr>
            <w:tcW w:w="1271" w:type="dxa"/>
            <w:noWrap/>
            <w:vAlign w:val="center"/>
            <w:hideMark/>
          </w:tcPr>
          <w:p w14:paraId="485E0DA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2268" w:type="dxa"/>
            <w:noWrap/>
            <w:vAlign w:val="center"/>
            <w:hideMark/>
          </w:tcPr>
          <w:p w14:paraId="5B3DA1A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 xml:space="preserve">Zelí </w:t>
            </w:r>
            <w:proofErr w:type="spellStart"/>
            <w:proofErr w:type="gramStart"/>
            <w:r w:rsidRPr="00E8024F">
              <w:rPr>
                <w:rFonts w:ascii="Calibri" w:hAnsi="Calibri" w:cs="Calibri"/>
                <w:color w:val="000000"/>
              </w:rPr>
              <w:t>kys</w:t>
            </w:r>
            <w:proofErr w:type="gramEnd"/>
            <w:r w:rsidRPr="00E8024F">
              <w:rPr>
                <w:rFonts w:ascii="Calibri" w:hAnsi="Calibri" w:cs="Calibri"/>
                <w:color w:val="000000"/>
              </w:rPr>
              <w:t>.</w:t>
            </w:r>
            <w:proofErr w:type="gramStart"/>
            <w:r w:rsidRPr="00E8024F">
              <w:rPr>
                <w:rFonts w:ascii="Calibri" w:hAnsi="Calibri" w:cs="Calibri"/>
                <w:color w:val="000000"/>
              </w:rPr>
              <w:t>bílé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14:paraId="666F0DB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D6DBFA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10 kg</w:t>
            </w:r>
          </w:p>
        </w:tc>
        <w:tc>
          <w:tcPr>
            <w:tcW w:w="2410" w:type="dxa"/>
            <w:noWrap/>
            <w:vAlign w:val="center"/>
            <w:hideMark/>
          </w:tcPr>
          <w:p w14:paraId="065D6C6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4913F73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DFEFBD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56B4F3F2" w14:textId="77777777" w:rsidTr="005E1A67">
        <w:trPr>
          <w:trHeight w:val="637"/>
        </w:trPr>
        <w:tc>
          <w:tcPr>
            <w:tcW w:w="1271" w:type="dxa"/>
            <w:noWrap/>
            <w:vAlign w:val="center"/>
            <w:hideMark/>
          </w:tcPr>
          <w:p w14:paraId="4BE3657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noWrap/>
            <w:vAlign w:val="center"/>
            <w:hideMark/>
          </w:tcPr>
          <w:p w14:paraId="6DB793F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Zelí bílé</w:t>
            </w:r>
          </w:p>
        </w:tc>
        <w:tc>
          <w:tcPr>
            <w:tcW w:w="1134" w:type="dxa"/>
            <w:noWrap/>
            <w:vAlign w:val="center"/>
            <w:hideMark/>
          </w:tcPr>
          <w:p w14:paraId="36B4447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3CB486FE" w14:textId="64CF94BC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4AB835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2DB2607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18,90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C4ED10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40B37F3F" w14:textId="77777777" w:rsidTr="005E1A67">
        <w:trPr>
          <w:trHeight w:val="703"/>
        </w:trPr>
        <w:tc>
          <w:tcPr>
            <w:tcW w:w="1271" w:type="dxa"/>
            <w:noWrap/>
            <w:vAlign w:val="center"/>
            <w:hideMark/>
          </w:tcPr>
          <w:p w14:paraId="76FF69E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noWrap/>
            <w:vAlign w:val="center"/>
            <w:hideMark/>
          </w:tcPr>
          <w:p w14:paraId="3F8F68D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Zelí červené</w:t>
            </w:r>
          </w:p>
        </w:tc>
        <w:tc>
          <w:tcPr>
            <w:tcW w:w="1134" w:type="dxa"/>
            <w:noWrap/>
            <w:vAlign w:val="center"/>
            <w:hideMark/>
          </w:tcPr>
          <w:p w14:paraId="7BB6AFF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A88793C" w14:textId="0A89E5D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509FADC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18DA102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23,50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0AB24E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1A914543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412558B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noWrap/>
            <w:vAlign w:val="center"/>
            <w:hideMark/>
          </w:tcPr>
          <w:p w14:paraId="50CA79E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Zelí čínské</w:t>
            </w:r>
          </w:p>
        </w:tc>
        <w:tc>
          <w:tcPr>
            <w:tcW w:w="1134" w:type="dxa"/>
            <w:noWrap/>
            <w:vAlign w:val="center"/>
            <w:hideMark/>
          </w:tcPr>
          <w:p w14:paraId="02B400B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E8D40BB" w14:textId="67440E0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1BF9194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E4AC2D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46,90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5522292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B72CE90" w14:textId="77777777" w:rsidTr="005E1A67">
        <w:trPr>
          <w:trHeight w:val="629"/>
        </w:trPr>
        <w:tc>
          <w:tcPr>
            <w:tcW w:w="1271" w:type="dxa"/>
            <w:noWrap/>
            <w:vAlign w:val="center"/>
            <w:hideMark/>
          </w:tcPr>
          <w:p w14:paraId="521AE67E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noWrap/>
            <w:vAlign w:val="center"/>
            <w:hideMark/>
          </w:tcPr>
          <w:p w14:paraId="6D0950BA" w14:textId="38D9F11D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Žampiony</w:t>
            </w:r>
          </w:p>
        </w:tc>
        <w:tc>
          <w:tcPr>
            <w:tcW w:w="1134" w:type="dxa"/>
            <w:noWrap/>
            <w:vAlign w:val="center"/>
            <w:hideMark/>
          </w:tcPr>
          <w:p w14:paraId="196AF16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36BC8DD5" w14:textId="1C03BA95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A99F6C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F9DE8D1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79,90 Kč</w:t>
            </w:r>
          </w:p>
        </w:tc>
        <w:tc>
          <w:tcPr>
            <w:tcW w:w="2127" w:type="dxa"/>
            <w:noWrap/>
            <w:vAlign w:val="center"/>
            <w:hideMark/>
          </w:tcPr>
          <w:p w14:paraId="67F98BB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15D1990" w14:textId="77777777" w:rsidTr="005E1A67">
        <w:trPr>
          <w:trHeight w:val="695"/>
        </w:trPr>
        <w:tc>
          <w:tcPr>
            <w:tcW w:w="1271" w:type="dxa"/>
            <w:noWrap/>
            <w:vAlign w:val="center"/>
            <w:hideMark/>
          </w:tcPr>
          <w:p w14:paraId="2E6B62A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noWrap/>
            <w:vAlign w:val="center"/>
            <w:hideMark/>
          </w:tcPr>
          <w:p w14:paraId="68B4495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Bazalka</w:t>
            </w:r>
          </w:p>
        </w:tc>
        <w:tc>
          <w:tcPr>
            <w:tcW w:w="1134" w:type="dxa"/>
            <w:noWrap/>
            <w:vAlign w:val="center"/>
            <w:hideMark/>
          </w:tcPr>
          <w:p w14:paraId="676EF3B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6895EAC" w14:textId="56199FD3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F01AB1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E0EBEC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539,00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16B964C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65D11A73" w14:textId="77777777" w:rsidTr="005E1A67">
        <w:trPr>
          <w:trHeight w:val="615"/>
        </w:trPr>
        <w:tc>
          <w:tcPr>
            <w:tcW w:w="1271" w:type="dxa"/>
            <w:noWrap/>
            <w:vAlign w:val="center"/>
            <w:hideMark/>
          </w:tcPr>
          <w:p w14:paraId="4BAA844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noWrap/>
            <w:vAlign w:val="center"/>
            <w:hideMark/>
          </w:tcPr>
          <w:p w14:paraId="67A15EE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Koriandr</w:t>
            </w:r>
          </w:p>
        </w:tc>
        <w:tc>
          <w:tcPr>
            <w:tcW w:w="1134" w:type="dxa"/>
            <w:noWrap/>
            <w:vAlign w:val="center"/>
            <w:hideMark/>
          </w:tcPr>
          <w:p w14:paraId="34C285D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2595F668" w14:textId="3015363F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051AB11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6C07EFB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289,00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783C96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29902274" w14:textId="77777777" w:rsidTr="005E1A67">
        <w:trPr>
          <w:trHeight w:val="626"/>
        </w:trPr>
        <w:tc>
          <w:tcPr>
            <w:tcW w:w="1271" w:type="dxa"/>
            <w:noWrap/>
            <w:vAlign w:val="center"/>
            <w:hideMark/>
          </w:tcPr>
          <w:p w14:paraId="21F09EEC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noWrap/>
            <w:vAlign w:val="center"/>
            <w:hideMark/>
          </w:tcPr>
          <w:p w14:paraId="270D81DA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Máta</w:t>
            </w:r>
          </w:p>
        </w:tc>
        <w:tc>
          <w:tcPr>
            <w:tcW w:w="1134" w:type="dxa"/>
            <w:noWrap/>
            <w:vAlign w:val="center"/>
            <w:hideMark/>
          </w:tcPr>
          <w:p w14:paraId="4C3B51E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1AC2C0C0" w14:textId="38CEEB80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C693C73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2C40D22F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329,00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DCC16B6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E8024F" w:rsidRPr="00E8024F" w14:paraId="75E72F60" w14:textId="77777777" w:rsidTr="005E1A67">
        <w:trPr>
          <w:trHeight w:val="707"/>
        </w:trPr>
        <w:tc>
          <w:tcPr>
            <w:tcW w:w="1271" w:type="dxa"/>
            <w:noWrap/>
            <w:vAlign w:val="center"/>
            <w:hideMark/>
          </w:tcPr>
          <w:p w14:paraId="198689EB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noWrap/>
            <w:vAlign w:val="center"/>
            <w:hideMark/>
          </w:tcPr>
          <w:p w14:paraId="5965C4A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Rozmarýn</w:t>
            </w:r>
          </w:p>
        </w:tc>
        <w:tc>
          <w:tcPr>
            <w:tcW w:w="1134" w:type="dxa"/>
            <w:noWrap/>
            <w:vAlign w:val="center"/>
            <w:hideMark/>
          </w:tcPr>
          <w:p w14:paraId="3037058D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49DCD0DB" w14:textId="752D5474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7454B3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78630E70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380,00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0B2DC4E5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F7109B" w:rsidRPr="002828C0" w14:paraId="3DE2E159" w14:textId="77777777" w:rsidTr="00EC5E99">
        <w:trPr>
          <w:trHeight w:val="797"/>
        </w:trPr>
        <w:tc>
          <w:tcPr>
            <w:tcW w:w="1271" w:type="dxa"/>
            <w:noWrap/>
            <w:vAlign w:val="center"/>
            <w:hideMark/>
          </w:tcPr>
          <w:p w14:paraId="411159D4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noWrap/>
            <w:vAlign w:val="center"/>
            <w:hideMark/>
          </w:tcPr>
          <w:p w14:paraId="51AFFFD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Tymián</w:t>
            </w:r>
          </w:p>
        </w:tc>
        <w:tc>
          <w:tcPr>
            <w:tcW w:w="1134" w:type="dxa"/>
            <w:noWrap/>
            <w:vAlign w:val="center"/>
            <w:hideMark/>
          </w:tcPr>
          <w:p w14:paraId="67F6D589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kg</w:t>
            </w:r>
          </w:p>
        </w:tc>
        <w:tc>
          <w:tcPr>
            <w:tcW w:w="2410" w:type="dxa"/>
            <w:noWrap/>
            <w:vAlign w:val="center"/>
            <w:hideMark/>
          </w:tcPr>
          <w:p w14:paraId="036AE155" w14:textId="670DE6DE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6533752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8024F">
              <w:rPr>
                <w:rFonts w:ascii="Calibri" w:hAnsi="Calibri" w:cs="Calibri"/>
              </w:rPr>
              <w:t>4 dny</w:t>
            </w:r>
          </w:p>
        </w:tc>
        <w:tc>
          <w:tcPr>
            <w:tcW w:w="2409" w:type="dxa"/>
            <w:noWrap/>
            <w:vAlign w:val="center"/>
            <w:hideMark/>
          </w:tcPr>
          <w:p w14:paraId="317E1C88" w14:textId="77777777" w:rsidR="002828C0" w:rsidRPr="00E8024F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460,00 Kč</w:t>
            </w:r>
          </w:p>
        </w:tc>
        <w:tc>
          <w:tcPr>
            <w:tcW w:w="2127" w:type="dxa"/>
            <w:noWrap/>
            <w:vAlign w:val="center"/>
            <w:hideMark/>
          </w:tcPr>
          <w:p w14:paraId="4E195BC8" w14:textId="77777777" w:rsidR="002828C0" w:rsidRPr="002828C0" w:rsidRDefault="002828C0" w:rsidP="00EC5E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8024F">
              <w:rPr>
                <w:rFonts w:ascii="Calibri" w:hAnsi="Calibri" w:cs="Calibri"/>
                <w:color w:val="000000"/>
              </w:rPr>
              <w:t>12%</w:t>
            </w:r>
          </w:p>
        </w:tc>
      </w:tr>
    </w:tbl>
    <w:tbl>
      <w:tblPr>
        <w:tblW w:w="13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8"/>
      </w:tblGrid>
      <w:tr w:rsidR="002828C0" w:rsidRPr="002828C0" w14:paraId="022A8556" w14:textId="77777777" w:rsidTr="00E8024F">
        <w:trPr>
          <w:trHeight w:val="305"/>
        </w:trPr>
        <w:tc>
          <w:tcPr>
            <w:tcW w:w="13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DE69" w14:textId="77777777" w:rsidR="00EC5E99" w:rsidRDefault="00EC5E99" w:rsidP="002828C0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539E7CE7" w14:textId="46594888" w:rsidR="002828C0" w:rsidRPr="002828C0" w:rsidRDefault="002828C0" w:rsidP="002828C0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828C0">
              <w:rPr>
                <w:rFonts w:ascii="Calibri" w:hAnsi="Calibri" w:cs="Calibri"/>
                <w:color w:val="000000"/>
              </w:rPr>
              <w:t>*Zadavatel připouští odchylku ± 5% od požadované hmotnosti v balení ** Pokud je ve sloupci D, uveden svazek, dále pak</w:t>
            </w:r>
            <w:r w:rsidR="005E1A67">
              <w:rPr>
                <w:rFonts w:ascii="Calibri" w:hAnsi="Calibri" w:cs="Calibri"/>
                <w:color w:val="000000"/>
              </w:rPr>
              <w:t xml:space="preserve"> ve sloupci F, svazek odpovídá </w:t>
            </w:r>
            <w:r w:rsidRPr="002828C0">
              <w:rPr>
                <w:rFonts w:ascii="Calibri" w:hAnsi="Calibri" w:cs="Calibri"/>
                <w:color w:val="000000"/>
              </w:rPr>
              <w:t>počtu v kusech</w:t>
            </w:r>
          </w:p>
        </w:tc>
      </w:tr>
      <w:tr w:rsidR="002828C0" w:rsidRPr="002828C0" w14:paraId="1000E9E7" w14:textId="77777777" w:rsidTr="00E8024F">
        <w:trPr>
          <w:trHeight w:val="229"/>
        </w:trPr>
        <w:tc>
          <w:tcPr>
            <w:tcW w:w="1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86F" w14:textId="77777777" w:rsidR="002828C0" w:rsidRPr="002828C0" w:rsidRDefault="002828C0" w:rsidP="002828C0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828C0">
              <w:rPr>
                <w:rFonts w:ascii="Calibri" w:hAnsi="Calibri" w:cs="Calibri"/>
                <w:color w:val="000000"/>
              </w:rPr>
              <w:t xml:space="preserve">***Je-li možné, vložte značku a velikost balení produktu </w:t>
            </w:r>
          </w:p>
        </w:tc>
      </w:tr>
      <w:tr w:rsidR="002828C0" w:rsidRPr="002828C0" w14:paraId="17F11121" w14:textId="77777777" w:rsidTr="00E8024F">
        <w:trPr>
          <w:trHeight w:val="229"/>
        </w:trPr>
        <w:tc>
          <w:tcPr>
            <w:tcW w:w="1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09A7" w14:textId="77777777" w:rsidR="002828C0" w:rsidRPr="002828C0" w:rsidRDefault="002828C0" w:rsidP="002828C0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2828C0">
              <w:rPr>
                <w:rFonts w:ascii="Calibri" w:hAnsi="Calibri" w:cs="Calibri"/>
                <w:color w:val="000000"/>
              </w:rPr>
              <w:t>****Cena přepočtená za měrnou jednotku (cena za 1 kg nebo pokud je v ks, tak cena za 1 ks), nikoliv cena za celé balení, cenové údaje uvádějte s přesností na 2 desetinná místa</w:t>
            </w:r>
          </w:p>
        </w:tc>
      </w:tr>
    </w:tbl>
    <w:p w14:paraId="59C80D48" w14:textId="77777777" w:rsidR="002828C0" w:rsidRPr="000729CF" w:rsidRDefault="002828C0" w:rsidP="007E416F">
      <w:pPr>
        <w:jc w:val="center"/>
        <w:rPr>
          <w:b/>
        </w:rPr>
      </w:pPr>
    </w:p>
    <w:sectPr w:rsidR="002828C0" w:rsidRPr="000729C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D037C" w14:textId="77777777" w:rsidR="00EC5E99" w:rsidRDefault="00EC5E99" w:rsidP="006337DC">
      <w:r>
        <w:separator/>
      </w:r>
    </w:p>
  </w:endnote>
  <w:endnote w:type="continuationSeparator" w:id="0">
    <w:p w14:paraId="4237B2EC" w14:textId="77777777" w:rsidR="00EC5E99" w:rsidRDefault="00EC5E9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510E00" w:rsidR="00EC5E99" w:rsidRPr="00150F89" w:rsidRDefault="00EC5E99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27D45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67852184" w14:textId="77777777" w:rsidR="00EC5E99" w:rsidRDefault="00EC5E99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66D1A89" w:rsidR="00EC5E99" w:rsidRDefault="00EC5E9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7D45">
      <w:rPr>
        <w:noProof/>
      </w:rPr>
      <w:t>1</w:t>
    </w:r>
    <w:r>
      <w:fldChar w:fldCharType="end"/>
    </w:r>
  </w:p>
  <w:p w14:paraId="67852186" w14:textId="77777777" w:rsidR="00EC5E99" w:rsidRDefault="00EC5E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E1A62" w14:textId="77777777" w:rsidR="00EC5E99" w:rsidRDefault="00EC5E99" w:rsidP="006337DC">
      <w:r>
        <w:separator/>
      </w:r>
    </w:p>
  </w:footnote>
  <w:footnote w:type="continuationSeparator" w:id="0">
    <w:p w14:paraId="2DB4B5AC" w14:textId="77777777" w:rsidR="00EC5E99" w:rsidRDefault="00EC5E9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438247155"/>
      <w:placeholder>
        <w:docPart w:val="5A92D5247E2741BFBE249772B2E0078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69861C4" w14:textId="66BCCD7F" w:rsidR="00EC5E99" w:rsidRDefault="00EC5E99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KD/3348/2024/Do</w:t>
        </w:r>
      </w:p>
    </w:sdtContent>
  </w:sdt>
  <w:p w14:paraId="3910C77B" w14:textId="77777777" w:rsidR="00EC5E99" w:rsidRDefault="00EC5E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96A60"/>
    <w:rsid w:val="000A0623"/>
    <w:rsid w:val="000A153E"/>
    <w:rsid w:val="000A5B93"/>
    <w:rsid w:val="000A6004"/>
    <w:rsid w:val="000B00FA"/>
    <w:rsid w:val="000B2B3B"/>
    <w:rsid w:val="000B741F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27D45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6BDA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28C0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3D32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4752A"/>
    <w:rsid w:val="00352CD1"/>
    <w:rsid w:val="003571AB"/>
    <w:rsid w:val="00360359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0706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8FE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76C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1A67"/>
    <w:rsid w:val="005E41BA"/>
    <w:rsid w:val="005E6464"/>
    <w:rsid w:val="005F315A"/>
    <w:rsid w:val="005F47C4"/>
    <w:rsid w:val="005F606A"/>
    <w:rsid w:val="0060020F"/>
    <w:rsid w:val="0060495E"/>
    <w:rsid w:val="006130D0"/>
    <w:rsid w:val="00614245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6F8E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84C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D4E00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27924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BC0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5AD2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B60F6"/>
    <w:rsid w:val="00BC1018"/>
    <w:rsid w:val="00BC1147"/>
    <w:rsid w:val="00BD0B6F"/>
    <w:rsid w:val="00BD1838"/>
    <w:rsid w:val="00BD3BCD"/>
    <w:rsid w:val="00BD3F1A"/>
    <w:rsid w:val="00BD5F03"/>
    <w:rsid w:val="00BE02E4"/>
    <w:rsid w:val="00BE0CE7"/>
    <w:rsid w:val="00BE125C"/>
    <w:rsid w:val="00BE1529"/>
    <w:rsid w:val="00BE451F"/>
    <w:rsid w:val="00BE4FE7"/>
    <w:rsid w:val="00BE50CA"/>
    <w:rsid w:val="00BE6F07"/>
    <w:rsid w:val="00BF2F20"/>
    <w:rsid w:val="00BF44D1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14C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976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024F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330C"/>
    <w:rsid w:val="00EC5E99"/>
    <w:rsid w:val="00EC6A23"/>
    <w:rsid w:val="00ED0547"/>
    <w:rsid w:val="00ED22CB"/>
    <w:rsid w:val="00ED4756"/>
    <w:rsid w:val="00EE2793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2AA1"/>
    <w:rsid w:val="00F24370"/>
    <w:rsid w:val="00F25645"/>
    <w:rsid w:val="00F27E90"/>
    <w:rsid w:val="00F302F2"/>
    <w:rsid w:val="00F30651"/>
    <w:rsid w:val="00F37C57"/>
    <w:rsid w:val="00F43EC4"/>
    <w:rsid w:val="00F45871"/>
    <w:rsid w:val="00F45BDE"/>
    <w:rsid w:val="00F51C8E"/>
    <w:rsid w:val="00F55E3B"/>
    <w:rsid w:val="00F6327E"/>
    <w:rsid w:val="00F7071B"/>
    <w:rsid w:val="00F70BA0"/>
    <w:rsid w:val="00F7109B"/>
    <w:rsid w:val="00F72C37"/>
    <w:rsid w:val="00F74B4F"/>
    <w:rsid w:val="00F8366C"/>
    <w:rsid w:val="00F870CA"/>
    <w:rsid w:val="00F87AD3"/>
    <w:rsid w:val="00F91396"/>
    <w:rsid w:val="00F921A1"/>
    <w:rsid w:val="00F93A20"/>
    <w:rsid w:val="00F94F61"/>
    <w:rsid w:val="00FA41D0"/>
    <w:rsid w:val="00FA78DA"/>
    <w:rsid w:val="00FB23A7"/>
    <w:rsid w:val="00FB3276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92D5247E2741BFBE249772B2E00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A04CA-0140-4635-8493-775CE4F989F3}"/>
      </w:docPartPr>
      <w:docPartBody>
        <w:p w:rsidR="00982D9E" w:rsidRDefault="00982D9E" w:rsidP="00982D9E">
          <w:pPr>
            <w:pStyle w:val="5A92D5247E2741BFBE249772B2E0078E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9E"/>
    <w:rsid w:val="009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A92D5247E2741BFBE249772B2E0078E">
    <w:name w:val="5A92D5247E2741BFBE249772B2E0078E"/>
    <w:rsid w:val="00982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97A076-39B3-4A41-9DB3-81293832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3838</Words>
  <Characters>20727</Characters>
  <Application>Microsoft Office Word</Application>
  <DocSecurity>0</DocSecurity>
  <Lines>172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KD/3348/2024/Do</vt:lpstr>
    </vt:vector>
  </TitlesOfParts>
  <Company>sV</Company>
  <LinksUpToDate>false</LinksUpToDate>
  <CharactersWithSpaces>24516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KD/3348/2024/Do</dc:title>
  <dc:creator>sV</dc:creator>
  <cp:lastModifiedBy>Dorazilová Tereza</cp:lastModifiedBy>
  <cp:revision>14</cp:revision>
  <cp:lastPrinted>2018-11-27T10:11:00Z</cp:lastPrinted>
  <dcterms:created xsi:type="dcterms:W3CDTF">2024-09-16T10:24:00Z</dcterms:created>
  <dcterms:modified xsi:type="dcterms:W3CDTF">2024-10-07T08:11:00Z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