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2B22B524"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SMLOUVA Č.</w:t>
      </w:r>
      <w:r w:rsidR="00097DD2">
        <w:rPr>
          <w:rFonts w:asciiTheme="majorHAnsi" w:hAnsiTheme="majorHAnsi" w:cstheme="majorHAnsi"/>
          <w:color w:val="0D0D0D" w:themeColor="text1" w:themeTint="F2"/>
          <w:sz w:val="56"/>
          <w:szCs w:val="56"/>
        </w:rPr>
        <w:t xml:space="preserve"> </w:t>
      </w:r>
      <w:r w:rsidR="00097DD2" w:rsidRPr="00097DD2">
        <w:rPr>
          <w:rFonts w:asciiTheme="majorHAnsi" w:hAnsiTheme="majorHAnsi" w:cstheme="majorHAnsi"/>
          <w:color w:val="0D0D0D" w:themeColor="text1" w:themeTint="F2"/>
          <w:sz w:val="56"/>
          <w:szCs w:val="56"/>
        </w:rPr>
        <w:t>P/0924041</w:t>
      </w:r>
      <w:r w:rsidRPr="00B7005F">
        <w:rPr>
          <w:rFonts w:asciiTheme="majorHAnsi" w:hAnsiTheme="majorHAnsi" w:cstheme="majorHAnsi"/>
          <w:color w:val="0D0D0D" w:themeColor="text1" w:themeTint="F2"/>
          <w:sz w:val="56"/>
          <w:szCs w:val="56"/>
        </w:rPr>
        <w:t xml:space="preserve">  </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4D7B0E97" w:rsidR="00DF29B5" w:rsidRPr="00B7005F" w:rsidRDefault="009C6368" w:rsidP="005D1011">
      <w:pPr>
        <w:spacing w:before="24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Střední odborná škola Luhačovice</w:t>
      </w:r>
    </w:p>
    <w:p w14:paraId="091D6475" w14:textId="77777777" w:rsidR="00DF29B5" w:rsidRPr="00B7005F" w:rsidRDefault="00DF29B5" w:rsidP="00DF29B5">
      <w:pPr>
        <w:jc w:val="center"/>
        <w:rPr>
          <w:rFonts w:asciiTheme="majorHAnsi" w:hAnsiTheme="majorHAnsi" w:cstheme="majorHAnsi"/>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5D243B53" w:rsidR="00AC60F6" w:rsidRPr="00B7005F" w:rsidRDefault="000A64AC" w:rsidP="00B73604">
      <w:pPr>
        <w:pStyle w:val="Nadpis1"/>
        <w:rPr>
          <w:color w:val="0D0D0D" w:themeColor="text1" w:themeTint="F2"/>
        </w:rPr>
      </w:pPr>
      <w:bookmarkStart w:id="1" w:name="_Toc177031197"/>
      <w:r w:rsidRPr="00B7005F">
        <w:rPr>
          <w:color w:val="0D0D0D" w:themeColor="text1" w:themeTint="F2"/>
        </w:rPr>
        <w:lastRenderedPageBreak/>
        <w:t>SMLUVNÍ STRANY</w:t>
      </w:r>
      <w:bookmarkEnd w:id="1"/>
    </w:p>
    <w:p w14:paraId="2AA1754F" w14:textId="2CA52411"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Smlouvu č.</w:t>
      </w:r>
      <w:r w:rsidR="007A3B66">
        <w:rPr>
          <w:rFonts w:asciiTheme="majorHAnsi" w:hAnsiTheme="majorHAnsi" w:cstheme="majorHAnsi"/>
          <w:color w:val="0D0D0D" w:themeColor="text1" w:themeTint="F2"/>
        </w:rPr>
        <w:t xml:space="preserve"> </w:t>
      </w:r>
      <w:r w:rsidR="007A3B66" w:rsidRPr="007A3B66">
        <w:rPr>
          <w:rFonts w:asciiTheme="majorHAnsi" w:hAnsiTheme="majorHAnsi" w:cstheme="majorHAnsi"/>
          <w:color w:val="0D0D0D" w:themeColor="text1" w:themeTint="F2"/>
        </w:rPr>
        <w:t>P/0924041</w:t>
      </w:r>
      <w:r w:rsidRPr="00B7005F">
        <w:rPr>
          <w:rFonts w:asciiTheme="majorHAnsi" w:hAnsiTheme="majorHAnsi" w:cstheme="majorHAnsi"/>
          <w:color w:val="0D0D0D" w:themeColor="text1" w:themeTint="F2"/>
        </w:rPr>
        <w:t xml:space="preserve"> 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0"/>
        <w:gridCol w:w="4644"/>
      </w:tblGrid>
      <w:tr w:rsidR="00EB6D43" w:rsidRPr="00B7005F" w14:paraId="2114A4F6" w14:textId="77777777" w:rsidTr="00097DD2">
        <w:tc>
          <w:tcPr>
            <w:tcW w:w="4395" w:type="dxa"/>
            <w:shd w:val="clear" w:color="auto" w:fill="FFF2CC" w:themeFill="accent4" w:themeFillTint="33"/>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vAlign w:val="center"/>
          </w:tcPr>
          <w:p w14:paraId="7852ED15" w14:textId="77777777" w:rsidR="005528E1"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Střední odborná škola Luhačovice</w:t>
            </w:r>
          </w:p>
          <w:p w14:paraId="394F2563" w14:textId="04E5A0B5"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Masarykova 101</w:t>
            </w:r>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76326 Luhačovice</w:t>
            </w:r>
          </w:p>
        </w:tc>
      </w:tr>
      <w:tr w:rsidR="00EB6D43" w:rsidRPr="00B7005F" w14:paraId="2BA4E7FD" w14:textId="77777777" w:rsidTr="00097DD2">
        <w:tc>
          <w:tcPr>
            <w:tcW w:w="4395" w:type="dxa"/>
            <w:shd w:val="clear" w:color="auto" w:fill="FFF2CC" w:themeFill="accent4" w:themeFillTint="33"/>
            <w:vAlign w:val="center"/>
          </w:tcPr>
          <w:p w14:paraId="300927EB"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 xml:space="preserve">Zápis v obchodním rejstříku </w:t>
            </w:r>
            <w:r w:rsidRPr="00097DD2">
              <w:rPr>
                <w:rFonts w:asciiTheme="majorHAnsi" w:hAnsiTheme="majorHAnsi" w:cstheme="majorHAnsi"/>
                <w:color w:val="0D0D0D" w:themeColor="text1" w:themeTint="F2"/>
              </w:rPr>
              <w:t>(či jiné evidenci)</w:t>
            </w:r>
            <w:r w:rsidRPr="00097DD2">
              <w:rPr>
                <w:rFonts w:asciiTheme="majorHAnsi" w:hAnsiTheme="majorHAnsi" w:cstheme="majorHAnsi"/>
                <w:b/>
                <w:color w:val="0D0D0D" w:themeColor="text1" w:themeTint="F2"/>
              </w:rPr>
              <w:t>:</w:t>
            </w:r>
          </w:p>
        </w:tc>
        <w:tc>
          <w:tcPr>
            <w:tcW w:w="4709" w:type="dxa"/>
            <w:vAlign w:val="center"/>
          </w:tcPr>
          <w:p w14:paraId="6A4D1ED6" w14:textId="123CBB71" w:rsidR="00DF29B5" w:rsidRPr="00B7005F" w:rsidRDefault="00295307" w:rsidP="00E64E5E">
            <w:pPr>
              <w:spacing w:before="60" w:after="60"/>
              <w:rPr>
                <w:rFonts w:asciiTheme="majorHAnsi" w:hAnsiTheme="majorHAnsi" w:cstheme="majorHAnsi"/>
                <w:color w:val="0D0D0D" w:themeColor="text1" w:themeTint="F2"/>
              </w:rPr>
            </w:pPr>
            <w:r w:rsidRPr="00295307">
              <w:rPr>
                <w:rFonts w:asciiTheme="majorHAnsi" w:hAnsiTheme="majorHAnsi" w:cstheme="majorHAnsi"/>
                <w:color w:val="0D0D0D" w:themeColor="text1" w:themeTint="F2"/>
              </w:rPr>
              <w:t>Ing. Jana Šuráňová</w:t>
            </w:r>
            <w:r>
              <w:rPr>
                <w:rFonts w:asciiTheme="majorHAnsi" w:hAnsiTheme="majorHAnsi" w:cstheme="majorHAnsi"/>
                <w:color w:val="0D0D0D" w:themeColor="text1" w:themeTint="F2"/>
              </w:rPr>
              <w:t>, ředitelka</w:t>
            </w:r>
          </w:p>
        </w:tc>
      </w:tr>
      <w:tr w:rsidR="00EB6D43" w:rsidRPr="00B7005F" w14:paraId="08126824" w14:textId="77777777" w:rsidTr="00097DD2">
        <w:tc>
          <w:tcPr>
            <w:tcW w:w="4395" w:type="dxa"/>
            <w:shd w:val="clear" w:color="auto" w:fill="FFF2CC" w:themeFill="accent4" w:themeFillTint="33"/>
            <w:vAlign w:val="center"/>
          </w:tcPr>
          <w:p w14:paraId="70648C21"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Statutární zástupce:</w:t>
            </w:r>
          </w:p>
        </w:tc>
        <w:tc>
          <w:tcPr>
            <w:tcW w:w="4709" w:type="dxa"/>
            <w:vAlign w:val="center"/>
          </w:tcPr>
          <w:p w14:paraId="5C60C92B" w14:textId="0C34A1F8" w:rsidR="00DF29B5" w:rsidRPr="00B7005F" w:rsidRDefault="00C92845" w:rsidP="00E64E5E">
            <w:pPr>
              <w:spacing w:before="60" w:after="60"/>
              <w:rPr>
                <w:rFonts w:asciiTheme="majorHAnsi" w:hAnsiTheme="majorHAnsi" w:cstheme="majorHAnsi"/>
                <w:color w:val="0D0D0D" w:themeColor="text1" w:themeTint="F2"/>
              </w:rPr>
            </w:pPr>
            <w:r>
              <w:rPr>
                <w:rFonts w:asciiTheme="majorHAnsi" w:hAnsiTheme="majorHAnsi" w:cstheme="majorHAnsi"/>
                <w:color w:val="0D0D0D" w:themeColor="text1" w:themeTint="F2"/>
              </w:rPr>
              <w:t>Ing. Jana Šuráňová, ředitelka</w:t>
            </w:r>
          </w:p>
        </w:tc>
      </w:tr>
      <w:tr w:rsidR="00EB6D43" w:rsidRPr="00B7005F" w14:paraId="4DD5B0AE" w14:textId="77777777" w:rsidTr="00097DD2">
        <w:tc>
          <w:tcPr>
            <w:tcW w:w="4395" w:type="dxa"/>
            <w:shd w:val="clear" w:color="auto" w:fill="FFF2CC" w:themeFill="accent4" w:themeFillTint="33"/>
            <w:vAlign w:val="center"/>
          </w:tcPr>
          <w:p w14:paraId="4531E7AC"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Bankovní spojení:</w:t>
            </w:r>
          </w:p>
        </w:tc>
        <w:tc>
          <w:tcPr>
            <w:tcW w:w="4709" w:type="dxa"/>
            <w:vAlign w:val="center"/>
          </w:tcPr>
          <w:p w14:paraId="1DF151A4" w14:textId="2E6F447F" w:rsidR="00DF29B5" w:rsidRPr="00B7005F" w:rsidRDefault="00C92845" w:rsidP="00E64E5E">
            <w:pPr>
              <w:spacing w:before="60" w:after="60"/>
              <w:rPr>
                <w:rFonts w:asciiTheme="majorHAnsi" w:hAnsiTheme="majorHAnsi" w:cstheme="majorHAnsi"/>
                <w:color w:val="0D0D0D" w:themeColor="text1" w:themeTint="F2"/>
              </w:rPr>
            </w:pPr>
            <w:r>
              <w:rPr>
                <w:rFonts w:asciiTheme="majorHAnsi" w:hAnsiTheme="majorHAnsi" w:cstheme="majorHAnsi"/>
                <w:color w:val="0D0D0D" w:themeColor="text1" w:themeTint="F2"/>
              </w:rPr>
              <w:t>18334661/0100</w:t>
            </w:r>
          </w:p>
        </w:tc>
      </w:tr>
      <w:tr w:rsidR="00EB6D43" w:rsidRPr="00B7005F" w14:paraId="4B2496C0" w14:textId="77777777" w:rsidTr="00097DD2">
        <w:tc>
          <w:tcPr>
            <w:tcW w:w="4395" w:type="dxa"/>
            <w:shd w:val="clear" w:color="auto" w:fill="FFF2CC" w:themeFill="accent4" w:themeFillTint="33"/>
            <w:vAlign w:val="center"/>
          </w:tcPr>
          <w:p w14:paraId="19E7F495"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IČ:</w:t>
            </w:r>
          </w:p>
        </w:tc>
        <w:tc>
          <w:tcPr>
            <w:tcW w:w="4709" w:type="dxa"/>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61715999</w:t>
            </w:r>
          </w:p>
        </w:tc>
      </w:tr>
      <w:tr w:rsidR="00EB6D43" w:rsidRPr="00B7005F" w14:paraId="66E3A08D" w14:textId="77777777" w:rsidTr="00097DD2">
        <w:tc>
          <w:tcPr>
            <w:tcW w:w="4395" w:type="dxa"/>
            <w:shd w:val="clear" w:color="auto" w:fill="FFF2CC" w:themeFill="accent4" w:themeFillTint="33"/>
            <w:vAlign w:val="center"/>
          </w:tcPr>
          <w:p w14:paraId="55B81499"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DIČ:</w:t>
            </w:r>
          </w:p>
        </w:tc>
        <w:tc>
          <w:tcPr>
            <w:tcW w:w="4709" w:type="dxa"/>
            <w:vAlign w:val="center"/>
          </w:tcPr>
          <w:p w14:paraId="11FB0B0D" w14:textId="4EFCEB2C"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CZ61715999</w:t>
            </w:r>
          </w:p>
        </w:tc>
      </w:tr>
      <w:tr w:rsidR="00EB6D43" w:rsidRPr="00B7005F" w14:paraId="24918975" w14:textId="77777777" w:rsidTr="00097DD2">
        <w:tc>
          <w:tcPr>
            <w:tcW w:w="4395" w:type="dxa"/>
            <w:shd w:val="clear" w:color="auto" w:fill="FFF2CC" w:themeFill="accent4" w:themeFillTint="33"/>
            <w:vAlign w:val="center"/>
          </w:tcPr>
          <w:p w14:paraId="45932F38"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Kontaktní osoba:</w:t>
            </w:r>
          </w:p>
        </w:tc>
        <w:tc>
          <w:tcPr>
            <w:tcW w:w="4709" w:type="dxa"/>
            <w:vAlign w:val="center"/>
          </w:tcPr>
          <w:p w14:paraId="7B7AC8C4" w14:textId="74981A72" w:rsidR="003E393F" w:rsidRPr="00B7005F"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Zuzana Svitáková </w:t>
            </w:r>
          </w:p>
          <w:p w14:paraId="723CE106" w14:textId="16DE21B9" w:rsidR="00DF29B5" w:rsidRPr="00B7005F" w:rsidRDefault="00097DD2" w:rsidP="00C92845">
            <w:pPr>
              <w:spacing w:before="60" w:after="60"/>
              <w:rPr>
                <w:rFonts w:asciiTheme="majorHAnsi" w:hAnsiTheme="majorHAnsi" w:cstheme="majorHAnsi"/>
                <w:color w:val="0D0D0D" w:themeColor="text1" w:themeTint="F2"/>
              </w:rPr>
            </w:pPr>
            <w:r w:rsidRPr="00097DD2">
              <w:rPr>
                <w:rFonts w:asciiTheme="majorHAnsi" w:hAnsiTheme="majorHAnsi" w:cstheme="majorHAnsi"/>
                <w:color w:val="0D0D0D" w:themeColor="text1" w:themeTint="F2"/>
              </w:rPr>
              <w:t>svitakovaz@sosluhac.cz</w:t>
            </w:r>
            <w:r w:rsidR="003E393F" w:rsidRPr="00B7005F">
              <w:rPr>
                <w:rFonts w:asciiTheme="majorHAnsi" w:hAnsiTheme="majorHAnsi" w:cstheme="majorHAnsi"/>
                <w:color w:val="0D0D0D" w:themeColor="text1" w:themeTint="F2"/>
              </w:rPr>
              <w:t>, +420</w:t>
            </w:r>
            <w:r w:rsidR="00C92845">
              <w:rPr>
                <w:rFonts w:asciiTheme="majorHAnsi" w:hAnsiTheme="majorHAnsi" w:cstheme="majorHAnsi"/>
                <w:color w:val="0D0D0D" w:themeColor="text1" w:themeTint="F2"/>
              </w:rPr>
              <w:t> 773 373 543</w:t>
            </w:r>
          </w:p>
        </w:tc>
      </w:tr>
      <w:tr w:rsidR="00D02576" w:rsidRPr="00B7005F" w14:paraId="0F920040" w14:textId="77777777" w:rsidTr="00097DD2">
        <w:tc>
          <w:tcPr>
            <w:tcW w:w="4395" w:type="dxa"/>
            <w:shd w:val="clear" w:color="auto" w:fill="FFF2CC" w:themeFill="accent4" w:themeFillTint="33"/>
            <w:vAlign w:val="center"/>
          </w:tcPr>
          <w:p w14:paraId="7E532517" w14:textId="77777777" w:rsidR="00DF29B5" w:rsidRPr="00097DD2" w:rsidRDefault="00DF29B5" w:rsidP="00E64E5E">
            <w:pPr>
              <w:spacing w:before="60" w:after="60"/>
              <w:rPr>
                <w:rFonts w:asciiTheme="majorHAnsi" w:hAnsiTheme="majorHAnsi" w:cstheme="majorHAnsi"/>
                <w:b/>
                <w:color w:val="0D0D0D" w:themeColor="text1" w:themeTint="F2"/>
              </w:rPr>
            </w:pPr>
            <w:r w:rsidRPr="00097DD2">
              <w:rPr>
                <w:rFonts w:asciiTheme="majorHAnsi" w:hAnsiTheme="majorHAnsi" w:cstheme="majorHAnsi"/>
                <w:b/>
                <w:color w:val="0D0D0D" w:themeColor="text1" w:themeTint="F2"/>
              </w:rPr>
              <w:t>Elektronická adresa pro fakturaci:</w:t>
            </w:r>
          </w:p>
        </w:tc>
        <w:tc>
          <w:tcPr>
            <w:tcW w:w="4709" w:type="dxa"/>
            <w:vAlign w:val="center"/>
          </w:tcPr>
          <w:p w14:paraId="56C2F085" w14:textId="1A984841" w:rsidR="00DF29B5" w:rsidRPr="00B7005F" w:rsidRDefault="00C92845" w:rsidP="00E64E5E">
            <w:pPr>
              <w:spacing w:before="60" w:after="60"/>
              <w:rPr>
                <w:rFonts w:asciiTheme="majorHAnsi" w:hAnsiTheme="majorHAnsi" w:cstheme="majorHAnsi"/>
                <w:color w:val="0D0D0D" w:themeColor="text1" w:themeTint="F2"/>
              </w:rPr>
            </w:pPr>
            <w:r>
              <w:rPr>
                <w:rFonts w:asciiTheme="majorHAnsi" w:hAnsiTheme="majorHAnsi" w:cstheme="majorHAnsi"/>
                <w:color w:val="0D0D0D" w:themeColor="text1" w:themeTint="F2"/>
              </w:rPr>
              <w:t>svitakovaz@sosluhac.cz</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 Pasekám 3679, 760 01 Zlín, </w:t>
            </w:r>
            <w:proofErr w:type="gramStart"/>
            <w:r w:rsidRPr="00B7005F">
              <w:rPr>
                <w:rFonts w:asciiTheme="majorHAnsi" w:hAnsiTheme="majorHAnsi" w:cstheme="majorHAnsi"/>
                <w:color w:val="0D0D0D" w:themeColor="text1" w:themeTint="F2"/>
              </w:rPr>
              <w:t>P.O.</w:t>
            </w:r>
            <w:proofErr w:type="gramEnd"/>
            <w:r w:rsidRPr="00B7005F">
              <w:rPr>
                <w:rFonts w:asciiTheme="majorHAnsi" w:hAnsiTheme="majorHAnsi" w:cstheme="majorHAnsi"/>
                <w:color w:val="0D0D0D" w:themeColor="text1" w:themeTint="F2"/>
              </w:rPr>
              <w:t>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77777777" w:rsidR="001E572F"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Komerční banka Zlín a.s.</w:t>
            </w:r>
          </w:p>
          <w:p w14:paraId="0D7CD40B" w14:textId="77777777"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číslo účtu: 61545661 / 0100</w:t>
            </w:r>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1BE680A8" w14:textId="77777777" w:rsidR="00AC60F6" w:rsidRPr="00B7005F" w:rsidRDefault="002E43A8" w:rsidP="00C117C5">
            <w:pPr>
              <w:spacing w:before="60" w:after="60"/>
              <w:rPr>
                <w:rFonts w:asciiTheme="majorHAnsi" w:hAnsiTheme="majorHAnsi" w:cstheme="majorHAnsi"/>
                <w:color w:val="0D0D0D" w:themeColor="text1" w:themeTint="F2"/>
              </w:rPr>
            </w:pPr>
            <w:proofErr w:type="spellStart"/>
            <w:r w:rsidRPr="00B7005F">
              <w:rPr>
                <w:rFonts w:asciiTheme="majorHAnsi" w:hAnsiTheme="majorHAnsi" w:cstheme="majorHAnsi"/>
                <w:color w:val="0D0D0D" w:themeColor="text1" w:themeTint="F2"/>
              </w:rPr>
              <w:t>hotline</w:t>
            </w:r>
            <w:proofErr w:type="spellEnd"/>
            <w:r w:rsidR="00AC60F6" w:rsidRPr="00B7005F">
              <w:rPr>
                <w:rFonts w:asciiTheme="majorHAnsi" w:hAnsiTheme="majorHAnsi" w:cstheme="majorHAnsi"/>
                <w:color w:val="0D0D0D" w:themeColor="text1" w:themeTint="F2"/>
              </w:rPr>
              <w:t>.: 577</w:t>
            </w:r>
            <w:r w:rsidR="006418B7" w:rsidRPr="00B7005F">
              <w:rPr>
                <w:rFonts w:asciiTheme="majorHAnsi" w:hAnsiTheme="majorHAnsi" w:cstheme="majorHAnsi"/>
                <w:color w:val="0D0D0D" w:themeColor="text1" w:themeTint="F2"/>
              </w:rPr>
              <w:t> </w:t>
            </w:r>
            <w:r w:rsidR="00AC60F6" w:rsidRPr="00B7005F">
              <w:rPr>
                <w:rFonts w:asciiTheme="majorHAnsi" w:hAnsiTheme="majorHAnsi" w:cstheme="majorHAnsi"/>
                <w:color w:val="0D0D0D" w:themeColor="text1" w:themeTint="F2"/>
              </w:rPr>
              <w:t>212</w:t>
            </w:r>
            <w:r w:rsidR="006418B7" w:rsidRPr="00B7005F">
              <w:rPr>
                <w:rFonts w:asciiTheme="majorHAnsi" w:hAnsiTheme="majorHAnsi" w:cstheme="majorHAnsi"/>
                <w:color w:val="0D0D0D" w:themeColor="text1" w:themeTint="F2"/>
              </w:rPr>
              <w:t xml:space="preserve"> </w:t>
            </w:r>
            <w:r w:rsidR="00AC60F6" w:rsidRPr="00B7005F">
              <w:rPr>
                <w:rFonts w:asciiTheme="majorHAnsi" w:hAnsiTheme="majorHAnsi" w:cstheme="majorHAnsi"/>
                <w:color w:val="0D0D0D" w:themeColor="text1" w:themeTint="F2"/>
              </w:rPr>
              <w:t>500</w:t>
            </w:r>
          </w:p>
          <w:p w14:paraId="74E27E40" w14:textId="77777777" w:rsidR="00AC60F6" w:rsidRPr="00B7005F" w:rsidRDefault="002E43A8" w:rsidP="00C117C5">
            <w:pPr>
              <w:spacing w:before="60" w:after="60"/>
              <w:rPr>
                <w:rFonts w:asciiTheme="majorHAnsi" w:hAnsiTheme="majorHAnsi" w:cstheme="majorHAnsi"/>
                <w:color w:val="0D0D0D" w:themeColor="text1" w:themeTint="F2"/>
              </w:rPr>
            </w:pPr>
            <w:proofErr w:type="spellStart"/>
            <w:r w:rsidRPr="00B7005F">
              <w:rPr>
                <w:rFonts w:asciiTheme="majorHAnsi" w:hAnsiTheme="majorHAnsi" w:cstheme="majorHAnsi"/>
                <w:color w:val="0D0D0D" w:themeColor="text1" w:themeTint="F2"/>
              </w:rPr>
              <w:t>helpdesk</w:t>
            </w:r>
            <w:proofErr w:type="spellEnd"/>
            <w:r w:rsidR="00AC60F6" w:rsidRPr="00B7005F">
              <w:rPr>
                <w:rFonts w:asciiTheme="majorHAnsi" w:hAnsiTheme="majorHAnsi" w:cstheme="majorHAnsi"/>
                <w:color w:val="0D0D0D" w:themeColor="text1" w:themeTint="F2"/>
              </w:rPr>
              <w:t xml:space="preserve">: </w:t>
            </w:r>
            <w:hyperlink r:id="rId8" w:history="1">
              <w:r w:rsidRPr="00B7005F">
                <w:rPr>
                  <w:rStyle w:val="Hypertextovodkaz"/>
                  <w:rFonts w:asciiTheme="majorHAnsi" w:hAnsiTheme="majorHAnsi" w:cstheme="majorHAnsi"/>
                  <w:color w:val="0D0D0D" w:themeColor="text1" w:themeTint="F2"/>
                </w:rPr>
                <w:t>perm@kvasar.cz</w:t>
              </w:r>
            </w:hyperlink>
          </w:p>
          <w:p w14:paraId="3012598F" w14:textId="77777777" w:rsidR="002E43A8"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smlouva/fakturace: 577</w:t>
            </w:r>
            <w:r w:rsidR="006418B7" w:rsidRPr="00B7005F">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213</w:t>
            </w:r>
            <w:r w:rsidR="006418B7"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339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2" w:name="_Toc177031198"/>
      <w:r w:rsidR="000A64AC" w:rsidRPr="00B7005F">
        <w:rPr>
          <w:b w:val="0"/>
          <w:bCs w:val="0"/>
          <w:color w:val="0D0D0D" w:themeColor="text1" w:themeTint="F2"/>
        </w:rPr>
        <w:lastRenderedPageBreak/>
        <w:t>PŘEDMĚT SMLOUVY</w:t>
      </w:r>
      <w:bookmarkEnd w:id="2"/>
    </w:p>
    <w:p w14:paraId="5B5A2542" w14:textId="6FE7D405" w:rsidR="00894B44" w:rsidRPr="00B7005F" w:rsidRDefault="0084225B" w:rsidP="00431550">
      <w:pPr>
        <w:pStyle w:val="Nadpis2"/>
        <w:rPr>
          <w:b w:val="0"/>
          <w:bCs w:val="0"/>
          <w:color w:val="0D0D0D" w:themeColor="text1" w:themeTint="F2"/>
        </w:rPr>
      </w:pPr>
      <w:bookmarkStart w:id="3" w:name="_Toc177031199"/>
      <w:r w:rsidRPr="00B7005F">
        <w:rPr>
          <w:b w:val="0"/>
          <w:bCs w:val="0"/>
          <w:color w:val="0D0D0D" w:themeColor="text1" w:themeTint="F2"/>
        </w:rPr>
        <w:t>DODÁVKA MZDOVÉHO A PERSONÁLNÍHO SYSTÉMU PERM 3</w:t>
      </w:r>
      <w:bookmarkEnd w:id="3"/>
    </w:p>
    <w:p w14:paraId="08744741" w14:textId="2078F4F5"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2F4140">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647CD24A" w:rsidR="006C1C6F" w:rsidRPr="00B7005F" w:rsidRDefault="006C1C6F" w:rsidP="00894B44">
      <w:pPr>
        <w:pStyle w:val="Odstavecseseznamem"/>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Základní modul Systému </w:t>
      </w:r>
      <w:r w:rsidR="00CE6841" w:rsidRPr="00B7005F">
        <w:rPr>
          <w:rFonts w:asciiTheme="majorHAnsi" w:hAnsiTheme="majorHAnsi" w:cstheme="majorHAnsi"/>
          <w:color w:val="0D0D0D" w:themeColor="text1" w:themeTint="F2"/>
        </w:rPr>
        <w:t>pro</w:t>
      </w:r>
      <w:r w:rsidR="008D27E2">
        <w:rPr>
          <w:rFonts w:asciiTheme="majorHAnsi" w:hAnsiTheme="majorHAnsi" w:cstheme="majorHAnsi"/>
          <w:color w:val="0D0D0D" w:themeColor="text1" w:themeTint="F2"/>
        </w:rPr>
        <w:t xml:space="preserve"> evidenci pracovněprávních vztahů v rámci organizace Odběratele a</w:t>
      </w:r>
      <w:r w:rsidR="00CE6841" w:rsidRPr="00B7005F">
        <w:rPr>
          <w:rFonts w:asciiTheme="majorHAnsi" w:hAnsiTheme="majorHAnsi" w:cstheme="majorHAnsi"/>
          <w:color w:val="0D0D0D" w:themeColor="text1" w:themeTint="F2"/>
        </w:rPr>
        <w:t xml:space="preserve"> výpočet mezd</w:t>
      </w:r>
      <w:r w:rsidRPr="00B7005F">
        <w:rPr>
          <w:rFonts w:asciiTheme="majorHAnsi" w:hAnsiTheme="majorHAnsi" w:cstheme="majorHAnsi"/>
          <w:color w:val="0D0D0D" w:themeColor="text1" w:themeTint="F2"/>
        </w:rPr>
        <w:t xml:space="preserve"> u pracovních poměrů definovaných platnou legislativou České republiky v souladu s touto legislativou</w:t>
      </w:r>
      <w:r w:rsidR="008D27E2">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zpra</w:t>
      </w:r>
      <w:r w:rsidR="00CE6841" w:rsidRPr="00B7005F">
        <w:rPr>
          <w:rFonts w:asciiTheme="majorHAnsi" w:hAnsiTheme="majorHAnsi" w:cstheme="majorHAnsi"/>
          <w:color w:val="0D0D0D" w:themeColor="text1" w:themeTint="F2"/>
        </w:rPr>
        <w:t xml:space="preserve">cování </w:t>
      </w:r>
      <w:r w:rsidRPr="00B7005F">
        <w:rPr>
          <w:rFonts w:asciiTheme="majorHAnsi" w:hAnsiTheme="majorHAnsi" w:cstheme="majorHAnsi"/>
          <w:color w:val="0D0D0D" w:themeColor="text1" w:themeTint="F2"/>
        </w:rPr>
        <w:t>s tímto souvisejících výstupů pro Odběratele, zdravotní pojišťovny a další orgány státní správy České republiky.</w:t>
      </w:r>
    </w:p>
    <w:p w14:paraId="283ED14B" w14:textId="77777777" w:rsidR="00894B44" w:rsidRPr="00B7005F" w:rsidRDefault="006C1C6F" w:rsidP="002F4140">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P</w:t>
      </w:r>
      <w:r w:rsidR="00CE6841" w:rsidRPr="00B7005F">
        <w:rPr>
          <w:rFonts w:asciiTheme="majorHAnsi" w:hAnsiTheme="majorHAnsi" w:cstheme="majorHAnsi"/>
          <w:b/>
          <w:bCs/>
          <w:color w:val="0D0D0D" w:themeColor="text1" w:themeTint="F2"/>
        </w:rPr>
        <w:t>erson</w:t>
      </w:r>
      <w:r w:rsidR="00894B44" w:rsidRPr="00B7005F">
        <w:rPr>
          <w:rFonts w:asciiTheme="majorHAnsi" w:hAnsiTheme="majorHAnsi" w:cstheme="majorHAnsi"/>
          <w:b/>
          <w:bCs/>
          <w:color w:val="0D0D0D" w:themeColor="text1" w:themeTint="F2"/>
        </w:rPr>
        <w:t>á</w:t>
      </w:r>
      <w:r w:rsidR="00CE6841" w:rsidRPr="00B7005F">
        <w:rPr>
          <w:rFonts w:asciiTheme="majorHAnsi" w:hAnsiTheme="majorHAnsi" w:cstheme="majorHAnsi"/>
          <w:b/>
          <w:bCs/>
          <w:color w:val="0D0D0D" w:themeColor="text1" w:themeTint="F2"/>
        </w:rPr>
        <w:t>l</w:t>
      </w:r>
      <w:r w:rsidRPr="00B7005F">
        <w:rPr>
          <w:rFonts w:asciiTheme="majorHAnsi" w:hAnsiTheme="majorHAnsi" w:cstheme="majorHAnsi"/>
          <w:b/>
          <w:bCs/>
          <w:color w:val="0D0D0D" w:themeColor="text1" w:themeTint="F2"/>
        </w:rPr>
        <w:t>ní modul</w:t>
      </w:r>
    </w:p>
    <w:p w14:paraId="1FBF7638" w14:textId="5CB436AB" w:rsidR="008D27E2" w:rsidRPr="008D27E2" w:rsidRDefault="00CE6841" w:rsidP="00894B44">
      <w:pPr>
        <w:pStyle w:val="Odstavecseseznamem"/>
        <w:spacing w:before="120"/>
        <w:contextualSpacing w:val="0"/>
        <w:rPr>
          <w:rFonts w:asciiTheme="majorHAnsi" w:hAnsiTheme="majorHAnsi" w:cstheme="majorHAnsi"/>
          <w:color w:val="0D0D0D" w:themeColor="text1" w:themeTint="F2"/>
        </w:rPr>
      </w:pPr>
      <w:r w:rsidRPr="008D27E2">
        <w:rPr>
          <w:rFonts w:asciiTheme="majorHAnsi" w:hAnsiTheme="majorHAnsi" w:cstheme="majorHAnsi"/>
          <w:color w:val="0D0D0D" w:themeColor="text1" w:themeTint="F2"/>
        </w:rPr>
        <w:t>Modul pro vedení personální</w:t>
      </w:r>
      <w:r w:rsidR="006C1C6F" w:rsidRPr="008D27E2">
        <w:rPr>
          <w:rFonts w:asciiTheme="majorHAnsi" w:hAnsiTheme="majorHAnsi" w:cstheme="majorHAnsi"/>
          <w:color w:val="0D0D0D" w:themeColor="text1" w:themeTint="F2"/>
        </w:rPr>
        <w:t xml:space="preserve">ch agend </w:t>
      </w:r>
      <w:r w:rsidRPr="008D27E2">
        <w:rPr>
          <w:rFonts w:asciiTheme="majorHAnsi" w:hAnsiTheme="majorHAnsi" w:cstheme="majorHAnsi"/>
          <w:color w:val="0D0D0D" w:themeColor="text1" w:themeTint="F2"/>
        </w:rPr>
        <w:t xml:space="preserve">zaměstnanců </w:t>
      </w:r>
      <w:r w:rsidR="008D27E2" w:rsidRPr="008D27E2">
        <w:rPr>
          <w:rFonts w:asciiTheme="majorHAnsi" w:hAnsiTheme="majorHAnsi" w:cstheme="majorHAnsi"/>
          <w:color w:val="0D0D0D" w:themeColor="text1" w:themeTint="F2"/>
        </w:rPr>
        <w:t xml:space="preserve">zahrnující </w:t>
      </w:r>
      <w:r w:rsidRPr="008D27E2">
        <w:rPr>
          <w:rFonts w:asciiTheme="majorHAnsi" w:hAnsiTheme="majorHAnsi" w:cstheme="majorHAnsi"/>
          <w:color w:val="0D0D0D" w:themeColor="text1" w:themeTint="F2"/>
        </w:rPr>
        <w:t>školení</w:t>
      </w:r>
      <w:r w:rsidR="008D27E2" w:rsidRPr="008D27E2">
        <w:rPr>
          <w:rFonts w:asciiTheme="majorHAnsi" w:hAnsiTheme="majorHAnsi" w:cstheme="majorHAnsi"/>
          <w:color w:val="0D0D0D" w:themeColor="text1" w:themeTint="F2"/>
        </w:rPr>
        <w:t>, dovednosti, lékařské prohlídky, svěřené věci, ochranné prostředky</w:t>
      </w:r>
      <w:r w:rsidR="005A5444">
        <w:rPr>
          <w:rFonts w:asciiTheme="majorHAnsi" w:hAnsiTheme="majorHAnsi" w:cstheme="majorHAnsi"/>
          <w:color w:val="0D0D0D" w:themeColor="text1" w:themeTint="F2"/>
        </w:rPr>
        <w:t>, smlouvy</w:t>
      </w:r>
      <w:r w:rsidR="008D27E2" w:rsidRPr="008D27E2">
        <w:rPr>
          <w:rFonts w:asciiTheme="majorHAnsi" w:hAnsiTheme="majorHAnsi" w:cstheme="majorHAnsi"/>
          <w:color w:val="0D0D0D" w:themeColor="text1" w:themeTint="F2"/>
        </w:rPr>
        <w:t xml:space="preserve"> a benefity.</w:t>
      </w:r>
    </w:p>
    <w:p w14:paraId="4BB69FC3" w14:textId="2A2DC9CD"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 tuto dodávku Odběratel uhradí cenu implementace dle bodu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7D372A9F" w14:textId="423ABA27" w:rsidR="00431550" w:rsidRPr="00B7005F" w:rsidRDefault="0084225B" w:rsidP="00431550">
      <w:pPr>
        <w:pStyle w:val="Nadpis2"/>
        <w:rPr>
          <w:b w:val="0"/>
          <w:bCs w:val="0"/>
          <w:color w:val="0D0D0D" w:themeColor="text1" w:themeTint="F2"/>
        </w:rPr>
      </w:pPr>
      <w:bookmarkStart w:id="4" w:name="_Toc177031200"/>
      <w:r w:rsidRPr="00B7005F">
        <w:rPr>
          <w:b w:val="0"/>
          <w:bCs w:val="0"/>
          <w:color w:val="0D0D0D" w:themeColor="text1" w:themeTint="F2"/>
        </w:rPr>
        <w:t>LICENČNÍ UJEDNÁNÍ</w:t>
      </w:r>
      <w:bookmarkEnd w:id="4"/>
    </w:p>
    <w:p w14:paraId="4CFA7023" w14:textId="718FCBA4" w:rsidR="00431550" w:rsidRPr="00B7005F" w:rsidRDefault="0084225B" w:rsidP="00165C14">
      <w:pPr>
        <w:pStyle w:val="Nadpis3"/>
        <w:rPr>
          <w:rFonts w:asciiTheme="majorHAnsi" w:hAnsiTheme="majorHAnsi" w:cstheme="majorHAnsi"/>
          <w:color w:val="0D0D0D" w:themeColor="text1" w:themeTint="F2"/>
        </w:rPr>
      </w:pPr>
      <w:bookmarkStart w:id="5" w:name="_Toc177031201"/>
      <w:r w:rsidRPr="00B7005F">
        <w:rPr>
          <w:rFonts w:asciiTheme="majorHAnsi" w:hAnsiTheme="majorHAnsi" w:cstheme="majorHAnsi"/>
          <w:color w:val="0D0D0D" w:themeColor="text1" w:themeTint="F2"/>
        </w:rPr>
        <w:t>POSKYTNUTÍ LICENCE</w:t>
      </w:r>
      <w:bookmarkEnd w:id="5"/>
    </w:p>
    <w:p w14:paraId="5546C444" w14:textId="68B7F728" w:rsidR="00020277" w:rsidRPr="00B7005F" w:rsidRDefault="00431550" w:rsidP="0021054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w:t>
      </w:r>
      <w:proofErr w:type="gramStart"/>
      <w:r w:rsidR="006E34B6">
        <w:rPr>
          <w:rFonts w:asciiTheme="majorHAnsi" w:hAnsiTheme="majorHAnsi" w:cstheme="majorHAnsi"/>
          <w:color w:val="0D0D0D" w:themeColor="text1" w:themeTint="F2"/>
        </w:rPr>
        <w:t>této</w:t>
      </w:r>
      <w:proofErr w:type="gramEnd"/>
      <w:r w:rsidR="006E34B6">
        <w:rPr>
          <w:rFonts w:asciiTheme="majorHAnsi" w:hAnsiTheme="majorHAnsi" w:cstheme="majorHAnsi"/>
          <w:color w:val="0D0D0D" w:themeColor="text1" w:themeTint="F2"/>
        </w:rPr>
        <w:t xml:space="preserve"> smlouvy</w:t>
      </w:r>
      <w:r w:rsidRPr="00B7005F">
        <w:rPr>
          <w:rFonts w:asciiTheme="majorHAnsi" w:hAnsiTheme="majorHAnsi" w:cstheme="majorHAnsi"/>
          <w:color w:val="0D0D0D" w:themeColor="text1" w:themeTint="F2"/>
        </w:rPr>
        <w:t xml:space="preserve">. Licence opravňuje </w:t>
      </w:r>
      <w:r w:rsidR="00097DD2">
        <w:rPr>
          <w:rFonts w:asciiTheme="majorHAnsi" w:hAnsiTheme="majorHAnsi" w:cstheme="majorHAnsi"/>
          <w:color w:val="0D0D0D" w:themeColor="text1" w:themeTint="F2"/>
        </w:rPr>
        <w:t>1</w:t>
      </w:r>
      <w:r w:rsidR="00097DD2" w:rsidRPr="00B7005F">
        <w:rPr>
          <w:rFonts w:asciiTheme="majorHAnsi" w:hAnsiTheme="majorHAnsi" w:cstheme="majorHAnsi"/>
          <w:color w:val="0D0D0D" w:themeColor="text1" w:themeTint="F2"/>
        </w:rPr>
        <w:t xml:space="preserve"> uživatel</w:t>
      </w:r>
      <w:r w:rsidR="00097DD2">
        <w:rPr>
          <w:rFonts w:asciiTheme="majorHAnsi" w:hAnsiTheme="majorHAnsi" w:cstheme="majorHAnsi"/>
          <w:color w:val="0D0D0D" w:themeColor="text1" w:themeTint="F2"/>
        </w:rPr>
        <w:t>e</w:t>
      </w:r>
      <w:r w:rsidR="00097DD2" w:rsidRPr="00B7005F">
        <w:rPr>
          <w:rFonts w:asciiTheme="majorHAnsi" w:hAnsiTheme="majorHAnsi" w:cstheme="majorHAnsi"/>
          <w:color w:val="0D0D0D" w:themeColor="text1" w:themeTint="F2"/>
        </w:rPr>
        <w:t xml:space="preserv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 </w:t>
      </w:r>
      <w:r w:rsidR="00775097" w:rsidRPr="00B7005F">
        <w:rPr>
          <w:rFonts w:asciiTheme="majorHAnsi" w:hAnsiTheme="majorHAnsi" w:cstheme="majorHAnsi"/>
          <w:color w:val="0D0D0D" w:themeColor="text1" w:themeTint="F2"/>
        </w:rPr>
        <w:t>pro</w:t>
      </w:r>
      <w:r w:rsidRPr="00B7005F">
        <w:rPr>
          <w:rFonts w:asciiTheme="majorHAnsi" w:hAnsiTheme="majorHAnsi" w:cstheme="majorHAnsi"/>
          <w:color w:val="0D0D0D" w:themeColor="text1" w:themeTint="F2"/>
        </w:rPr>
        <w:t xml:space="preserve"> </w:t>
      </w:r>
      <w:r w:rsidR="00775097" w:rsidRPr="00B7005F">
        <w:rPr>
          <w:rFonts w:asciiTheme="majorHAnsi" w:hAnsiTheme="majorHAnsi" w:cstheme="majorHAnsi"/>
          <w:color w:val="0D0D0D" w:themeColor="text1" w:themeTint="F2"/>
        </w:rPr>
        <w:t xml:space="preserve">zpracování mzdové uzávěrky pro </w:t>
      </w:r>
      <w:r w:rsidR="00097DD2">
        <w:rPr>
          <w:rFonts w:asciiTheme="majorHAnsi" w:hAnsiTheme="majorHAnsi" w:cstheme="majorHAnsi"/>
          <w:color w:val="0D0D0D" w:themeColor="text1" w:themeTint="F2"/>
        </w:rPr>
        <w:t>250</w:t>
      </w:r>
      <w:r w:rsidR="00775097" w:rsidRPr="00B7005F">
        <w:rPr>
          <w:rFonts w:asciiTheme="majorHAnsi" w:hAnsiTheme="majorHAnsi" w:cstheme="majorHAnsi"/>
          <w:color w:val="0D0D0D" w:themeColor="text1" w:themeTint="F2"/>
        </w:rPr>
        <w:t xml:space="preserve"> osobních čísel Odběratele, v </w:t>
      </w:r>
      <w:r w:rsidR="00097DD2">
        <w:rPr>
          <w:rFonts w:asciiTheme="majorHAnsi" w:hAnsiTheme="majorHAnsi" w:cstheme="majorHAnsi"/>
          <w:color w:val="0D0D0D" w:themeColor="text1" w:themeTint="F2"/>
        </w:rPr>
        <w:t>1</w:t>
      </w:r>
      <w:r w:rsidR="00775097" w:rsidRPr="00B7005F">
        <w:rPr>
          <w:rFonts w:asciiTheme="majorHAnsi" w:hAnsiTheme="majorHAnsi" w:cstheme="majorHAnsi"/>
          <w:color w:val="0D0D0D" w:themeColor="text1" w:themeTint="F2"/>
        </w:rPr>
        <w:t xml:space="preserve"> databázi</w:t>
      </w:r>
      <w:r w:rsidR="00020277" w:rsidRPr="00B7005F">
        <w:rPr>
          <w:rFonts w:asciiTheme="majorHAnsi" w:hAnsiTheme="majorHAnsi" w:cstheme="majorHAnsi"/>
          <w:color w:val="0D0D0D" w:themeColor="text1" w:themeTint="F2"/>
        </w:rPr>
        <w:t>.</w:t>
      </w:r>
    </w:p>
    <w:p w14:paraId="6EE4FA7A" w14:textId="4F7A81AB" w:rsidR="00020277" w:rsidRPr="00B7005F" w:rsidRDefault="0084225B" w:rsidP="00165C14">
      <w:pPr>
        <w:pStyle w:val="Nadpis3"/>
        <w:rPr>
          <w:rFonts w:asciiTheme="majorHAnsi" w:hAnsiTheme="majorHAnsi" w:cstheme="majorHAnsi"/>
          <w:color w:val="0D0D0D" w:themeColor="text1" w:themeTint="F2"/>
        </w:rPr>
      </w:pPr>
      <w:bookmarkStart w:id="6" w:name="_Toc177031202"/>
      <w:r w:rsidRPr="00B7005F">
        <w:rPr>
          <w:rFonts w:asciiTheme="majorHAnsi" w:hAnsiTheme="majorHAnsi" w:cstheme="majorHAnsi"/>
          <w:color w:val="0D0D0D" w:themeColor="text1" w:themeTint="F2"/>
        </w:rPr>
        <w:t>SPRÁVCE LICENCE</w:t>
      </w:r>
      <w:bookmarkEnd w:id="6"/>
    </w:p>
    <w:p w14:paraId="7CDF263B" w14:textId="49BF56DF" w:rsidR="00020277" w:rsidRPr="00B7005F" w:rsidRDefault="00020277" w:rsidP="006E34B6">
      <w:pPr>
        <w:spacing w:after="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odpovědná za dohled nad prováděním pravidelné aktualizace systému, 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2251"/>
        <w:gridCol w:w="2672"/>
        <w:gridCol w:w="1828"/>
        <w:gridCol w:w="2311"/>
      </w:tblGrid>
      <w:tr w:rsidR="00EB6D43" w:rsidRPr="00B7005F" w14:paraId="40E2FE05" w14:textId="77777777" w:rsidTr="002B21B0">
        <w:tc>
          <w:tcPr>
            <w:tcW w:w="2265"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692"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1839"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097DD2">
        <w:tc>
          <w:tcPr>
            <w:tcW w:w="2265" w:type="dxa"/>
            <w:shd w:val="clear" w:color="auto" w:fill="FFF2CC" w:themeFill="accent4" w:themeFillTint="33"/>
          </w:tcPr>
          <w:p w14:paraId="5F37EB91" w14:textId="777619EB" w:rsidR="00210546" w:rsidRPr="00B7005F" w:rsidRDefault="00C92845"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Zuzana Svitáková</w:t>
            </w:r>
          </w:p>
        </w:tc>
        <w:tc>
          <w:tcPr>
            <w:tcW w:w="2692" w:type="dxa"/>
            <w:shd w:val="clear" w:color="auto" w:fill="FFF2CC" w:themeFill="accent4" w:themeFillTint="33"/>
          </w:tcPr>
          <w:p w14:paraId="7F550D23" w14:textId="00A62D45" w:rsidR="00210546" w:rsidRPr="00B7005F" w:rsidRDefault="00C92845"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ekonom</w:t>
            </w:r>
          </w:p>
        </w:tc>
        <w:tc>
          <w:tcPr>
            <w:tcW w:w="1839" w:type="dxa"/>
            <w:shd w:val="clear" w:color="auto" w:fill="FFF2CC" w:themeFill="accent4" w:themeFillTint="33"/>
          </w:tcPr>
          <w:p w14:paraId="7CE5F464" w14:textId="7B400EF7" w:rsidR="00210546" w:rsidRPr="00B7005F" w:rsidRDefault="00C92845"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733 373 543</w:t>
            </w:r>
          </w:p>
        </w:tc>
        <w:tc>
          <w:tcPr>
            <w:tcW w:w="2266" w:type="dxa"/>
            <w:shd w:val="clear" w:color="auto" w:fill="FFF2CC" w:themeFill="accent4" w:themeFillTint="33"/>
          </w:tcPr>
          <w:p w14:paraId="1CDDAA20" w14:textId="6F8F2ABF" w:rsidR="00210546" w:rsidRPr="00B7005F" w:rsidRDefault="00C92845"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svitakovaz@sosluhac.cz</w:t>
            </w:r>
          </w:p>
        </w:tc>
      </w:tr>
    </w:tbl>
    <w:p w14:paraId="704860D3" w14:textId="44D0418D" w:rsidR="00824E48" w:rsidRDefault="00824E48" w:rsidP="00824E48">
      <w:pPr>
        <w:spacing w:before="120" w:after="24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Případnou změnu v osobě Správce licence Odběratel bez zbytečného odkladu písemně nahlásí na adresu </w:t>
      </w:r>
      <w:hyperlink r:id="rId9" w:history="1">
        <w:r w:rsidRPr="00824E48">
          <w:rPr>
            <w:color w:val="0D0D0D" w:themeColor="text1" w:themeTint="F2"/>
          </w:rPr>
          <w:t>perm@kvasar.cz</w:t>
        </w:r>
      </w:hyperlink>
      <w:r>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bookmarkStart w:id="7" w:name="_Toc177031203"/>
      <w:r w:rsidRPr="00B7005F">
        <w:rPr>
          <w:rFonts w:asciiTheme="majorHAnsi" w:hAnsiTheme="majorHAnsi" w:cstheme="majorHAnsi"/>
          <w:color w:val="0D0D0D" w:themeColor="text1" w:themeTint="F2"/>
        </w:rPr>
        <w:t>PODMÍNKY PLATNOSTI LICENCE</w:t>
      </w:r>
      <w:bookmarkEnd w:id="7"/>
    </w:p>
    <w:p w14:paraId="07D0C7F9" w14:textId="672F2EB2"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w:t>
      </w:r>
      <w:proofErr w:type="gramStart"/>
      <w:r w:rsidRPr="00B7005F">
        <w:rPr>
          <w:rFonts w:asciiTheme="majorHAnsi" w:hAnsiTheme="majorHAnsi" w:cstheme="majorHAnsi"/>
          <w:color w:val="0D0D0D" w:themeColor="text1" w:themeTint="F2"/>
        </w:rPr>
        <w:t>této</w:t>
      </w:r>
      <w:proofErr w:type="gramEnd"/>
      <w:r w:rsidRPr="00B7005F">
        <w:rPr>
          <w:rFonts w:asciiTheme="majorHAnsi" w:hAnsiTheme="majorHAnsi" w:cstheme="majorHAnsi"/>
          <w:color w:val="0D0D0D" w:themeColor="text1" w:themeTint="F2"/>
        </w:rPr>
        <w:t xml:space="preserve">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bookmarkStart w:id="8" w:name="_Toc177031204"/>
      <w:r w:rsidRPr="00B7005F">
        <w:rPr>
          <w:rFonts w:asciiTheme="majorHAnsi" w:hAnsiTheme="majorHAnsi" w:cstheme="majorHAnsi"/>
          <w:color w:val="0D0D0D" w:themeColor="text1" w:themeTint="F2"/>
        </w:rPr>
        <w:t>OMEZENÍ LICENCE</w:t>
      </w:r>
      <w:bookmarkEnd w:id="8"/>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2F4140">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Systém dále distribuovat, licencovat, </w:t>
      </w:r>
      <w:proofErr w:type="spellStart"/>
      <w:r w:rsidRPr="00B7005F">
        <w:rPr>
          <w:rFonts w:asciiTheme="majorHAnsi" w:hAnsiTheme="majorHAnsi" w:cstheme="majorHAnsi"/>
          <w:color w:val="0D0D0D" w:themeColor="text1" w:themeTint="F2"/>
        </w:rPr>
        <w:t>podlicencovat</w:t>
      </w:r>
      <w:proofErr w:type="spellEnd"/>
      <w:r w:rsidRPr="00B7005F">
        <w:rPr>
          <w:rFonts w:asciiTheme="majorHAnsi" w:hAnsiTheme="majorHAnsi" w:cstheme="majorHAnsi"/>
          <w:color w:val="0D0D0D" w:themeColor="text1" w:themeTint="F2"/>
        </w:rPr>
        <w:t xml:space="preserve"> ani jinak zpřístupňovat třetím osobám bez předchozího písemného souhlasu Dodavatele,</w:t>
      </w:r>
    </w:p>
    <w:p w14:paraId="3AF8C51E" w14:textId="3071742D" w:rsidR="00431550" w:rsidRPr="00B7005F" w:rsidRDefault="00431550" w:rsidP="002F4140">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jakékoliv úpravy Systému, pokud tyto úpravy nebudou prováděny přímo Dodavatelem nebo s jeho výslovným souhlasem,</w:t>
      </w:r>
    </w:p>
    <w:p w14:paraId="76499DD2" w14:textId="7E2A76F4" w:rsidR="00431550" w:rsidRPr="00B7005F" w:rsidRDefault="00431550" w:rsidP="002F4140">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Provádět zpětné inženýrství, </w:t>
      </w:r>
      <w:proofErr w:type="spellStart"/>
      <w:r w:rsidRPr="00B7005F">
        <w:rPr>
          <w:rFonts w:asciiTheme="majorHAnsi" w:hAnsiTheme="majorHAnsi" w:cstheme="majorHAnsi"/>
          <w:color w:val="0D0D0D" w:themeColor="text1" w:themeTint="F2"/>
        </w:rPr>
        <w:t>dekompilaci</w:t>
      </w:r>
      <w:proofErr w:type="spellEnd"/>
      <w:r w:rsidRPr="00B7005F">
        <w:rPr>
          <w:rFonts w:asciiTheme="majorHAnsi" w:hAnsiTheme="majorHAnsi" w:cstheme="majorHAnsi"/>
          <w:color w:val="0D0D0D" w:themeColor="text1" w:themeTint="F2"/>
        </w:rPr>
        <w:t xml:space="preserve">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bookmarkStart w:id="9" w:name="_Toc177031205"/>
      <w:r w:rsidRPr="00B7005F">
        <w:rPr>
          <w:rFonts w:asciiTheme="majorHAnsi" w:hAnsiTheme="majorHAnsi" w:cstheme="majorHAnsi"/>
          <w:color w:val="0D0D0D" w:themeColor="text1" w:themeTint="F2"/>
        </w:rPr>
        <w:t>LICENČNÍ POPLATEK</w:t>
      </w:r>
      <w:bookmarkEnd w:id="9"/>
    </w:p>
    <w:p w14:paraId="0FE10D1C" w14:textId="34DF4BD6"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Zákazník se zavazuje hradit Dodavateli pravidelný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proofErr w:type="gramStart"/>
      <w:r w:rsidR="0054617F" w:rsidRPr="00B7005F">
        <w:rPr>
          <w:rFonts w:asciiTheme="majorHAnsi" w:hAnsiTheme="majorHAnsi" w:cstheme="majorHAnsi"/>
          <w:color w:val="0D0D0D" w:themeColor="text1" w:themeTint="F2"/>
        </w:rPr>
        <w:t>této</w:t>
      </w:r>
      <w:proofErr w:type="gramEnd"/>
      <w:r w:rsidR="0054617F" w:rsidRPr="00B7005F">
        <w:rPr>
          <w:rFonts w:asciiTheme="majorHAnsi" w:hAnsiTheme="majorHAnsi" w:cstheme="majorHAnsi"/>
          <w:color w:val="0D0D0D" w:themeColor="text1" w:themeTint="F2"/>
        </w:rPr>
        <w:t xml:space="preserve"> smlouvy</w:t>
      </w:r>
      <w:r w:rsidRPr="00B7005F">
        <w:rPr>
          <w:rFonts w:asciiTheme="majorHAnsi" w:hAnsiTheme="majorHAnsi" w:cstheme="majorHAnsi"/>
          <w:color w:val="0D0D0D" w:themeColor="text1" w:themeTint="F2"/>
        </w:rPr>
        <w:t>. Licenční poplatek zahrnuje:</w:t>
      </w:r>
    </w:p>
    <w:p w14:paraId="47C09881" w14:textId="247401B4"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a) </w:t>
      </w:r>
      <w:r w:rsidR="0054617F" w:rsidRPr="00B7005F">
        <w:rPr>
          <w:rFonts w:asciiTheme="majorHAnsi" w:hAnsiTheme="majorHAnsi" w:cstheme="majorHAnsi"/>
          <w:color w:val="0D0D0D" w:themeColor="text1" w:themeTint="F2"/>
        </w:rPr>
        <w:t>p</w:t>
      </w:r>
      <w:r w:rsidRPr="00B7005F">
        <w:rPr>
          <w:rFonts w:asciiTheme="majorHAnsi" w:hAnsiTheme="majorHAnsi" w:cstheme="majorHAnsi"/>
          <w:color w:val="0D0D0D" w:themeColor="text1" w:themeTint="F2"/>
        </w:rPr>
        <w:t xml:space="preserve">rávo na užívání Systému v rozsahu uvedeném v článku </w:t>
      </w:r>
      <w:r w:rsidR="0054617F" w:rsidRPr="00B7005F">
        <w:rPr>
          <w:rFonts w:asciiTheme="majorHAnsi" w:hAnsiTheme="majorHAnsi" w:cstheme="majorHAnsi"/>
          <w:color w:val="0D0D0D" w:themeColor="text1" w:themeTint="F2"/>
        </w:rPr>
        <w:t>2.2.1</w:t>
      </w:r>
      <w:r w:rsidRPr="00B7005F">
        <w:rPr>
          <w:rFonts w:asciiTheme="majorHAnsi" w:hAnsiTheme="majorHAnsi" w:cstheme="majorHAnsi"/>
          <w:color w:val="0D0D0D" w:themeColor="text1" w:themeTint="F2"/>
        </w:rPr>
        <w:t>,</w:t>
      </w:r>
    </w:p>
    <w:p w14:paraId="42A76295" w14:textId="06265C72"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b) </w:t>
      </w:r>
      <w:r w:rsidR="0054617F" w:rsidRPr="00B7005F">
        <w:rPr>
          <w:rFonts w:asciiTheme="majorHAnsi" w:hAnsiTheme="majorHAnsi" w:cstheme="majorHAnsi"/>
          <w:color w:val="0D0D0D" w:themeColor="text1" w:themeTint="F2"/>
        </w:rPr>
        <w:t>t</w:t>
      </w:r>
      <w:r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Pr="00B7005F">
        <w:rPr>
          <w:rFonts w:asciiTheme="majorHAnsi" w:hAnsiTheme="majorHAnsi" w:cstheme="majorHAnsi"/>
          <w:color w:val="0D0D0D" w:themeColor="text1" w:themeTint="F2"/>
        </w:rPr>
        <w:t xml:space="preserve"> této smlouvy,</w:t>
      </w:r>
    </w:p>
    <w:p w14:paraId="2A7DC02D" w14:textId="3A336890"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c) </w:t>
      </w:r>
      <w:r w:rsidR="00555FD5" w:rsidRPr="00B7005F">
        <w:rPr>
          <w:rFonts w:asciiTheme="majorHAnsi" w:hAnsiTheme="majorHAnsi" w:cstheme="majorHAnsi"/>
          <w:color w:val="0D0D0D" w:themeColor="text1" w:themeTint="F2"/>
        </w:rPr>
        <w:t xml:space="preserve">legislativní </w:t>
      </w:r>
      <w:r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bookmarkStart w:id="10" w:name="_Toc177031206"/>
      <w:r w:rsidRPr="00B7005F">
        <w:rPr>
          <w:rFonts w:asciiTheme="majorHAnsi" w:hAnsiTheme="majorHAnsi" w:cstheme="majorHAnsi"/>
          <w:color w:val="0D0D0D" w:themeColor="text1" w:themeTint="F2"/>
        </w:rPr>
        <w:t>ROZŠÍŘENÍ LICENCE</w:t>
      </w:r>
      <w:bookmarkEnd w:id="10"/>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bookmarkStart w:id="11" w:name="_Toc177031207"/>
      <w:r w:rsidRPr="00A57429">
        <w:rPr>
          <w:rFonts w:asciiTheme="majorHAnsi" w:hAnsiTheme="majorHAnsi" w:cstheme="majorHAnsi"/>
          <w:color w:val="0D0D0D" w:themeColor="text1" w:themeTint="F2"/>
        </w:rPr>
        <w:t>MIMOŘÁDNÉ UKONČENÍ LICENCE</w:t>
      </w:r>
      <w:bookmarkEnd w:id="11"/>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08A4E3DC"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   a) 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61A972B2"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   b) Porušení podmínek licence uvedených v této smlouv</w:t>
      </w:r>
      <w:r w:rsidR="00A57429" w:rsidRPr="00A57429">
        <w:rPr>
          <w:rFonts w:asciiTheme="majorHAnsi" w:hAnsiTheme="majorHAnsi" w:cstheme="majorHAnsi"/>
          <w:color w:val="0D0D0D" w:themeColor="text1" w:themeTint="F2"/>
        </w:rPr>
        <w:t>ě.</w:t>
      </w:r>
    </w:p>
    <w:p w14:paraId="4E3A1F0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   c) Používání Systému v rozporu s touto smlouvou nebo platnými právními předpisy.</w:t>
      </w:r>
    </w:p>
    <w:p w14:paraId="5D59B490" w14:textId="32880666" w:rsidR="00431550"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bookmarkStart w:id="12" w:name="_Toc177031208"/>
      <w:r w:rsidRPr="00A57429">
        <w:rPr>
          <w:rFonts w:asciiTheme="majorHAnsi" w:hAnsiTheme="majorHAnsi" w:cstheme="majorHAnsi"/>
          <w:color w:val="0D0D0D" w:themeColor="text1" w:themeTint="F2"/>
        </w:rPr>
        <w:t>OBNOVENÍ LICENCE</w:t>
      </w:r>
      <w:bookmarkEnd w:id="12"/>
    </w:p>
    <w:p w14:paraId="0B133C82" w14:textId="77777777" w:rsidR="00431550" w:rsidRPr="00B7005F"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podle vlastního uvážení,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bookmarkStart w:id="13" w:name="_Toc177031209"/>
      <w:r w:rsidRPr="00B7005F">
        <w:rPr>
          <w:b w:val="0"/>
          <w:bCs w:val="0"/>
          <w:color w:val="0D0D0D" w:themeColor="text1" w:themeTint="F2"/>
        </w:rPr>
        <w:t>TECHNICKÁ PODPORA</w:t>
      </w:r>
      <w:bookmarkEnd w:id="13"/>
    </w:p>
    <w:p w14:paraId="0F755C7B" w14:textId="77777777" w:rsidR="00117006" w:rsidRPr="00B7005F" w:rsidRDefault="00117006" w:rsidP="00117006">
      <w:pPr>
        <w:pStyle w:val="Nadpis3"/>
        <w:rPr>
          <w:rFonts w:asciiTheme="majorHAnsi" w:hAnsiTheme="majorHAnsi" w:cstheme="majorHAnsi"/>
          <w:color w:val="0D0D0D" w:themeColor="text1" w:themeTint="F2"/>
        </w:rPr>
      </w:pPr>
      <w:bookmarkStart w:id="14" w:name="_Toc177031210"/>
      <w:r w:rsidRPr="00B7005F">
        <w:rPr>
          <w:rFonts w:asciiTheme="majorHAnsi" w:hAnsiTheme="majorHAnsi" w:cstheme="majorHAnsi"/>
          <w:color w:val="0D0D0D" w:themeColor="text1" w:themeTint="F2"/>
        </w:rPr>
        <w:t>ROZSAH POSKYTOVANÉ TECHNICKÉ PODPORY</w:t>
      </w:r>
      <w:bookmarkEnd w:id="14"/>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2F4140">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2F4140">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2F4140">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bookmarkStart w:id="15" w:name="_Toc177031211"/>
      <w:r w:rsidRPr="00B7005F">
        <w:rPr>
          <w:rFonts w:asciiTheme="majorHAnsi" w:hAnsiTheme="majorHAnsi" w:cstheme="majorHAnsi"/>
          <w:color w:val="0D0D0D" w:themeColor="text1" w:themeTint="F2"/>
        </w:rPr>
        <w:t>ZPŮSOBY KONTAKTOVÁNÍ TECHNICKÉ PODPORY</w:t>
      </w:r>
      <w:bookmarkEnd w:id="15"/>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023725E1" w:rsidR="006808FF" w:rsidRDefault="0058632B" w:rsidP="002F4140">
      <w:pPr>
        <w:pStyle w:val="Odstavecseseznamem"/>
        <w:numPr>
          <w:ilvl w:val="0"/>
          <w:numId w:val="11"/>
        </w:numPr>
        <w:spacing w:before="120"/>
        <w:rPr>
          <w:rFonts w:asciiTheme="majorHAnsi" w:hAnsiTheme="majorHAnsi" w:cstheme="majorHAnsi"/>
          <w:color w:val="0D0D0D" w:themeColor="text1" w:themeTint="F2"/>
        </w:rPr>
      </w:pPr>
      <w:proofErr w:type="spellStart"/>
      <w:r w:rsidRPr="00B7005F">
        <w:rPr>
          <w:rFonts w:asciiTheme="majorHAnsi" w:hAnsiTheme="majorHAnsi" w:cstheme="majorHAnsi"/>
          <w:color w:val="0D0D0D" w:themeColor="text1" w:themeTint="F2"/>
        </w:rPr>
        <w:t>Helpdesk</w:t>
      </w:r>
      <w:proofErr w:type="spellEnd"/>
      <w:r w:rsidRPr="00B7005F">
        <w:rPr>
          <w:rFonts w:asciiTheme="majorHAnsi" w:hAnsiTheme="majorHAnsi" w:cstheme="majorHAnsi"/>
          <w:color w:val="0D0D0D" w:themeColor="text1" w:themeTint="F2"/>
        </w:rPr>
        <w:t xml:space="preserve">: Zasláním požadavku na e-mailovou adresu: </w:t>
      </w:r>
      <w:hyperlink r:id="rId10" w:history="1">
        <w:r w:rsidR="006808FF" w:rsidRPr="006808FF">
          <w:rPr>
            <w:color w:val="0D0D0D" w:themeColor="text1" w:themeTint="F2"/>
          </w:rPr>
          <w:t>perm@kvasar.cz</w:t>
        </w:r>
      </w:hyperlink>
      <w:r w:rsidRPr="00B7005F">
        <w:rPr>
          <w:rFonts w:asciiTheme="majorHAnsi" w:hAnsiTheme="majorHAnsi" w:cstheme="majorHAnsi"/>
          <w:color w:val="0D0D0D" w:themeColor="text1" w:themeTint="F2"/>
        </w:rPr>
        <w:t>.</w:t>
      </w:r>
    </w:p>
    <w:p w14:paraId="4E8F99AE" w14:textId="66F7E881" w:rsidR="0058632B" w:rsidRDefault="0058632B" w:rsidP="002F4140">
      <w:pPr>
        <w:pStyle w:val="Odstavecseseznamem"/>
        <w:numPr>
          <w:ilvl w:val="0"/>
          <w:numId w:val="11"/>
        </w:numPr>
        <w:spacing w:before="120"/>
        <w:rPr>
          <w:rFonts w:asciiTheme="majorHAnsi" w:hAnsiTheme="majorHAnsi" w:cstheme="majorHAnsi"/>
          <w:color w:val="0D0D0D" w:themeColor="text1" w:themeTint="F2"/>
        </w:rPr>
      </w:pPr>
      <w:proofErr w:type="spellStart"/>
      <w:r w:rsidRPr="00B7005F">
        <w:rPr>
          <w:rFonts w:asciiTheme="majorHAnsi" w:hAnsiTheme="majorHAnsi" w:cstheme="majorHAnsi"/>
          <w:color w:val="0D0D0D" w:themeColor="text1" w:themeTint="F2"/>
        </w:rPr>
        <w:t>Hotline</w:t>
      </w:r>
      <w:proofErr w:type="spellEnd"/>
      <w:r w:rsidRPr="00B7005F">
        <w:rPr>
          <w:rFonts w:asciiTheme="majorHAnsi" w:hAnsiTheme="majorHAnsi" w:cstheme="majorHAnsi"/>
          <w:color w:val="0D0D0D" w:themeColor="text1" w:themeTint="F2"/>
        </w:rPr>
        <w:t>: Telefonicky na čísle 577 212</w:t>
      </w:r>
      <w:r w:rsidR="00117006">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500.</w:t>
      </w:r>
    </w:p>
    <w:p w14:paraId="558F9CB5" w14:textId="517FB3EB" w:rsidR="00117006" w:rsidRPr="00B7005F" w:rsidRDefault="006808FF" w:rsidP="0058632B">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bookmarkStart w:id="16" w:name="_Toc177031212"/>
      <w:r w:rsidRPr="00B7005F">
        <w:rPr>
          <w:rFonts w:asciiTheme="majorHAnsi" w:hAnsiTheme="majorHAnsi" w:cstheme="majorHAnsi"/>
          <w:color w:val="0D0D0D" w:themeColor="text1" w:themeTint="F2"/>
        </w:rPr>
        <w:t>PROVOZNÍ DOBA TECHNICKÉ PODPORY</w:t>
      </w:r>
      <w:bookmarkEnd w:id="16"/>
    </w:p>
    <w:p w14:paraId="5BA7E451" w14:textId="79DAFE58"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Technická podpora je dostupná v pracovní dny (pondělí až pátek) v časových intervalech:</w:t>
      </w:r>
      <w:r w:rsidR="00395548"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bookmarkStart w:id="17" w:name="_Toc177031213"/>
      <w:r w:rsidRPr="00B7005F">
        <w:rPr>
          <w:rFonts w:asciiTheme="majorHAnsi" w:hAnsiTheme="majorHAnsi" w:cstheme="majorHAnsi"/>
          <w:color w:val="0D0D0D" w:themeColor="text1" w:themeTint="F2"/>
        </w:rPr>
        <w:t>ODPOVĚDNOST ZA CHYBY ZPŮSOBENÉ UŽIVATELEM</w:t>
      </w:r>
      <w:bookmarkEnd w:id="17"/>
    </w:p>
    <w:p w14:paraId="4F8E13E0" w14:textId="0A3262D0"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w:t>
      </w:r>
      <w:proofErr w:type="gramStart"/>
      <w:r w:rsidRPr="00B7005F">
        <w:rPr>
          <w:rFonts w:asciiTheme="majorHAnsi" w:hAnsiTheme="majorHAnsi" w:cstheme="majorHAnsi"/>
          <w:color w:val="0D0D0D" w:themeColor="text1" w:themeTint="F2"/>
        </w:rPr>
        <w:t>této</w:t>
      </w:r>
      <w:proofErr w:type="gramEnd"/>
      <w:r w:rsidRPr="00B7005F">
        <w:rPr>
          <w:rFonts w:asciiTheme="majorHAnsi" w:hAnsiTheme="majorHAnsi" w:cstheme="majorHAnsi"/>
          <w:color w:val="0D0D0D" w:themeColor="text1" w:themeTint="F2"/>
        </w:rPr>
        <w:t xml:space="preserve"> smlouvy.</w:t>
      </w:r>
    </w:p>
    <w:p w14:paraId="66C99541" w14:textId="241A0146" w:rsidR="0058632B" w:rsidRPr="00B7005F" w:rsidRDefault="0084225B" w:rsidP="00165C14">
      <w:pPr>
        <w:pStyle w:val="Nadpis3"/>
        <w:rPr>
          <w:rFonts w:asciiTheme="majorHAnsi" w:hAnsiTheme="majorHAnsi" w:cstheme="majorHAnsi"/>
          <w:color w:val="0D0D0D" w:themeColor="text1" w:themeTint="F2"/>
        </w:rPr>
      </w:pPr>
      <w:bookmarkStart w:id="18" w:name="_Toc177031214"/>
      <w:r w:rsidRPr="00B7005F">
        <w:rPr>
          <w:rFonts w:asciiTheme="majorHAnsi" w:hAnsiTheme="majorHAnsi" w:cstheme="majorHAnsi"/>
          <w:color w:val="0D0D0D" w:themeColor="text1" w:themeTint="F2"/>
        </w:rPr>
        <w:t>REAKČNÍ DOBA</w:t>
      </w:r>
      <w:bookmarkEnd w:id="18"/>
    </w:p>
    <w:p w14:paraId="5E6FC557" w14:textId="77777777"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403E2FFA" w:rsidR="006808FF" w:rsidRPr="006808FF" w:rsidRDefault="0058632B" w:rsidP="002F4140">
      <w:pPr>
        <w:pStyle w:val="Odstavecseseznamem"/>
        <w:numPr>
          <w:ilvl w:val="0"/>
          <w:numId w:val="12"/>
        </w:numPr>
        <w:spacing w:before="12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v pracovní době.</w:t>
      </w:r>
    </w:p>
    <w:p w14:paraId="58B525A6" w14:textId="5F57561E" w:rsidR="003829FC" w:rsidRPr="006808FF" w:rsidRDefault="0058632B" w:rsidP="002F4140">
      <w:pPr>
        <w:pStyle w:val="Odstavecseseznamem"/>
        <w:numPr>
          <w:ilvl w:val="0"/>
          <w:numId w:val="12"/>
        </w:numPr>
        <w:spacing w:before="12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bookmarkStart w:id="19" w:name="_Toc177031215"/>
      <w:r w:rsidRPr="00B7005F">
        <w:rPr>
          <w:rFonts w:asciiTheme="majorHAnsi" w:hAnsiTheme="majorHAnsi" w:cstheme="majorHAnsi"/>
          <w:color w:val="0D0D0D" w:themeColor="text1" w:themeTint="F2"/>
        </w:rPr>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bookmarkEnd w:id="19"/>
    </w:p>
    <w:p w14:paraId="1A904D3D" w14:textId="06AB1452" w:rsidR="00A41CE1" w:rsidRPr="00B7005F" w:rsidRDefault="003829FC" w:rsidP="00A41CE1">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216"/>
        <w:gridCol w:w="2207"/>
        <w:gridCol w:w="2208"/>
        <w:gridCol w:w="2431"/>
      </w:tblGrid>
      <w:tr w:rsidR="00EB6D43" w:rsidRPr="00B7005F" w14:paraId="4F17B618" w14:textId="77777777" w:rsidTr="003829FC">
        <w:tc>
          <w:tcPr>
            <w:tcW w:w="226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26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266"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3829FC" w:rsidRPr="00B7005F" w14:paraId="4D4E8A57" w14:textId="77777777" w:rsidTr="00097DD2">
        <w:tc>
          <w:tcPr>
            <w:tcW w:w="2265" w:type="dxa"/>
            <w:shd w:val="clear" w:color="auto" w:fill="FFF2CC" w:themeFill="accent4" w:themeFillTint="33"/>
          </w:tcPr>
          <w:p w14:paraId="64159A1A" w14:textId="05E4B5B0" w:rsidR="003829FC" w:rsidRPr="00B7005F"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Zuzana Svitáková</w:t>
            </w:r>
          </w:p>
        </w:tc>
        <w:tc>
          <w:tcPr>
            <w:tcW w:w="2265" w:type="dxa"/>
            <w:shd w:val="clear" w:color="auto" w:fill="FFF2CC" w:themeFill="accent4" w:themeFillTint="33"/>
          </w:tcPr>
          <w:p w14:paraId="2BC5D4E0" w14:textId="614776D8" w:rsidR="003829FC" w:rsidRPr="00B7005F"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ekonom</w:t>
            </w:r>
          </w:p>
        </w:tc>
        <w:tc>
          <w:tcPr>
            <w:tcW w:w="2266" w:type="dxa"/>
            <w:shd w:val="clear" w:color="auto" w:fill="FFF2CC" w:themeFill="accent4" w:themeFillTint="33"/>
          </w:tcPr>
          <w:p w14:paraId="5F8471C3" w14:textId="02DF7DC3" w:rsidR="003829FC" w:rsidRPr="00B7005F"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733 373 543</w:t>
            </w:r>
          </w:p>
        </w:tc>
        <w:tc>
          <w:tcPr>
            <w:tcW w:w="2266" w:type="dxa"/>
            <w:shd w:val="clear" w:color="auto" w:fill="FFF2CC" w:themeFill="accent4" w:themeFillTint="33"/>
          </w:tcPr>
          <w:p w14:paraId="770D1E41" w14:textId="611B1E01" w:rsidR="003829FC" w:rsidRPr="00B7005F"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svitakovaz@sosluhac.cz</w:t>
            </w:r>
          </w:p>
        </w:tc>
      </w:tr>
      <w:tr w:rsidR="00C92845" w:rsidRPr="00B7005F" w14:paraId="3CA55DCB" w14:textId="77777777" w:rsidTr="00097DD2">
        <w:tc>
          <w:tcPr>
            <w:tcW w:w="2265" w:type="dxa"/>
            <w:shd w:val="clear" w:color="auto" w:fill="FFF2CC" w:themeFill="accent4" w:themeFillTint="33"/>
          </w:tcPr>
          <w:p w14:paraId="6BAFDBCA" w14:textId="329DAFAC"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Petra </w:t>
            </w:r>
            <w:proofErr w:type="spellStart"/>
            <w:r>
              <w:rPr>
                <w:rFonts w:asciiTheme="majorHAnsi" w:hAnsiTheme="majorHAnsi" w:cstheme="majorHAnsi"/>
                <w:color w:val="0D0D0D" w:themeColor="text1" w:themeTint="F2"/>
              </w:rPr>
              <w:t>Oksnerova</w:t>
            </w:r>
            <w:proofErr w:type="spellEnd"/>
          </w:p>
        </w:tc>
        <w:tc>
          <w:tcPr>
            <w:tcW w:w="2265" w:type="dxa"/>
            <w:shd w:val="clear" w:color="auto" w:fill="FFF2CC" w:themeFill="accent4" w:themeFillTint="33"/>
          </w:tcPr>
          <w:p w14:paraId="548FBB2F" w14:textId="3066AA82"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účetní</w:t>
            </w:r>
          </w:p>
        </w:tc>
        <w:tc>
          <w:tcPr>
            <w:tcW w:w="2266" w:type="dxa"/>
            <w:shd w:val="clear" w:color="auto" w:fill="FFF2CC" w:themeFill="accent4" w:themeFillTint="33"/>
          </w:tcPr>
          <w:p w14:paraId="290CDC02" w14:textId="12F99849"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577 131 146</w:t>
            </w:r>
          </w:p>
        </w:tc>
        <w:tc>
          <w:tcPr>
            <w:tcW w:w="2266" w:type="dxa"/>
            <w:shd w:val="clear" w:color="auto" w:fill="FFF2CC" w:themeFill="accent4" w:themeFillTint="33"/>
          </w:tcPr>
          <w:p w14:paraId="6D60FBB6" w14:textId="2B6E26C6"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oksnerovap@sosluhac.cz</w:t>
            </w:r>
          </w:p>
        </w:tc>
      </w:tr>
      <w:tr w:rsidR="00C92845" w:rsidRPr="00B7005F" w14:paraId="261A81E3" w14:textId="77777777" w:rsidTr="00097DD2">
        <w:tc>
          <w:tcPr>
            <w:tcW w:w="2265" w:type="dxa"/>
            <w:shd w:val="clear" w:color="auto" w:fill="FFF2CC" w:themeFill="accent4" w:themeFillTint="33"/>
          </w:tcPr>
          <w:p w14:paraId="47735225" w14:textId="0C66F479"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Marie Toralová</w:t>
            </w:r>
          </w:p>
        </w:tc>
        <w:tc>
          <w:tcPr>
            <w:tcW w:w="2265" w:type="dxa"/>
            <w:shd w:val="clear" w:color="auto" w:fill="FFF2CC" w:themeFill="accent4" w:themeFillTint="33"/>
          </w:tcPr>
          <w:p w14:paraId="2E232132" w14:textId="783C831D"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Hlavní a mzdová účetní</w:t>
            </w:r>
          </w:p>
        </w:tc>
        <w:tc>
          <w:tcPr>
            <w:tcW w:w="2266" w:type="dxa"/>
            <w:shd w:val="clear" w:color="auto" w:fill="FFF2CC" w:themeFill="accent4" w:themeFillTint="33"/>
          </w:tcPr>
          <w:p w14:paraId="14BD4725" w14:textId="074FE269"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577 131 146</w:t>
            </w:r>
          </w:p>
        </w:tc>
        <w:tc>
          <w:tcPr>
            <w:tcW w:w="2266" w:type="dxa"/>
            <w:shd w:val="clear" w:color="auto" w:fill="FFF2CC" w:themeFill="accent4" w:themeFillTint="33"/>
          </w:tcPr>
          <w:p w14:paraId="3C5F10F6" w14:textId="10FCCC23" w:rsidR="00C92845" w:rsidRDefault="00C9284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toralovam@sosluhac.cz</w:t>
            </w:r>
          </w:p>
        </w:tc>
      </w:tr>
    </w:tbl>
    <w:p w14:paraId="4A8573A7" w14:textId="77777777" w:rsidR="003829FC"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Seznam Oprávněných osob může být Zákazníkem změněn písemným oznámením Dodavateli,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bookmarkStart w:id="20" w:name="_Toc177031216"/>
      <w:r w:rsidRPr="00B7005F">
        <w:rPr>
          <w:rFonts w:asciiTheme="majorHAnsi" w:hAnsiTheme="majorHAnsi" w:cstheme="majorHAnsi"/>
          <w:color w:val="0D0D0D" w:themeColor="text1" w:themeTint="F2"/>
        </w:rPr>
        <w:t>POVINNOSTI OPRÁVNĚNÝCH OSOB</w:t>
      </w:r>
      <w:bookmarkEnd w:id="20"/>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2F4140">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2F4140">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bookmarkStart w:id="21" w:name="_Toc177031217"/>
      <w:r w:rsidRPr="00B7005F">
        <w:rPr>
          <w:rFonts w:asciiTheme="majorHAnsi" w:hAnsiTheme="majorHAnsi" w:cstheme="majorHAnsi"/>
          <w:color w:val="0D0D0D" w:themeColor="text1" w:themeTint="F2"/>
        </w:rPr>
        <w:t>ODPOVĚDNOST ZA ČERPÁNÍ PODPORY NEOPRÁVNĚNÝMI OSOBAMI</w:t>
      </w:r>
      <w:bookmarkEnd w:id="21"/>
    </w:p>
    <w:p w14:paraId="192B4C93" w14:textId="2D84D96A"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bookmarkStart w:id="22" w:name="_Toc177031218"/>
      <w:r w:rsidRPr="00B7005F">
        <w:rPr>
          <w:rFonts w:asciiTheme="majorHAnsi" w:hAnsiTheme="majorHAnsi" w:cstheme="majorHAnsi"/>
          <w:color w:val="0D0D0D" w:themeColor="text1" w:themeTint="F2"/>
        </w:rPr>
        <w:t>ZMĚNY KONTAKTNÍCH ÚDAJŮ</w:t>
      </w:r>
      <w:bookmarkEnd w:id="22"/>
    </w:p>
    <w:p w14:paraId="7E5E22B8" w14:textId="06600F05" w:rsidR="005A1CE0" w:rsidRPr="00B7005F" w:rsidRDefault="00020277"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p>
    <w:p w14:paraId="36F8A3E8" w14:textId="07525527" w:rsidR="005A1CE0" w:rsidRPr="00B7005F" w:rsidRDefault="00B73604" w:rsidP="00B73604">
      <w:pPr>
        <w:pStyle w:val="Nadpis1"/>
        <w:rPr>
          <w:b w:val="0"/>
          <w:bCs w:val="0"/>
          <w:color w:val="0D0D0D" w:themeColor="text1" w:themeTint="F2"/>
        </w:rPr>
      </w:pPr>
      <w:bookmarkStart w:id="23" w:name="_Toc177031219"/>
      <w:r w:rsidRPr="00B7005F">
        <w:rPr>
          <w:b w:val="0"/>
          <w:bCs w:val="0"/>
          <w:color w:val="0D0D0D" w:themeColor="text1" w:themeTint="F2"/>
        </w:rPr>
        <w:t>DODACÍ PODMÍNKY SYSTÉMU PERM 3</w:t>
      </w:r>
      <w:bookmarkEnd w:id="23"/>
    </w:p>
    <w:p w14:paraId="6D9490FE" w14:textId="69C4312D"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bookmarkStart w:id="24" w:name="_Toc177031220"/>
      <w:r w:rsidRPr="00B7005F">
        <w:rPr>
          <w:b w:val="0"/>
          <w:bCs w:val="0"/>
          <w:color w:val="0D0D0D" w:themeColor="text1" w:themeTint="F2"/>
        </w:rPr>
        <w:t>PŘEDPOKLÁDANÝ PRŮBĚH IMPLEMENTACE SYSTÉMU PERM 3</w:t>
      </w:r>
      <w:bookmarkEnd w:id="24"/>
    </w:p>
    <w:p w14:paraId="362C9AA8" w14:textId="07B7E428" w:rsidR="00B73604" w:rsidRPr="00B7005F" w:rsidRDefault="00165C14" w:rsidP="00165C14">
      <w:pPr>
        <w:pStyle w:val="Nadpis3"/>
        <w:rPr>
          <w:rFonts w:asciiTheme="majorHAnsi" w:hAnsiTheme="majorHAnsi" w:cstheme="majorHAnsi"/>
          <w:color w:val="0D0D0D" w:themeColor="text1" w:themeTint="F2"/>
        </w:rPr>
      </w:pPr>
      <w:bookmarkStart w:id="25" w:name="_Toc177031221"/>
      <w:r w:rsidRPr="00B7005F">
        <w:rPr>
          <w:rFonts w:asciiTheme="majorHAnsi" w:hAnsiTheme="majorHAnsi" w:cstheme="majorHAnsi"/>
          <w:color w:val="0D0D0D" w:themeColor="text1" w:themeTint="F2"/>
        </w:rPr>
        <w:t>1. ETAPA – PŘÍPRAVNÁ FÁZE</w:t>
      </w:r>
      <w:bookmarkEnd w:id="25"/>
    </w:p>
    <w:p w14:paraId="620C8D2F" w14:textId="14DD75C6"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2F4140">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Pr="00B7005F" w:rsidRDefault="00B73604" w:rsidP="002F4140">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68360229" w14:textId="7232CE41" w:rsidR="00B73604" w:rsidRPr="00097DD2" w:rsidRDefault="00B73604" w:rsidP="002F4140">
      <w:pPr>
        <w:pStyle w:val="Odstavecseseznamem"/>
        <w:numPr>
          <w:ilvl w:val="0"/>
          <w:numId w:val="6"/>
        </w:numPr>
        <w:spacing w:before="120"/>
        <w:contextualSpacing w:val="0"/>
        <w:rPr>
          <w:rFonts w:asciiTheme="majorHAnsi" w:hAnsiTheme="majorHAnsi" w:cstheme="majorHAnsi"/>
          <w:color w:val="0D0D0D" w:themeColor="text1" w:themeTint="F2"/>
        </w:rPr>
      </w:pPr>
      <w:r w:rsidRPr="00097DD2">
        <w:rPr>
          <w:rFonts w:asciiTheme="majorHAnsi" w:hAnsiTheme="majorHAnsi" w:cstheme="majorHAnsi"/>
          <w:color w:val="0D0D0D" w:themeColor="text1" w:themeTint="F2"/>
        </w:rPr>
        <w:t xml:space="preserve">Příprava stávajících personálních dat zaměstnanců určených pro import do Systému PERM 3 ve formě požadované Dodavatelem (viz </w:t>
      </w:r>
      <w:r w:rsidR="00E31504" w:rsidRPr="00097DD2">
        <w:rPr>
          <w:rFonts w:asciiTheme="majorHAnsi" w:hAnsiTheme="majorHAnsi" w:cstheme="majorHAnsi"/>
          <w:color w:val="0D0D0D" w:themeColor="text1" w:themeTint="F2"/>
        </w:rPr>
        <w:t xml:space="preserve">elektronická </w:t>
      </w:r>
      <w:r w:rsidRPr="00097DD2">
        <w:rPr>
          <w:rFonts w:asciiTheme="majorHAnsi" w:hAnsiTheme="majorHAnsi" w:cstheme="majorHAnsi"/>
          <w:color w:val="0D0D0D" w:themeColor="text1" w:themeTint="F2"/>
        </w:rPr>
        <w:t xml:space="preserve">Příloha </w:t>
      </w:r>
      <w:r w:rsidR="00E31504" w:rsidRPr="00097DD2">
        <w:rPr>
          <w:rFonts w:asciiTheme="majorHAnsi" w:hAnsiTheme="majorHAnsi" w:cstheme="majorHAnsi"/>
          <w:color w:val="0D0D0D" w:themeColor="text1" w:themeTint="F2"/>
        </w:rPr>
        <w:t>1 – Importní tabulky</w:t>
      </w:r>
      <w:r w:rsidRPr="00097DD2">
        <w:rPr>
          <w:rFonts w:asciiTheme="majorHAnsi" w:hAnsiTheme="majorHAnsi" w:cstheme="majorHAnsi"/>
          <w:color w:val="0D0D0D" w:themeColor="text1" w:themeTint="F2"/>
        </w:rPr>
        <w:t>)</w:t>
      </w:r>
      <w:r w:rsidR="00E31504" w:rsidRPr="00097DD2">
        <w:rPr>
          <w:rFonts w:asciiTheme="majorHAnsi" w:hAnsiTheme="majorHAnsi" w:cstheme="majorHAnsi"/>
          <w:color w:val="0D0D0D" w:themeColor="text1" w:themeTint="F2"/>
        </w:rPr>
        <w:t xml:space="preserve"> nejpozději do </w:t>
      </w:r>
      <w:r w:rsidR="003E1E67">
        <w:rPr>
          <w:rFonts w:asciiTheme="majorHAnsi" w:hAnsiTheme="majorHAnsi" w:cstheme="majorHAnsi"/>
          <w:color w:val="0D0D0D" w:themeColor="text1" w:themeTint="F2"/>
        </w:rPr>
        <w:t>1. 11. 2024</w:t>
      </w:r>
      <w:r w:rsidRPr="00097DD2">
        <w:rPr>
          <w:rFonts w:asciiTheme="majorHAnsi" w:hAnsiTheme="majorHAnsi" w:cstheme="majorHAnsi"/>
          <w:color w:val="0D0D0D" w:themeColor="text1" w:themeTint="F2"/>
        </w:rPr>
        <w:t>.</w:t>
      </w:r>
      <w:r w:rsidR="004477E4" w:rsidRPr="00097DD2">
        <w:rPr>
          <w:rFonts w:asciiTheme="majorHAnsi" w:hAnsiTheme="majorHAnsi" w:cstheme="majorHAnsi"/>
          <w:color w:val="0D0D0D" w:themeColor="text1" w:themeTint="F2"/>
        </w:rPr>
        <w:t xml:space="preserve"> Odběratel si je vědom skutečnosti, že </w:t>
      </w:r>
      <w:r w:rsidR="002E0D0B" w:rsidRPr="00097DD2">
        <w:rPr>
          <w:rFonts w:asciiTheme="majorHAnsi" w:hAnsiTheme="majorHAnsi" w:cstheme="majorHAnsi"/>
          <w:color w:val="0D0D0D" w:themeColor="text1" w:themeTint="F2"/>
        </w:rPr>
        <w:t xml:space="preserve">po zahájení prací na převodech dat mohou případné Odběratelem požadované změny v těchto </w:t>
      </w:r>
      <w:r w:rsidR="004477E4" w:rsidRPr="00097DD2">
        <w:rPr>
          <w:rFonts w:asciiTheme="majorHAnsi" w:hAnsiTheme="majorHAnsi" w:cstheme="majorHAnsi"/>
          <w:color w:val="0D0D0D" w:themeColor="text1" w:themeTint="F2"/>
        </w:rPr>
        <w:t>podklad</w:t>
      </w:r>
      <w:r w:rsidR="002E0D0B" w:rsidRPr="00097DD2">
        <w:rPr>
          <w:rFonts w:asciiTheme="majorHAnsi" w:hAnsiTheme="majorHAnsi" w:cstheme="majorHAnsi"/>
          <w:color w:val="0D0D0D" w:themeColor="text1" w:themeTint="F2"/>
        </w:rPr>
        <w:t>ech vyvolat vícepráce na straně Dodavatele, které mohou být Odběrateli účtovány nad rámec této smlouvy.</w:t>
      </w:r>
    </w:p>
    <w:p w14:paraId="7AFDC4A5" w14:textId="4F45CE53"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2F6D9D">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2F4140">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2F4140">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2F4140">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Příprava podkladů pro naplnění číselníků. </w:t>
      </w:r>
    </w:p>
    <w:p w14:paraId="203114EC" w14:textId="158C531A" w:rsidR="004F1566" w:rsidRPr="00B7005F" w:rsidRDefault="00B73604" w:rsidP="002F4140">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Převod personálních dat Zákazníka do Systému. </w:t>
      </w:r>
    </w:p>
    <w:p w14:paraId="746DE167" w14:textId="14D9E737" w:rsidR="00B73604" w:rsidRPr="00B7005F" w:rsidRDefault="00B73604" w:rsidP="002F4140">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Konsolidace převedených dat, zahrnující kontrolu a případné doplnění dat ze strany Zákazníka.</w:t>
      </w:r>
    </w:p>
    <w:p w14:paraId="366D292D" w14:textId="08DB9226"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Předpokládaný termín připravenosti Systému pro duplicitní zpracování mezd je do </w:t>
      </w:r>
      <w:r w:rsidRPr="00097DD2">
        <w:rPr>
          <w:rFonts w:asciiTheme="majorHAnsi" w:hAnsiTheme="majorHAnsi" w:cstheme="majorHAnsi"/>
          <w:color w:val="0D0D0D" w:themeColor="text1" w:themeTint="F2"/>
        </w:rPr>
        <w:t>15. 1</w:t>
      </w:r>
      <w:r w:rsidR="003E1E67">
        <w:rPr>
          <w:rFonts w:asciiTheme="majorHAnsi" w:hAnsiTheme="majorHAnsi" w:cstheme="majorHAnsi"/>
          <w:color w:val="0D0D0D" w:themeColor="text1" w:themeTint="F2"/>
        </w:rPr>
        <w:t>1</w:t>
      </w:r>
      <w:r w:rsidRPr="00097DD2">
        <w:rPr>
          <w:rFonts w:asciiTheme="majorHAnsi" w:hAnsiTheme="majorHAnsi" w:cstheme="majorHAnsi"/>
          <w:color w:val="0D0D0D" w:themeColor="text1" w:themeTint="F2"/>
        </w:rPr>
        <w:t>. 202</w:t>
      </w:r>
      <w:r w:rsidR="003E1E67">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w:t>
      </w:r>
    </w:p>
    <w:p w14:paraId="14D16776" w14:textId="33898E2E" w:rsidR="00B73604" w:rsidRPr="00B7005F" w:rsidRDefault="00165C14" w:rsidP="00165C14">
      <w:pPr>
        <w:pStyle w:val="Nadpis3"/>
        <w:rPr>
          <w:rFonts w:asciiTheme="majorHAnsi" w:hAnsiTheme="majorHAnsi" w:cstheme="majorHAnsi"/>
          <w:color w:val="0D0D0D" w:themeColor="text1" w:themeTint="F2"/>
        </w:rPr>
      </w:pPr>
      <w:bookmarkStart w:id="26" w:name="_Toc177031222"/>
      <w:r w:rsidRPr="00B7005F">
        <w:rPr>
          <w:rFonts w:asciiTheme="majorHAnsi" w:hAnsiTheme="majorHAnsi" w:cstheme="majorHAnsi"/>
          <w:color w:val="0D0D0D" w:themeColor="text1" w:themeTint="F2"/>
        </w:rPr>
        <w:t>2. ETAPA – PŘÍPRAVA SYSTÉMU PRO OSTRÉ SPUŠTĚNÍ</w:t>
      </w:r>
      <w:bookmarkEnd w:id="26"/>
    </w:p>
    <w:p w14:paraId="3B75CB36" w14:textId="73D65525" w:rsidR="00165C14" w:rsidRPr="00B7005F"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Asistence při duplicitním zpracování mezd za měsíce </w:t>
      </w:r>
      <w:r w:rsidR="003E1E67">
        <w:rPr>
          <w:rFonts w:asciiTheme="majorHAnsi" w:hAnsiTheme="majorHAnsi" w:cstheme="majorHAnsi"/>
          <w:color w:val="0D0D0D" w:themeColor="text1" w:themeTint="F2"/>
        </w:rPr>
        <w:t>říjen</w:t>
      </w:r>
      <w:r w:rsidR="00097DD2">
        <w:rPr>
          <w:rFonts w:asciiTheme="majorHAnsi" w:hAnsiTheme="majorHAnsi" w:cstheme="majorHAnsi"/>
          <w:color w:val="0D0D0D" w:themeColor="text1" w:themeTint="F2"/>
        </w:rPr>
        <w:t xml:space="preserve">, </w:t>
      </w:r>
      <w:r w:rsidR="003E1E67">
        <w:rPr>
          <w:rFonts w:asciiTheme="majorHAnsi" w:hAnsiTheme="majorHAnsi" w:cstheme="majorHAnsi"/>
          <w:color w:val="0D0D0D" w:themeColor="text1" w:themeTint="F2"/>
        </w:rPr>
        <w:t>listopad</w:t>
      </w:r>
      <w:r w:rsidR="00097DD2">
        <w:rPr>
          <w:rFonts w:asciiTheme="majorHAnsi" w:hAnsiTheme="majorHAnsi" w:cstheme="majorHAnsi"/>
          <w:color w:val="0D0D0D" w:themeColor="text1" w:themeTint="F2"/>
        </w:rPr>
        <w:t xml:space="preserve">, </w:t>
      </w:r>
      <w:r w:rsidR="003E1E67">
        <w:rPr>
          <w:rFonts w:asciiTheme="majorHAnsi" w:hAnsiTheme="majorHAnsi" w:cstheme="majorHAnsi"/>
          <w:color w:val="0D0D0D" w:themeColor="text1" w:themeTint="F2"/>
        </w:rPr>
        <w:t>prosinec</w:t>
      </w:r>
      <w:r w:rsidRPr="00B7005F">
        <w:rPr>
          <w:rFonts w:asciiTheme="majorHAnsi" w:hAnsiTheme="majorHAnsi" w:cstheme="majorHAnsi"/>
          <w:color w:val="0D0D0D" w:themeColor="text1" w:themeTint="F2"/>
        </w:rPr>
        <w:t xml:space="preserve"> </w:t>
      </w:r>
      <w:r w:rsidR="00097DD2">
        <w:rPr>
          <w:rFonts w:asciiTheme="majorHAnsi" w:hAnsiTheme="majorHAnsi" w:cstheme="majorHAnsi"/>
          <w:color w:val="0D0D0D" w:themeColor="text1" w:themeTint="F2"/>
        </w:rPr>
        <w:t xml:space="preserve">2024 </w:t>
      </w:r>
      <w:r w:rsidRPr="00B7005F">
        <w:rPr>
          <w:rFonts w:asciiTheme="majorHAnsi" w:hAnsiTheme="majorHAnsi" w:cstheme="majorHAnsi"/>
          <w:color w:val="0D0D0D" w:themeColor="text1" w:themeTint="F2"/>
        </w:rPr>
        <w:t xml:space="preserve">a doladění nastavení Systému. </w:t>
      </w:r>
    </w:p>
    <w:p w14:paraId="253AD3F3" w14:textId="7361F3E7" w:rsidR="00165C14" w:rsidRPr="00B7005F"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582DD81E" w14:textId="629FF4A8" w:rsidR="00165C14"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Nastavení personálního modulu systému PERM 3. </w:t>
      </w:r>
    </w:p>
    <w:p w14:paraId="40E2A9FC" w14:textId="222C0B07" w:rsidR="00165C14" w:rsidRPr="00B7005F"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Zákazníka v používání Systému. </w:t>
      </w:r>
    </w:p>
    <w:p w14:paraId="407AD19D" w14:textId="4EF578C2" w:rsidR="00B73604" w:rsidRPr="00B7005F" w:rsidRDefault="00B73604" w:rsidP="002F4140">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Dohled nad zpracováním první rutinní uzávěrky mezd.</w:t>
      </w:r>
    </w:p>
    <w:p w14:paraId="42C85345" w14:textId="77777777"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p>
    <w:p w14:paraId="43DEADF3" w14:textId="20F52E40" w:rsidR="003E1E67" w:rsidRDefault="00B73604"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Termín </w:t>
      </w:r>
      <w:r w:rsidR="00E31504">
        <w:rPr>
          <w:rFonts w:asciiTheme="majorHAnsi" w:hAnsiTheme="majorHAnsi" w:cstheme="majorHAnsi"/>
          <w:color w:val="0D0D0D" w:themeColor="text1" w:themeTint="F2"/>
        </w:rPr>
        <w:t>připravenosti</w:t>
      </w:r>
      <w:r w:rsidRPr="00B7005F">
        <w:rPr>
          <w:rFonts w:asciiTheme="majorHAnsi" w:hAnsiTheme="majorHAnsi" w:cstheme="majorHAnsi"/>
          <w:color w:val="0D0D0D" w:themeColor="text1" w:themeTint="F2"/>
        </w:rPr>
        <w:t xml:space="preserve"> Systému </w:t>
      </w:r>
      <w:r w:rsidR="00E31504">
        <w:rPr>
          <w:rFonts w:asciiTheme="majorHAnsi" w:hAnsiTheme="majorHAnsi" w:cstheme="majorHAnsi"/>
          <w:color w:val="0D0D0D" w:themeColor="text1" w:themeTint="F2"/>
        </w:rPr>
        <w:t>k</w:t>
      </w:r>
      <w:r w:rsidRPr="00B7005F">
        <w:rPr>
          <w:rFonts w:asciiTheme="majorHAnsi" w:hAnsiTheme="majorHAnsi" w:cstheme="majorHAnsi"/>
          <w:color w:val="0D0D0D" w:themeColor="text1" w:themeTint="F2"/>
        </w:rPr>
        <w:t xml:space="preserve"> ostré</w:t>
      </w:r>
      <w:r w:rsidR="00E31504">
        <w:rPr>
          <w:rFonts w:asciiTheme="majorHAnsi" w:hAnsiTheme="majorHAnsi" w:cstheme="majorHAnsi"/>
          <w:color w:val="0D0D0D" w:themeColor="text1" w:themeTint="F2"/>
        </w:rPr>
        <w:t>mu</w:t>
      </w:r>
      <w:r w:rsidRPr="00B7005F">
        <w:rPr>
          <w:rFonts w:asciiTheme="majorHAnsi" w:hAnsiTheme="majorHAnsi" w:cstheme="majorHAnsi"/>
          <w:color w:val="0D0D0D" w:themeColor="text1" w:themeTint="F2"/>
        </w:rPr>
        <w:t xml:space="preserve"> provozu je nejpozději do </w:t>
      </w:r>
      <w:r w:rsidR="00A27B55">
        <w:rPr>
          <w:rFonts w:asciiTheme="majorHAnsi" w:hAnsiTheme="majorHAnsi" w:cstheme="majorHAnsi"/>
          <w:color w:val="0D0D0D" w:themeColor="text1" w:themeTint="F2"/>
        </w:rPr>
        <w:t xml:space="preserve">1. </w:t>
      </w:r>
      <w:r w:rsidR="003E1E67">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w:t>
      </w:r>
      <w:r w:rsidR="00A27B55">
        <w:rPr>
          <w:rFonts w:asciiTheme="majorHAnsi" w:hAnsiTheme="majorHAnsi" w:cstheme="majorHAnsi"/>
          <w:color w:val="0D0D0D" w:themeColor="text1" w:themeTint="F2"/>
        </w:rPr>
        <w:t xml:space="preserve"> 202</w:t>
      </w:r>
      <w:r w:rsidR="003E1E67">
        <w:rPr>
          <w:rFonts w:asciiTheme="majorHAnsi" w:hAnsiTheme="majorHAnsi" w:cstheme="majorHAnsi"/>
          <w:color w:val="0D0D0D" w:themeColor="text1" w:themeTint="F2"/>
        </w:rPr>
        <w:t>5</w:t>
      </w:r>
    </w:p>
    <w:p w14:paraId="55CE33EA" w14:textId="27F9B3E5" w:rsidR="003E3A75" w:rsidRDefault="003E1E67"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Termín první samostatné mzdové uzávěrky: únor 2025 (mzdy za leden 2025)</w:t>
      </w:r>
      <w:r w:rsidR="00B73604" w:rsidRPr="00B7005F">
        <w:rPr>
          <w:rFonts w:asciiTheme="majorHAnsi" w:hAnsiTheme="majorHAnsi" w:cstheme="majorHAnsi"/>
          <w:color w:val="0D0D0D" w:themeColor="text1" w:themeTint="F2"/>
        </w:rPr>
        <w:t xml:space="preserve"> </w:t>
      </w:r>
    </w:p>
    <w:p w14:paraId="7EDB94DE" w14:textId="3516FED0" w:rsidR="0064658E" w:rsidRPr="00B7005F" w:rsidRDefault="003E3A75"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bookmarkStart w:id="27" w:name="_Toc177031223"/>
      <w:r w:rsidRPr="00B7005F">
        <w:rPr>
          <w:b w:val="0"/>
          <w:bCs w:val="0"/>
          <w:color w:val="0D0D0D" w:themeColor="text1" w:themeTint="F2"/>
        </w:rPr>
        <w:t>PŘEDÁVÁNÍ SYSTÉMU</w:t>
      </w:r>
      <w:bookmarkEnd w:id="27"/>
    </w:p>
    <w:p w14:paraId="22B40C24" w14:textId="7B11B8BD" w:rsidR="0064658E" w:rsidRPr="00B7005F" w:rsidRDefault="0064658E" w:rsidP="0064658E">
      <w:pPr>
        <w:pStyle w:val="Nadpis3"/>
        <w:rPr>
          <w:rFonts w:asciiTheme="majorHAnsi" w:hAnsiTheme="majorHAnsi" w:cstheme="majorHAnsi"/>
          <w:color w:val="0D0D0D" w:themeColor="text1" w:themeTint="F2"/>
        </w:rPr>
      </w:pPr>
      <w:bookmarkStart w:id="28" w:name="_Toc177031224"/>
      <w:r w:rsidRPr="00B7005F">
        <w:rPr>
          <w:rFonts w:asciiTheme="majorHAnsi" w:hAnsiTheme="majorHAnsi" w:cstheme="majorHAnsi"/>
          <w:color w:val="0D0D0D" w:themeColor="text1" w:themeTint="F2"/>
        </w:rPr>
        <w:t>FUNKČNÍ ČÁSTI SYSTÉMU</w:t>
      </w:r>
      <w:bookmarkEnd w:id="28"/>
    </w:p>
    <w:p w14:paraId="70427CF1" w14:textId="77777777"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Systém bude Zákazníkovi předáván po následujících funkčních částech:</w:t>
      </w:r>
    </w:p>
    <w:p w14:paraId="41C02EC6" w14:textId="01544C5B" w:rsidR="0064658E" w:rsidRPr="00B7005F" w:rsidRDefault="0064658E" w:rsidP="002F4140">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Mzdový modul – zahrnuje </w:t>
      </w:r>
      <w:r w:rsidR="000D780F">
        <w:rPr>
          <w:rFonts w:asciiTheme="majorHAnsi" w:hAnsiTheme="majorHAnsi" w:cstheme="majorHAnsi"/>
          <w:color w:val="0D0D0D" w:themeColor="text1" w:themeTint="F2"/>
        </w:rPr>
        <w:t xml:space="preserve">mzdovou personalistiku, </w:t>
      </w:r>
      <w:r w:rsidRPr="00B7005F">
        <w:rPr>
          <w:rFonts w:asciiTheme="majorHAnsi" w:hAnsiTheme="majorHAnsi" w:cstheme="majorHAnsi"/>
          <w:color w:val="0D0D0D" w:themeColor="text1" w:themeTint="F2"/>
        </w:rPr>
        <w:t>zpracování mezd, výpočet mzdových položek</w:t>
      </w:r>
      <w:r w:rsidR="000D780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generování </w:t>
      </w:r>
      <w:r w:rsidR="000D780F">
        <w:rPr>
          <w:rFonts w:asciiTheme="majorHAnsi" w:hAnsiTheme="majorHAnsi" w:cstheme="majorHAnsi"/>
          <w:color w:val="0D0D0D" w:themeColor="text1" w:themeTint="F2"/>
        </w:rPr>
        <w:t xml:space="preserve">a odesílání </w:t>
      </w:r>
      <w:r w:rsidRPr="00B7005F">
        <w:rPr>
          <w:rFonts w:asciiTheme="majorHAnsi" w:hAnsiTheme="majorHAnsi" w:cstheme="majorHAnsi"/>
          <w:color w:val="0D0D0D" w:themeColor="text1" w:themeTint="F2"/>
        </w:rPr>
        <w:t>výplatních pásek</w:t>
      </w:r>
      <w:r w:rsidR="000D780F">
        <w:rPr>
          <w:rFonts w:asciiTheme="majorHAnsi" w:hAnsiTheme="majorHAnsi" w:cstheme="majorHAnsi"/>
          <w:color w:val="0D0D0D" w:themeColor="text1" w:themeTint="F2"/>
        </w:rPr>
        <w:t xml:space="preserve">, </w:t>
      </w:r>
      <w:r w:rsidR="000D780F" w:rsidRPr="00B7005F">
        <w:rPr>
          <w:rFonts w:asciiTheme="majorHAnsi" w:hAnsiTheme="majorHAnsi" w:cstheme="majorHAnsi"/>
          <w:color w:val="0D0D0D" w:themeColor="text1" w:themeTint="F2"/>
        </w:rPr>
        <w:t>nastavení importních/exportních formátů pro banky, zdravotní pojišťovny, ČSSZ a finanční úřad</w:t>
      </w:r>
      <w:r w:rsidRPr="00B7005F">
        <w:rPr>
          <w:rFonts w:asciiTheme="majorHAnsi" w:hAnsiTheme="majorHAnsi" w:cstheme="majorHAnsi"/>
          <w:color w:val="0D0D0D" w:themeColor="text1" w:themeTint="F2"/>
        </w:rPr>
        <w:t>.</w:t>
      </w:r>
    </w:p>
    <w:p w14:paraId="04CF3A46" w14:textId="4B0DFBCC" w:rsidR="0064658E" w:rsidRPr="00B7005F" w:rsidRDefault="0064658E" w:rsidP="002F4140">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Personální modul – zahrnuje evidenci </w:t>
      </w:r>
      <w:r w:rsidR="000D780F">
        <w:rPr>
          <w:rFonts w:asciiTheme="majorHAnsi" w:hAnsiTheme="majorHAnsi" w:cstheme="majorHAnsi"/>
          <w:color w:val="0D0D0D" w:themeColor="text1" w:themeTint="F2"/>
        </w:rPr>
        <w:t xml:space="preserve">personálních agend u </w:t>
      </w:r>
      <w:r w:rsidRPr="00B7005F">
        <w:rPr>
          <w:rFonts w:asciiTheme="majorHAnsi" w:hAnsiTheme="majorHAnsi" w:cstheme="majorHAnsi"/>
          <w:color w:val="0D0D0D" w:themeColor="text1" w:themeTint="F2"/>
        </w:rPr>
        <w:t>zaměstnanců</w:t>
      </w:r>
      <w:r w:rsidR="00DD6EA3">
        <w:rPr>
          <w:rFonts w:asciiTheme="majorHAnsi" w:hAnsiTheme="majorHAnsi" w:cstheme="majorHAnsi"/>
          <w:color w:val="0D0D0D" w:themeColor="text1" w:themeTint="F2"/>
        </w:rPr>
        <w:t xml:space="preserve"> </w:t>
      </w:r>
      <w:r w:rsidR="00D37C6F">
        <w:rPr>
          <w:rFonts w:asciiTheme="majorHAnsi" w:hAnsiTheme="majorHAnsi" w:cstheme="majorHAnsi"/>
          <w:color w:val="0D0D0D" w:themeColor="text1" w:themeTint="F2"/>
        </w:rPr>
        <w:t>(</w:t>
      </w:r>
      <w:r w:rsidR="00D37C6F" w:rsidRPr="008D27E2">
        <w:rPr>
          <w:rFonts w:asciiTheme="majorHAnsi" w:hAnsiTheme="majorHAnsi" w:cstheme="majorHAnsi"/>
          <w:color w:val="0D0D0D" w:themeColor="text1" w:themeTint="F2"/>
        </w:rPr>
        <w:t>školení, dovednosti, lékařské prohlídky, svěřené věci, ochranné prostředky</w:t>
      </w:r>
      <w:r w:rsidR="00D37C6F">
        <w:rPr>
          <w:rFonts w:asciiTheme="majorHAnsi" w:hAnsiTheme="majorHAnsi" w:cstheme="majorHAnsi"/>
          <w:color w:val="0D0D0D" w:themeColor="text1" w:themeTint="F2"/>
        </w:rPr>
        <w:t>, smlouvy</w:t>
      </w:r>
      <w:r w:rsidR="00D37C6F" w:rsidRPr="008D27E2">
        <w:rPr>
          <w:rFonts w:asciiTheme="majorHAnsi" w:hAnsiTheme="majorHAnsi" w:cstheme="majorHAnsi"/>
          <w:color w:val="0D0D0D" w:themeColor="text1" w:themeTint="F2"/>
        </w:rPr>
        <w:t xml:space="preserve"> a benefity</w:t>
      </w:r>
      <w:r w:rsidR="005A5444">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w:t>
      </w:r>
    </w:p>
    <w:p w14:paraId="6DBE53F7" w14:textId="4284BC18" w:rsidR="0064658E" w:rsidRPr="00B7005F" w:rsidRDefault="00084C7D" w:rsidP="00084C7D">
      <w:pPr>
        <w:pStyle w:val="Nadpis3"/>
        <w:rPr>
          <w:rFonts w:asciiTheme="majorHAnsi" w:hAnsiTheme="majorHAnsi" w:cstheme="majorHAnsi"/>
          <w:color w:val="0D0D0D" w:themeColor="text1" w:themeTint="F2"/>
        </w:rPr>
      </w:pPr>
      <w:bookmarkStart w:id="29" w:name="_Toc177031225"/>
      <w:r w:rsidRPr="00B7005F">
        <w:rPr>
          <w:rFonts w:asciiTheme="majorHAnsi" w:hAnsiTheme="majorHAnsi" w:cstheme="majorHAnsi"/>
          <w:color w:val="0D0D0D" w:themeColor="text1" w:themeTint="F2"/>
        </w:rPr>
        <w:t>TESTOVÁNÍ FUNKČNÍCH ČÁSTÍ</w:t>
      </w:r>
      <w:bookmarkEnd w:id="29"/>
    </w:p>
    <w:p w14:paraId="4A1C31FC" w14:textId="77777777" w:rsidR="00290DC2"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Zákazník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695EE06F" w14:textId="61AD465E" w:rsidR="00290DC2" w:rsidRPr="00B7005F" w:rsidRDefault="00290DC2" w:rsidP="002F4140">
      <w:pPr>
        <w:pStyle w:val="Odstavecseseznamem"/>
        <w:numPr>
          <w:ilvl w:val="0"/>
          <w:numId w:val="1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Mzdový modul – </w:t>
      </w:r>
      <w:r>
        <w:rPr>
          <w:rFonts w:asciiTheme="majorHAnsi" w:hAnsiTheme="majorHAnsi" w:cstheme="majorHAnsi"/>
          <w:color w:val="0D0D0D" w:themeColor="text1" w:themeTint="F2"/>
        </w:rPr>
        <w:t>v rámci etapy duplicitního zpracování mezd</w:t>
      </w:r>
      <w:r w:rsidRPr="00B7005F">
        <w:rPr>
          <w:rFonts w:asciiTheme="majorHAnsi" w:hAnsiTheme="majorHAnsi" w:cstheme="majorHAnsi"/>
          <w:color w:val="0D0D0D" w:themeColor="text1" w:themeTint="F2"/>
        </w:rPr>
        <w:t>.</w:t>
      </w:r>
    </w:p>
    <w:p w14:paraId="77D4F363" w14:textId="6F1DB155" w:rsidR="00290DC2" w:rsidRPr="00B7005F" w:rsidRDefault="00290DC2" w:rsidP="002F4140">
      <w:pPr>
        <w:pStyle w:val="Odstavecseseznamem"/>
        <w:numPr>
          <w:ilvl w:val="0"/>
          <w:numId w:val="1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Personální modul – </w:t>
      </w:r>
      <w:r>
        <w:rPr>
          <w:rFonts w:asciiTheme="majorHAnsi" w:hAnsiTheme="majorHAnsi" w:cstheme="majorHAnsi"/>
          <w:color w:val="0D0D0D" w:themeColor="text1" w:themeTint="F2"/>
        </w:rPr>
        <w:t>v rámci etapy duplicitního zpracování mezd</w:t>
      </w:r>
      <w:r w:rsidRPr="00B7005F">
        <w:rPr>
          <w:rFonts w:asciiTheme="majorHAnsi" w:hAnsiTheme="majorHAnsi" w:cstheme="majorHAnsi"/>
          <w:color w:val="0D0D0D" w:themeColor="text1" w:themeTint="F2"/>
        </w:rPr>
        <w:t>.</w:t>
      </w:r>
    </w:p>
    <w:p w14:paraId="47F0E66D" w14:textId="0F67D13A" w:rsidR="00290DC2" w:rsidRDefault="00290DC2"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w:t>
      </w:r>
      <w:r w:rsidR="0048671F">
        <w:rPr>
          <w:rFonts w:asciiTheme="majorHAnsi" w:hAnsiTheme="majorHAnsi" w:cstheme="majorHAnsi"/>
          <w:color w:val="0D0D0D" w:themeColor="text1" w:themeTint="F2"/>
        </w:rPr>
        <w:t>vady</w:t>
      </w:r>
      <w:r w:rsidR="0064658E" w:rsidRPr="00B7005F">
        <w:rPr>
          <w:rFonts w:asciiTheme="majorHAnsi" w:hAnsiTheme="majorHAnsi" w:cstheme="majorHAnsi"/>
          <w:color w:val="0D0D0D" w:themeColor="text1" w:themeTint="F2"/>
        </w:rPr>
        <w:t xml:space="preserve"> nebo připomínky k funkčnosti </w:t>
      </w:r>
      <w:r w:rsidR="0048671F">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Odběratel ozn</w:t>
      </w:r>
      <w:r w:rsidR="0048671F">
        <w:rPr>
          <w:rFonts w:asciiTheme="majorHAnsi" w:hAnsiTheme="majorHAnsi" w:cstheme="majorHAnsi"/>
          <w:color w:val="0D0D0D" w:themeColor="text1" w:themeTint="F2"/>
        </w:rPr>
        <w:t>a</w:t>
      </w:r>
      <w:r>
        <w:rPr>
          <w:rFonts w:asciiTheme="majorHAnsi" w:hAnsiTheme="majorHAnsi" w:cstheme="majorHAnsi"/>
          <w:color w:val="0D0D0D" w:themeColor="text1" w:themeTint="F2"/>
        </w:rPr>
        <w:t>m</w:t>
      </w:r>
      <w:r w:rsidR="0048671F">
        <w:rPr>
          <w:rFonts w:asciiTheme="majorHAnsi" w:hAnsiTheme="majorHAnsi" w:cstheme="majorHAnsi"/>
          <w:color w:val="0D0D0D" w:themeColor="text1" w:themeTint="F2"/>
        </w:rPr>
        <w:t xml:space="preserve">uje průběžně </w:t>
      </w:r>
      <w:r w:rsidRPr="00B7005F">
        <w:rPr>
          <w:rFonts w:asciiTheme="majorHAnsi" w:hAnsiTheme="majorHAnsi" w:cstheme="majorHAnsi"/>
          <w:color w:val="0D0D0D" w:themeColor="text1" w:themeTint="F2"/>
        </w:rPr>
        <w:t>bez zbytečného odkladu Dodavateli</w:t>
      </w:r>
      <w:r>
        <w:rPr>
          <w:rFonts w:asciiTheme="majorHAnsi" w:hAnsiTheme="majorHAnsi" w:cstheme="majorHAnsi"/>
          <w:color w:val="0D0D0D" w:themeColor="text1" w:themeTint="F2"/>
        </w:rPr>
        <w:t>.</w:t>
      </w:r>
    </w:p>
    <w:p w14:paraId="37E80AD7" w14:textId="7A2BDFE0" w:rsidR="00F34839" w:rsidRDefault="00290DC2" w:rsidP="00F34839">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0D6D29">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lastRenderedPageBreak/>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bookmarkStart w:id="30" w:name="_Toc177031226"/>
      <w:r w:rsidRPr="00B7005F">
        <w:rPr>
          <w:rFonts w:asciiTheme="majorHAnsi" w:hAnsiTheme="majorHAnsi" w:cstheme="majorHAnsi"/>
          <w:color w:val="0D0D0D" w:themeColor="text1" w:themeTint="F2"/>
        </w:rPr>
        <w:t>PŘEDÁVACÍ PROTOKOL</w:t>
      </w:r>
      <w:bookmarkEnd w:id="30"/>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2F4140">
      <w:pPr>
        <w:pStyle w:val="Odstavecseseznamem"/>
        <w:numPr>
          <w:ilvl w:val="0"/>
          <w:numId w:val="10"/>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2F4140">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77777777" w:rsidR="00F34839" w:rsidRPr="00B7005F" w:rsidRDefault="00F34839" w:rsidP="002F4140">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případné připomínky Zákazníka.</w:t>
      </w:r>
    </w:p>
    <w:p w14:paraId="25D3189F" w14:textId="11E7FC2B" w:rsidR="0064658E" w:rsidRPr="00B7005F" w:rsidRDefault="00F34839"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2362F149" w14:textId="77777777" w:rsidR="004F38E4" w:rsidRPr="00B7005F" w:rsidRDefault="000A64AC" w:rsidP="00B73604">
      <w:pPr>
        <w:pStyle w:val="Nadpis1"/>
        <w:rPr>
          <w:b w:val="0"/>
          <w:bCs w:val="0"/>
          <w:color w:val="0D0D0D" w:themeColor="text1" w:themeTint="F2"/>
        </w:rPr>
      </w:pPr>
      <w:bookmarkStart w:id="31" w:name="_Toc177031227"/>
      <w:r w:rsidRPr="00B7005F">
        <w:rPr>
          <w:b w:val="0"/>
          <w:bCs w:val="0"/>
          <w:color w:val="0D0D0D" w:themeColor="text1" w:themeTint="F2"/>
        </w:rPr>
        <w:t>CENOVÁ A PLATEBNÍ UJEDNÁNÍ</w:t>
      </w:r>
      <w:bookmarkEnd w:id="31"/>
    </w:p>
    <w:p w14:paraId="25CF37D1" w14:textId="1C400A28" w:rsidR="004F38E4" w:rsidRPr="00B7005F" w:rsidRDefault="00436EDE" w:rsidP="003D4840">
      <w:pPr>
        <w:pStyle w:val="Nadpis2"/>
        <w:rPr>
          <w:b w:val="0"/>
          <w:bCs w:val="0"/>
          <w:color w:val="0D0D0D" w:themeColor="text1" w:themeTint="F2"/>
        </w:rPr>
      </w:pPr>
      <w:bookmarkStart w:id="32" w:name="_Toc177031228"/>
      <w:r w:rsidRPr="00B7005F">
        <w:rPr>
          <w:b w:val="0"/>
          <w:bCs w:val="0"/>
          <w:color w:val="0D0D0D" w:themeColor="text1" w:themeTint="F2"/>
        </w:rPr>
        <w:t>CENA IMPLEMENTACE SYSTÉMU PERM 3</w:t>
      </w:r>
      <w:bookmarkEnd w:id="32"/>
      <w:r w:rsidRPr="00B7005F">
        <w:rPr>
          <w:b w:val="0"/>
          <w:bCs w:val="0"/>
          <w:color w:val="0D0D0D" w:themeColor="text1" w:themeTint="F2"/>
        </w:rPr>
        <w:t xml:space="preserve">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7225"/>
        <w:gridCol w:w="1837"/>
      </w:tblGrid>
      <w:tr w:rsidR="00EB6D43" w:rsidRPr="00B7005F" w14:paraId="62D6A822" w14:textId="77777777" w:rsidTr="00EB6D43">
        <w:tc>
          <w:tcPr>
            <w:tcW w:w="7225" w:type="dxa"/>
            <w:shd w:val="clear" w:color="auto" w:fill="767171" w:themeFill="background2" w:themeFillShade="80"/>
          </w:tcPr>
          <w:p w14:paraId="3136CC7B" w14:textId="445F9510" w:rsidR="00B1437C" w:rsidRPr="00B7005F" w:rsidRDefault="002A1638" w:rsidP="00CE6362">
            <w:pPr>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1837" w:type="dxa"/>
            <w:shd w:val="clear" w:color="auto" w:fill="767171" w:themeFill="background2" w:themeFillShade="80"/>
          </w:tcPr>
          <w:p w14:paraId="1E4F4A00" w14:textId="700D39CB" w:rsidR="00B1437C" w:rsidRPr="00B7005F" w:rsidRDefault="00B1437C" w:rsidP="00CE6362">
            <w:pPr>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09ED797A" w14:textId="77777777" w:rsidTr="00A27B55">
        <w:tc>
          <w:tcPr>
            <w:tcW w:w="7225" w:type="dxa"/>
          </w:tcPr>
          <w:p w14:paraId="2ED47218" w14:textId="77777777" w:rsidR="00B1437C" w:rsidRPr="00B7005F" w:rsidRDefault="00B1437C" w:rsidP="00EB6D43">
            <w:pPr>
              <w:pStyle w:val="Nadpis3"/>
              <w:spacing w:before="120"/>
              <w:outlineLvl w:val="2"/>
              <w:rPr>
                <w:rFonts w:asciiTheme="majorHAnsi" w:hAnsiTheme="majorHAnsi" w:cstheme="majorHAnsi"/>
                <w:color w:val="0D0D0D" w:themeColor="text1" w:themeTint="F2"/>
              </w:rPr>
            </w:pPr>
            <w:bookmarkStart w:id="33" w:name="_Toc177031229"/>
            <w:r w:rsidRPr="00B7005F">
              <w:rPr>
                <w:rFonts w:asciiTheme="majorHAnsi" w:hAnsiTheme="majorHAnsi" w:cstheme="majorHAnsi"/>
                <w:color w:val="0D0D0D" w:themeColor="text1" w:themeTint="F2"/>
              </w:rPr>
              <w:t>Cena implementace mzdového modulu PERM 3</w:t>
            </w:r>
            <w:bookmarkEnd w:id="33"/>
          </w:p>
          <w:p w14:paraId="5FFCFACA" w14:textId="3B39135E" w:rsidR="00B1437C" w:rsidRPr="00B7005F" w:rsidRDefault="006360B4" w:rsidP="006360B4">
            <w:pPr>
              <w:spacing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00B1437C" w:rsidRPr="00B7005F">
              <w:rPr>
                <w:rFonts w:asciiTheme="majorHAnsi" w:eastAsia="Calibri Light" w:hAnsiTheme="majorHAnsi" w:cstheme="majorHAnsi"/>
                <w:color w:val="0D0D0D" w:themeColor="text1" w:themeTint="F2"/>
                <w:spacing w:val="2"/>
              </w:rPr>
              <w:t xml:space="preserve"> </w:t>
            </w:r>
            <w:r w:rsidR="00B1437C" w:rsidRPr="00B7005F">
              <w:rPr>
                <w:rFonts w:asciiTheme="majorHAnsi" w:eastAsia="Calibri Light" w:hAnsiTheme="majorHAnsi" w:cstheme="majorHAnsi"/>
                <w:color w:val="0D0D0D" w:themeColor="text1" w:themeTint="F2"/>
                <w:spacing w:val="-2"/>
              </w:rPr>
              <w:t>r</w:t>
            </w:r>
            <w:r w:rsidR="00B1437C" w:rsidRPr="00B7005F">
              <w:rPr>
                <w:rFonts w:asciiTheme="majorHAnsi" w:eastAsia="Calibri Light" w:hAnsiTheme="majorHAnsi" w:cstheme="majorHAnsi"/>
                <w:color w:val="0D0D0D" w:themeColor="text1" w:themeTint="F2"/>
              </w:rPr>
              <w:t>ozsa</w:t>
            </w:r>
            <w:r w:rsidR="00B1437C" w:rsidRPr="00B7005F">
              <w:rPr>
                <w:rFonts w:asciiTheme="majorHAnsi" w:eastAsia="Calibri Light" w:hAnsiTheme="majorHAnsi" w:cstheme="majorHAnsi"/>
                <w:color w:val="0D0D0D" w:themeColor="text1" w:themeTint="F2"/>
                <w:spacing w:val="-2"/>
              </w:rPr>
              <w:t>h</w:t>
            </w:r>
            <w:r w:rsidR="00B1437C" w:rsidRPr="00B7005F">
              <w:rPr>
                <w:rFonts w:asciiTheme="majorHAnsi" w:eastAsia="Calibri Light" w:hAnsiTheme="majorHAnsi" w:cstheme="majorHAnsi"/>
                <w:color w:val="0D0D0D" w:themeColor="text1" w:themeTint="F2"/>
              </w:rPr>
              <w:t>u:</w:t>
            </w:r>
            <w:r w:rsidR="00B1437C" w:rsidRPr="00B7005F">
              <w:rPr>
                <w:rFonts w:asciiTheme="majorHAnsi" w:eastAsia="Calibri Light" w:hAnsiTheme="majorHAnsi" w:cstheme="majorHAnsi"/>
                <w:color w:val="0D0D0D" w:themeColor="text1" w:themeTint="F2"/>
                <w:spacing w:val="1"/>
              </w:rPr>
              <w:t xml:space="preserve"> </w:t>
            </w:r>
            <w:r w:rsidR="00A27B55">
              <w:rPr>
                <w:rFonts w:asciiTheme="majorHAnsi" w:eastAsia="Calibri Light" w:hAnsiTheme="majorHAnsi" w:cstheme="majorHAnsi"/>
                <w:color w:val="0D0D0D" w:themeColor="text1" w:themeTint="F2"/>
                <w:spacing w:val="1"/>
              </w:rPr>
              <w:t xml:space="preserve">1 </w:t>
            </w:r>
            <w:r w:rsidR="00B1437C" w:rsidRPr="00B7005F">
              <w:rPr>
                <w:rFonts w:asciiTheme="majorHAnsi" w:eastAsia="Calibri Light" w:hAnsiTheme="majorHAnsi" w:cstheme="majorHAnsi"/>
                <w:color w:val="0D0D0D" w:themeColor="text1" w:themeTint="F2"/>
              </w:rPr>
              <w:t>x da</w:t>
            </w:r>
            <w:r w:rsidR="00B1437C" w:rsidRPr="00B7005F">
              <w:rPr>
                <w:rFonts w:asciiTheme="majorHAnsi" w:eastAsia="Calibri Light" w:hAnsiTheme="majorHAnsi" w:cstheme="majorHAnsi"/>
                <w:color w:val="0D0D0D" w:themeColor="text1" w:themeTint="F2"/>
                <w:spacing w:val="-1"/>
              </w:rPr>
              <w:t>ta</w:t>
            </w:r>
            <w:r w:rsidR="00B1437C" w:rsidRPr="00B7005F">
              <w:rPr>
                <w:rFonts w:asciiTheme="majorHAnsi" w:eastAsia="Calibri Light" w:hAnsiTheme="majorHAnsi" w:cstheme="majorHAnsi"/>
                <w:color w:val="0D0D0D" w:themeColor="text1" w:themeTint="F2"/>
              </w:rPr>
              <w:t>bá</w:t>
            </w:r>
            <w:r w:rsidR="00B1437C" w:rsidRPr="00B7005F">
              <w:rPr>
                <w:rFonts w:asciiTheme="majorHAnsi" w:eastAsia="Calibri Light" w:hAnsiTheme="majorHAnsi" w:cstheme="majorHAnsi"/>
                <w:color w:val="0D0D0D" w:themeColor="text1" w:themeTint="F2"/>
                <w:spacing w:val="-3"/>
              </w:rPr>
              <w:t>z</w:t>
            </w:r>
            <w:r w:rsidR="00B1437C" w:rsidRPr="00B7005F">
              <w:rPr>
                <w:rFonts w:asciiTheme="majorHAnsi" w:eastAsia="Calibri Light" w:hAnsiTheme="majorHAnsi" w:cstheme="majorHAnsi"/>
                <w:color w:val="0D0D0D" w:themeColor="text1" w:themeTint="F2"/>
              </w:rPr>
              <w:t>e</w:t>
            </w:r>
            <w:r w:rsidR="00B1437C" w:rsidRPr="00B7005F">
              <w:rPr>
                <w:rFonts w:asciiTheme="majorHAnsi" w:eastAsia="Calibri Light" w:hAnsiTheme="majorHAnsi" w:cstheme="majorHAnsi"/>
                <w:color w:val="0D0D0D" w:themeColor="text1" w:themeTint="F2"/>
                <w:spacing w:val="3"/>
              </w:rPr>
              <w:t xml:space="preserve"> </w:t>
            </w:r>
            <w:r w:rsidR="00B1437C" w:rsidRPr="00B7005F">
              <w:rPr>
                <w:rFonts w:asciiTheme="majorHAnsi" w:eastAsia="Calibri Light" w:hAnsiTheme="majorHAnsi" w:cstheme="majorHAnsi"/>
                <w:color w:val="0D0D0D" w:themeColor="text1" w:themeTint="F2"/>
                <w:spacing w:val="-2"/>
              </w:rPr>
              <w:t>p</w:t>
            </w:r>
            <w:r w:rsidR="00B1437C" w:rsidRPr="00B7005F">
              <w:rPr>
                <w:rFonts w:asciiTheme="majorHAnsi" w:eastAsia="Calibri Light" w:hAnsiTheme="majorHAnsi" w:cstheme="majorHAnsi"/>
                <w:color w:val="0D0D0D" w:themeColor="text1" w:themeTint="F2"/>
              </w:rPr>
              <w:t>ro</w:t>
            </w:r>
            <w:r w:rsidR="00A27B55">
              <w:rPr>
                <w:rFonts w:asciiTheme="majorHAnsi" w:eastAsia="Calibri Light" w:hAnsiTheme="majorHAnsi" w:cstheme="majorHAnsi"/>
                <w:color w:val="0D0D0D" w:themeColor="text1" w:themeTint="F2"/>
              </w:rPr>
              <w:t xml:space="preserve"> 250</w:t>
            </w:r>
            <w:r w:rsidR="00B1437C" w:rsidRPr="00B7005F">
              <w:rPr>
                <w:rFonts w:asciiTheme="majorHAnsi" w:eastAsia="Calibri Light" w:hAnsiTheme="majorHAnsi" w:cstheme="majorHAnsi"/>
                <w:color w:val="0D0D0D" w:themeColor="text1" w:themeTint="F2"/>
                <w:spacing w:val="-1"/>
              </w:rPr>
              <w:t xml:space="preserve"> </w:t>
            </w:r>
            <w:r w:rsidR="00B1437C" w:rsidRPr="00B7005F">
              <w:rPr>
                <w:rFonts w:asciiTheme="majorHAnsi" w:eastAsia="Calibri Light" w:hAnsiTheme="majorHAnsi" w:cstheme="majorHAnsi"/>
                <w:color w:val="0D0D0D" w:themeColor="text1" w:themeTint="F2"/>
              </w:rPr>
              <w:t>osobních čísel,</w:t>
            </w:r>
            <w:r w:rsidR="00B1437C" w:rsidRPr="00B7005F">
              <w:rPr>
                <w:rFonts w:asciiTheme="majorHAnsi" w:eastAsia="Calibri Light" w:hAnsiTheme="majorHAnsi" w:cstheme="majorHAnsi"/>
                <w:color w:val="0D0D0D" w:themeColor="text1" w:themeTint="F2"/>
                <w:spacing w:val="-1"/>
              </w:rPr>
              <w:t xml:space="preserve"> </w:t>
            </w:r>
            <w:r w:rsidR="00A27B55">
              <w:rPr>
                <w:rFonts w:asciiTheme="majorHAnsi" w:eastAsia="Calibri Light" w:hAnsiTheme="majorHAnsi" w:cstheme="majorHAnsi"/>
                <w:color w:val="0D0D0D" w:themeColor="text1" w:themeTint="F2"/>
              </w:rPr>
              <w:t>1</w:t>
            </w:r>
            <w:r w:rsidR="00B1437C" w:rsidRPr="00B7005F">
              <w:rPr>
                <w:rFonts w:asciiTheme="majorHAnsi" w:eastAsia="Calibri Light" w:hAnsiTheme="majorHAnsi" w:cstheme="majorHAnsi"/>
                <w:color w:val="0D0D0D" w:themeColor="text1" w:themeTint="F2"/>
                <w:spacing w:val="-1"/>
              </w:rPr>
              <w:t xml:space="preserve"> </w:t>
            </w:r>
            <w:r w:rsidR="00B1437C" w:rsidRPr="00B7005F">
              <w:rPr>
                <w:rFonts w:asciiTheme="majorHAnsi" w:eastAsia="Calibri Light" w:hAnsiTheme="majorHAnsi" w:cstheme="majorHAnsi"/>
                <w:color w:val="0D0D0D" w:themeColor="text1" w:themeTint="F2"/>
              </w:rPr>
              <w:t>už</w:t>
            </w:r>
            <w:r w:rsidR="00B1437C" w:rsidRPr="00B7005F">
              <w:rPr>
                <w:rFonts w:asciiTheme="majorHAnsi" w:eastAsia="Calibri Light" w:hAnsiTheme="majorHAnsi" w:cstheme="majorHAnsi"/>
                <w:color w:val="0D0D0D" w:themeColor="text1" w:themeTint="F2"/>
                <w:spacing w:val="-1"/>
              </w:rPr>
              <w:t>i</w:t>
            </w:r>
            <w:r w:rsidR="00B1437C" w:rsidRPr="00B7005F">
              <w:rPr>
                <w:rFonts w:asciiTheme="majorHAnsi" w:eastAsia="Calibri Light" w:hAnsiTheme="majorHAnsi" w:cstheme="majorHAnsi"/>
                <w:color w:val="0D0D0D" w:themeColor="text1" w:themeTint="F2"/>
                <w:spacing w:val="1"/>
              </w:rPr>
              <w:t>v</w:t>
            </w:r>
            <w:r w:rsidR="00B1437C" w:rsidRPr="00B7005F">
              <w:rPr>
                <w:rFonts w:asciiTheme="majorHAnsi" w:eastAsia="Calibri Light" w:hAnsiTheme="majorHAnsi" w:cstheme="majorHAnsi"/>
                <w:color w:val="0D0D0D" w:themeColor="text1" w:themeTint="F2"/>
                <w:spacing w:val="-1"/>
              </w:rPr>
              <w:t>a</w:t>
            </w:r>
            <w:r w:rsidR="00B1437C" w:rsidRPr="00B7005F">
              <w:rPr>
                <w:rFonts w:asciiTheme="majorHAnsi" w:eastAsia="Calibri Light" w:hAnsiTheme="majorHAnsi" w:cstheme="majorHAnsi"/>
                <w:color w:val="0D0D0D" w:themeColor="text1" w:themeTint="F2"/>
              </w:rPr>
              <w:t>te</w:t>
            </w:r>
            <w:r w:rsidR="00B1437C" w:rsidRPr="00B7005F">
              <w:rPr>
                <w:rFonts w:asciiTheme="majorHAnsi" w:eastAsia="Calibri Light" w:hAnsiTheme="majorHAnsi" w:cstheme="majorHAnsi"/>
                <w:color w:val="0D0D0D" w:themeColor="text1" w:themeTint="F2"/>
                <w:spacing w:val="-1"/>
              </w:rPr>
              <w:t>l</w:t>
            </w:r>
            <w:r w:rsidR="00B1437C" w:rsidRPr="00B7005F">
              <w:rPr>
                <w:rFonts w:asciiTheme="majorHAnsi" w:eastAsia="Calibri Light" w:hAnsiTheme="majorHAnsi" w:cstheme="majorHAnsi"/>
                <w:color w:val="0D0D0D" w:themeColor="text1" w:themeTint="F2"/>
                <w:spacing w:val="-2"/>
              </w:rPr>
              <w:t>s</w:t>
            </w:r>
            <w:r w:rsidR="00B1437C" w:rsidRPr="00B7005F">
              <w:rPr>
                <w:rFonts w:asciiTheme="majorHAnsi" w:eastAsia="Calibri Light" w:hAnsiTheme="majorHAnsi" w:cstheme="majorHAnsi"/>
                <w:color w:val="0D0D0D" w:themeColor="text1" w:themeTint="F2"/>
                <w:spacing w:val="-1"/>
              </w:rPr>
              <w:t>k</w:t>
            </w:r>
            <w:r w:rsidR="00B1437C" w:rsidRPr="00B7005F">
              <w:rPr>
                <w:rFonts w:asciiTheme="majorHAnsi" w:eastAsia="Calibri Light" w:hAnsiTheme="majorHAnsi" w:cstheme="majorHAnsi"/>
                <w:color w:val="0D0D0D" w:themeColor="text1" w:themeTint="F2"/>
              </w:rPr>
              <w:t>ý</w:t>
            </w:r>
            <w:r w:rsidR="00B1437C" w:rsidRPr="00B7005F">
              <w:rPr>
                <w:rFonts w:asciiTheme="majorHAnsi" w:eastAsia="Calibri Light" w:hAnsiTheme="majorHAnsi" w:cstheme="majorHAnsi"/>
                <w:color w:val="0D0D0D" w:themeColor="text1" w:themeTint="F2"/>
                <w:spacing w:val="1"/>
              </w:rPr>
              <w:t xml:space="preserve"> </w:t>
            </w:r>
            <w:r w:rsidR="00B1437C" w:rsidRPr="00B7005F">
              <w:rPr>
                <w:rFonts w:asciiTheme="majorHAnsi" w:eastAsia="Calibri Light" w:hAnsiTheme="majorHAnsi" w:cstheme="majorHAnsi"/>
                <w:color w:val="0D0D0D" w:themeColor="text1" w:themeTint="F2"/>
                <w:spacing w:val="-2"/>
              </w:rPr>
              <w:t>p</w:t>
            </w:r>
            <w:r w:rsidR="00B1437C" w:rsidRPr="00B7005F">
              <w:rPr>
                <w:rFonts w:asciiTheme="majorHAnsi" w:eastAsia="Calibri Light" w:hAnsiTheme="majorHAnsi" w:cstheme="majorHAnsi"/>
                <w:color w:val="0D0D0D" w:themeColor="text1" w:themeTint="F2"/>
              </w:rPr>
              <w:t>ří</w:t>
            </w:r>
            <w:r w:rsidR="00B1437C" w:rsidRPr="00B7005F">
              <w:rPr>
                <w:rFonts w:asciiTheme="majorHAnsi" w:eastAsia="Calibri Light" w:hAnsiTheme="majorHAnsi" w:cstheme="majorHAnsi"/>
                <w:color w:val="0D0D0D" w:themeColor="text1" w:themeTint="F2"/>
                <w:spacing w:val="1"/>
              </w:rPr>
              <w:t>s</w:t>
            </w:r>
            <w:r w:rsidR="00B1437C" w:rsidRPr="00B7005F">
              <w:rPr>
                <w:rFonts w:asciiTheme="majorHAnsi" w:eastAsia="Calibri Light" w:hAnsiTheme="majorHAnsi" w:cstheme="majorHAnsi"/>
                <w:color w:val="0D0D0D" w:themeColor="text1" w:themeTint="F2"/>
              </w:rPr>
              <w:t>t</w:t>
            </w:r>
            <w:r w:rsidR="00B1437C" w:rsidRPr="00B7005F">
              <w:rPr>
                <w:rFonts w:asciiTheme="majorHAnsi" w:eastAsia="Calibri Light" w:hAnsiTheme="majorHAnsi" w:cstheme="majorHAnsi"/>
                <w:color w:val="0D0D0D" w:themeColor="text1" w:themeTint="F2"/>
                <w:spacing w:val="-3"/>
              </w:rPr>
              <w:t>u</w:t>
            </w:r>
            <w:r w:rsidR="00B1437C" w:rsidRPr="00B7005F">
              <w:rPr>
                <w:rFonts w:asciiTheme="majorHAnsi" w:eastAsia="Calibri Light" w:hAnsiTheme="majorHAnsi" w:cstheme="majorHAnsi"/>
                <w:color w:val="0D0D0D" w:themeColor="text1" w:themeTint="F2"/>
              </w:rPr>
              <w:t>p</w:t>
            </w:r>
            <w:r w:rsidR="00B1437C" w:rsidRPr="00B7005F">
              <w:rPr>
                <w:rFonts w:asciiTheme="majorHAnsi" w:eastAsia="Calibri Light" w:hAnsiTheme="majorHAnsi" w:cstheme="majorHAnsi"/>
                <w:color w:val="0D0D0D" w:themeColor="text1" w:themeTint="F2"/>
                <w:spacing w:val="1"/>
              </w:rPr>
              <w:t xml:space="preserve"> </w:t>
            </w:r>
            <w:r w:rsidR="00B1437C" w:rsidRPr="00B7005F">
              <w:rPr>
                <w:rFonts w:asciiTheme="majorHAnsi" w:eastAsia="Calibri Light" w:hAnsiTheme="majorHAnsi" w:cstheme="majorHAnsi"/>
                <w:color w:val="0D0D0D" w:themeColor="text1" w:themeTint="F2"/>
              </w:rPr>
              <w:t>do da</w:t>
            </w:r>
            <w:r w:rsidR="00B1437C" w:rsidRPr="00B7005F">
              <w:rPr>
                <w:rFonts w:asciiTheme="majorHAnsi" w:eastAsia="Calibri Light" w:hAnsiTheme="majorHAnsi" w:cstheme="majorHAnsi"/>
                <w:color w:val="0D0D0D" w:themeColor="text1" w:themeTint="F2"/>
                <w:spacing w:val="-1"/>
              </w:rPr>
              <w:t>ta</w:t>
            </w:r>
            <w:r w:rsidR="00B1437C" w:rsidRPr="00B7005F">
              <w:rPr>
                <w:rFonts w:asciiTheme="majorHAnsi" w:eastAsia="Calibri Light" w:hAnsiTheme="majorHAnsi" w:cstheme="majorHAnsi"/>
                <w:color w:val="0D0D0D" w:themeColor="text1" w:themeTint="F2"/>
              </w:rPr>
              <w:t>bá</w:t>
            </w:r>
            <w:r w:rsidR="00B1437C" w:rsidRPr="00B7005F">
              <w:rPr>
                <w:rFonts w:asciiTheme="majorHAnsi" w:eastAsia="Calibri Light" w:hAnsiTheme="majorHAnsi" w:cstheme="majorHAnsi"/>
                <w:color w:val="0D0D0D" w:themeColor="text1" w:themeTint="F2"/>
                <w:spacing w:val="-1"/>
              </w:rPr>
              <w:t>ze</w:t>
            </w:r>
          </w:p>
        </w:tc>
        <w:tc>
          <w:tcPr>
            <w:tcW w:w="1837" w:type="dxa"/>
            <w:vAlign w:val="center"/>
          </w:tcPr>
          <w:p w14:paraId="072DFA71" w14:textId="490CC0D7" w:rsidR="00B1437C" w:rsidRPr="00B7005F" w:rsidRDefault="00B1437C" w:rsidP="00A27B55">
            <w:pPr>
              <w:jc w:val="right"/>
              <w:rPr>
                <w:rFonts w:asciiTheme="majorHAnsi" w:hAnsiTheme="majorHAnsi" w:cstheme="majorHAnsi"/>
                <w:color w:val="0D0D0D" w:themeColor="text1" w:themeTint="F2"/>
              </w:rPr>
            </w:pPr>
          </w:p>
        </w:tc>
      </w:tr>
      <w:tr w:rsidR="00EB6D43" w:rsidRPr="00B7005F" w14:paraId="43CBA7B2" w14:textId="77777777" w:rsidTr="00A27B55">
        <w:tc>
          <w:tcPr>
            <w:tcW w:w="7225" w:type="dxa"/>
          </w:tcPr>
          <w:p w14:paraId="0CE6AB98" w14:textId="77777777" w:rsidR="00B1437C" w:rsidRPr="00B7005F" w:rsidRDefault="00B1437C" w:rsidP="00EB6D43">
            <w:pPr>
              <w:pStyle w:val="Nadpis3"/>
              <w:spacing w:before="120"/>
              <w:outlineLvl w:val="2"/>
              <w:rPr>
                <w:rFonts w:asciiTheme="majorHAnsi" w:hAnsiTheme="majorHAnsi" w:cstheme="majorHAnsi"/>
                <w:color w:val="0D0D0D" w:themeColor="text1" w:themeTint="F2"/>
              </w:rPr>
            </w:pPr>
            <w:bookmarkStart w:id="34" w:name="_Toc177031230"/>
            <w:r w:rsidRPr="00B7005F">
              <w:rPr>
                <w:rFonts w:asciiTheme="majorHAnsi" w:hAnsiTheme="majorHAnsi" w:cstheme="majorHAnsi"/>
                <w:color w:val="0D0D0D" w:themeColor="text1" w:themeTint="F2"/>
              </w:rPr>
              <w:t>Cena implementace personálního modulu PERM 3</w:t>
            </w:r>
            <w:bookmarkEnd w:id="34"/>
          </w:p>
          <w:p w14:paraId="7659E82D" w14:textId="17A8C89B" w:rsidR="002A1638" w:rsidRPr="00B7005F" w:rsidRDefault="00A27B55" w:rsidP="006360B4">
            <w:pPr>
              <w:spacing w:before="120"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r</w:t>
            </w:r>
            <w:r w:rsidRPr="00B7005F">
              <w:rPr>
                <w:rFonts w:asciiTheme="majorHAnsi" w:eastAsia="Calibri Light" w:hAnsiTheme="majorHAnsi" w:cstheme="majorHAnsi"/>
                <w:color w:val="0D0D0D" w:themeColor="text1" w:themeTint="F2"/>
              </w:rPr>
              <w:t>ozsa</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w:t>
            </w:r>
            <w:r>
              <w:rPr>
                <w:rFonts w:asciiTheme="majorHAnsi" w:eastAsia="Calibri Light" w:hAnsiTheme="majorHAnsi" w:cstheme="majorHAnsi"/>
                <w:color w:val="0D0D0D" w:themeColor="text1" w:themeTint="F2"/>
                <w:spacing w:val="1"/>
              </w:rPr>
              <w:t xml:space="preserve">1 </w:t>
            </w:r>
            <w:r w:rsidRPr="00B7005F">
              <w:rPr>
                <w:rFonts w:asciiTheme="majorHAnsi" w:eastAsia="Calibri Light" w:hAnsiTheme="majorHAnsi" w:cstheme="majorHAnsi"/>
                <w:color w:val="0D0D0D" w:themeColor="text1" w:themeTint="F2"/>
              </w:rPr>
              <w:t>x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3"/>
              </w:rPr>
              <w:t>z</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ro</w:t>
            </w:r>
            <w:r>
              <w:rPr>
                <w:rFonts w:asciiTheme="majorHAnsi" w:eastAsia="Calibri Light" w:hAnsiTheme="majorHAnsi" w:cstheme="majorHAnsi"/>
                <w:color w:val="0D0D0D" w:themeColor="text1" w:themeTint="F2"/>
              </w:rPr>
              <w:t xml:space="preserve"> 250</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 xml:space="preserve">osobních čísel, </w:t>
            </w:r>
            <w:r>
              <w:rPr>
                <w:rFonts w:asciiTheme="majorHAnsi" w:eastAsia="Calibri Light" w:hAnsiTheme="majorHAnsi" w:cstheme="majorHAnsi"/>
                <w:color w:val="0D0D0D" w:themeColor="text1" w:themeTint="F2"/>
              </w:rPr>
              <w:t>1</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už</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te</w:t>
            </w:r>
            <w:r w:rsidRPr="00B7005F">
              <w:rPr>
                <w:rFonts w:asciiTheme="majorHAnsi" w:eastAsia="Calibri Light" w:hAnsiTheme="majorHAnsi" w:cstheme="majorHAnsi"/>
                <w:color w:val="0D0D0D" w:themeColor="text1" w:themeTint="F2"/>
                <w:spacing w:val="-1"/>
              </w:rPr>
              <w:t>l</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ý</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ří</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do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1"/>
              </w:rPr>
              <w:t>ze</w:t>
            </w:r>
          </w:p>
        </w:tc>
        <w:tc>
          <w:tcPr>
            <w:tcW w:w="1837" w:type="dxa"/>
            <w:vAlign w:val="center"/>
          </w:tcPr>
          <w:p w14:paraId="722D02A7" w14:textId="5AA2FD66" w:rsidR="00B1437C" w:rsidRPr="00B7005F" w:rsidRDefault="00B1437C" w:rsidP="00A27B55">
            <w:pPr>
              <w:jc w:val="right"/>
              <w:rPr>
                <w:rFonts w:asciiTheme="majorHAnsi" w:hAnsiTheme="majorHAnsi" w:cstheme="majorHAnsi"/>
                <w:color w:val="0D0D0D" w:themeColor="text1" w:themeTint="F2"/>
              </w:rPr>
            </w:pPr>
          </w:p>
        </w:tc>
      </w:tr>
    </w:tbl>
    <w:p w14:paraId="59C47259" w14:textId="2C4F9DEE" w:rsidR="00CE6362" w:rsidRDefault="00EB6D43" w:rsidP="006360B4">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35" w:name="_Toc177031231"/>
      <w:r w:rsidRPr="00436EDE">
        <w:rPr>
          <w:rFonts w:asciiTheme="majorHAnsi" w:hAnsiTheme="majorHAnsi" w:cstheme="majorHAnsi"/>
          <w:color w:val="0D0D0D" w:themeColor="text1" w:themeTint="F2"/>
        </w:rPr>
        <w:t>ZPŮSOB PLATBY</w:t>
      </w:r>
      <w:bookmarkEnd w:id="35"/>
    </w:p>
    <w:p w14:paraId="35365E86" w14:textId="77777777" w:rsidR="00436EDE" w:rsidRPr="00B7005F" w:rsidRDefault="00436EDE" w:rsidP="00436EDE">
      <w:pPr>
        <w:spacing w:before="240"/>
        <w:ind w:left="116"/>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ce jednotlivých modulů</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 uhrazena vždy 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dvou</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ch:</w:t>
      </w:r>
    </w:p>
    <w:p w14:paraId="01D51D84" w14:textId="6DE799E7" w:rsidR="00436EDE" w:rsidRPr="00B7005F" w:rsidRDefault="00436EDE" w:rsidP="00436EDE">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1,</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67D9F478" w14:textId="6F0A3B81" w:rsidR="00436EDE" w:rsidRPr="00B7005F" w:rsidRDefault="00436EDE" w:rsidP="00436EDE">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2F847D2F" w14:textId="4F254D2A" w:rsidR="00436EDE" w:rsidRPr="00B7005F" w:rsidRDefault="00436EDE" w:rsidP="00436EDE">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personálního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2,</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K</w:t>
      </w:r>
      <w:r w:rsidRPr="00B7005F">
        <w:rPr>
          <w:rFonts w:asciiTheme="majorHAnsi" w:eastAsia="Calibri Light" w:hAnsiTheme="majorHAnsi" w:cstheme="majorHAnsi"/>
          <w:color w:val="0D0D0D" w:themeColor="text1" w:themeTint="F2"/>
        </w:rPr>
        <w:t xml:space="preserve">č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08C33989" w14:textId="5D68D4B5" w:rsidR="00436EDE" w:rsidRPr="00B7005F" w:rsidRDefault="00436EDE" w:rsidP="00436EDE">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personálního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7A40CF7C" w14:textId="1DECC60F" w:rsidR="003C42B0" w:rsidRPr="003C42B0" w:rsidRDefault="003C42B0" w:rsidP="003C42B0">
      <w:pPr>
        <w:pStyle w:val="Nadpis3"/>
        <w:rPr>
          <w:rFonts w:asciiTheme="majorHAnsi" w:hAnsiTheme="majorHAnsi" w:cstheme="majorHAnsi"/>
          <w:color w:val="0D0D0D" w:themeColor="text1" w:themeTint="F2"/>
        </w:rPr>
      </w:pPr>
      <w:bookmarkStart w:id="36" w:name="_Toc177031232"/>
      <w:r w:rsidRPr="003C42B0">
        <w:rPr>
          <w:rFonts w:asciiTheme="majorHAnsi" w:hAnsiTheme="majorHAnsi" w:cstheme="majorHAnsi"/>
          <w:color w:val="0D0D0D" w:themeColor="text1" w:themeTint="F2"/>
        </w:rPr>
        <w:lastRenderedPageBreak/>
        <w:t>ÚHRADA PROVEDENÝCH PRACÍ PŘI PŘERUŠENÍ PROJEKTU</w:t>
      </w:r>
      <w:bookmarkEnd w:id="36"/>
    </w:p>
    <w:p w14:paraId="6CD04C14" w14:textId="575ED634" w:rsidR="003C42B0" w:rsidRPr="003C42B0" w:rsidRDefault="003C42B0" w:rsidP="003C42B0">
      <w:pPr>
        <w:spacing w:before="120"/>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V případě, že dojde k přerušení projektu implementace mzdového a personálního systému PERM 3 z důvodů na straně Odběratele, zejména v důsledku nedodržení smluvních závazků, nedostatečné součinnosti, nepřipravenosti technické infrastruktury nebo poskytnutí potřebných podkladů, je Odběratel povinen uhradit Dodavateli veškeré práce a náklady, které byly do okamžiku přerušení projektu provedeny.</w:t>
      </w:r>
    </w:p>
    <w:p w14:paraId="0E039ED8" w14:textId="263F6BD1" w:rsidR="003C42B0" w:rsidRPr="003C42B0" w:rsidRDefault="003C42B0" w:rsidP="003C42B0">
      <w:pPr>
        <w:spacing w:before="120"/>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2C5C6CC9" w14:textId="3CAD3FA9" w:rsidR="003C42B0" w:rsidRPr="00B7005F" w:rsidRDefault="009237CC" w:rsidP="009237CC">
      <w:pPr>
        <w:spacing w:before="120"/>
        <w:rPr>
          <w:rFonts w:asciiTheme="majorHAnsi" w:eastAsia="Calibri Light" w:hAnsiTheme="majorHAnsi" w:cstheme="majorHAnsi"/>
          <w:color w:val="0D0D0D" w:themeColor="text1" w:themeTint="F2"/>
        </w:rPr>
      </w:pPr>
      <w:r w:rsidRPr="009237CC">
        <w:rPr>
          <w:rFonts w:asciiTheme="majorHAnsi" w:hAnsiTheme="majorHAnsi" w:cstheme="majorHAnsi"/>
          <w:color w:val="0D0D0D" w:themeColor="text1" w:themeTint="F2"/>
        </w:rPr>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bookmarkStart w:id="37" w:name="_Toc177031233"/>
      <w:r w:rsidRPr="00B7005F">
        <w:rPr>
          <w:b w:val="0"/>
          <w:bCs w:val="0"/>
          <w:color w:val="0D0D0D" w:themeColor="text1" w:themeTint="F2"/>
        </w:rPr>
        <w:t>MĚSÍČNÍ LICENČNÍ POPLATEK</w:t>
      </w:r>
      <w:bookmarkEnd w:id="37"/>
      <w:r w:rsidRPr="00B7005F">
        <w:rPr>
          <w:b w:val="0"/>
          <w:bCs w:val="0"/>
          <w:color w:val="0D0D0D" w:themeColor="text1" w:themeTint="F2"/>
        </w:rPr>
        <w:t xml:space="preserve">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7225"/>
        <w:gridCol w:w="1837"/>
      </w:tblGrid>
      <w:tr w:rsidR="00EB6D43" w:rsidRPr="00B7005F" w14:paraId="024D8D77" w14:textId="77777777" w:rsidTr="00EB6D43">
        <w:tc>
          <w:tcPr>
            <w:tcW w:w="7225" w:type="dxa"/>
            <w:shd w:val="clear" w:color="auto" w:fill="767171" w:themeFill="background2" w:themeFillShade="80"/>
          </w:tcPr>
          <w:p w14:paraId="25684752" w14:textId="77777777" w:rsidR="002A1638" w:rsidRPr="00B7005F" w:rsidRDefault="002A1638" w:rsidP="008458A7">
            <w:pPr>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1837" w:type="dxa"/>
            <w:shd w:val="clear" w:color="auto" w:fill="767171" w:themeFill="background2" w:themeFillShade="80"/>
          </w:tcPr>
          <w:p w14:paraId="2C84EB8F" w14:textId="77777777" w:rsidR="002A1638" w:rsidRPr="00B7005F" w:rsidRDefault="002A1638" w:rsidP="008458A7">
            <w:pPr>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A27B55">
        <w:tc>
          <w:tcPr>
            <w:tcW w:w="7225" w:type="dxa"/>
          </w:tcPr>
          <w:p w14:paraId="7438D0C4" w14:textId="444D7A27" w:rsidR="002A1638" w:rsidRPr="00B7005F" w:rsidRDefault="002A1638" w:rsidP="00EB6D43">
            <w:pPr>
              <w:pStyle w:val="Nadpis3"/>
              <w:spacing w:before="120"/>
              <w:outlineLvl w:val="2"/>
              <w:rPr>
                <w:rFonts w:asciiTheme="majorHAnsi" w:hAnsiTheme="majorHAnsi" w:cstheme="majorHAnsi"/>
                <w:color w:val="0D0D0D" w:themeColor="text1" w:themeTint="F2"/>
              </w:rPr>
            </w:pPr>
            <w:bookmarkStart w:id="38" w:name="_Toc177031234"/>
            <w:r w:rsidRPr="00B7005F">
              <w:rPr>
                <w:rFonts w:asciiTheme="majorHAnsi" w:hAnsiTheme="majorHAnsi" w:cstheme="majorHAnsi"/>
                <w:color w:val="0D0D0D" w:themeColor="text1" w:themeTint="F2"/>
              </w:rPr>
              <w:t>Měsíční licenční poplatek ke mzdovému modulu PERM 3</w:t>
            </w:r>
            <w:bookmarkEnd w:id="38"/>
          </w:p>
          <w:p w14:paraId="42ADD46F" w14:textId="78DFEFE6" w:rsidR="002A1638" w:rsidRPr="00B7005F" w:rsidRDefault="00A27B55" w:rsidP="006360B4">
            <w:pPr>
              <w:spacing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r</w:t>
            </w:r>
            <w:r w:rsidRPr="00B7005F">
              <w:rPr>
                <w:rFonts w:asciiTheme="majorHAnsi" w:eastAsia="Calibri Light" w:hAnsiTheme="majorHAnsi" w:cstheme="majorHAnsi"/>
                <w:color w:val="0D0D0D" w:themeColor="text1" w:themeTint="F2"/>
              </w:rPr>
              <w:t>ozsa</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w:t>
            </w:r>
            <w:r>
              <w:rPr>
                <w:rFonts w:asciiTheme="majorHAnsi" w:eastAsia="Calibri Light" w:hAnsiTheme="majorHAnsi" w:cstheme="majorHAnsi"/>
                <w:color w:val="0D0D0D" w:themeColor="text1" w:themeTint="F2"/>
                <w:spacing w:val="1"/>
              </w:rPr>
              <w:t xml:space="preserve">1 </w:t>
            </w:r>
            <w:r w:rsidRPr="00B7005F">
              <w:rPr>
                <w:rFonts w:asciiTheme="majorHAnsi" w:eastAsia="Calibri Light" w:hAnsiTheme="majorHAnsi" w:cstheme="majorHAnsi"/>
                <w:color w:val="0D0D0D" w:themeColor="text1" w:themeTint="F2"/>
              </w:rPr>
              <w:t>x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3"/>
              </w:rPr>
              <w:t>z</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ro</w:t>
            </w:r>
            <w:r>
              <w:rPr>
                <w:rFonts w:asciiTheme="majorHAnsi" w:eastAsia="Calibri Light" w:hAnsiTheme="majorHAnsi" w:cstheme="majorHAnsi"/>
                <w:color w:val="0D0D0D" w:themeColor="text1" w:themeTint="F2"/>
              </w:rPr>
              <w:t xml:space="preserve"> 250</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osobních čísel,</w:t>
            </w:r>
            <w:r w:rsidRPr="00B7005F">
              <w:rPr>
                <w:rFonts w:asciiTheme="majorHAnsi" w:eastAsia="Calibri Light" w:hAnsiTheme="majorHAnsi" w:cstheme="majorHAnsi"/>
                <w:color w:val="0D0D0D" w:themeColor="text1" w:themeTint="F2"/>
                <w:spacing w:val="-1"/>
              </w:rPr>
              <w:t xml:space="preserve"> </w:t>
            </w:r>
            <w:r>
              <w:rPr>
                <w:rFonts w:asciiTheme="majorHAnsi" w:eastAsia="Calibri Light" w:hAnsiTheme="majorHAnsi" w:cstheme="majorHAnsi"/>
                <w:color w:val="0D0D0D" w:themeColor="text1" w:themeTint="F2"/>
              </w:rPr>
              <w:t>1</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už</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te</w:t>
            </w:r>
            <w:r w:rsidRPr="00B7005F">
              <w:rPr>
                <w:rFonts w:asciiTheme="majorHAnsi" w:eastAsia="Calibri Light" w:hAnsiTheme="majorHAnsi" w:cstheme="majorHAnsi"/>
                <w:color w:val="0D0D0D" w:themeColor="text1" w:themeTint="F2"/>
                <w:spacing w:val="-1"/>
              </w:rPr>
              <w:t>l</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ý</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ří</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do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1"/>
              </w:rPr>
              <w:t>ze</w:t>
            </w:r>
          </w:p>
        </w:tc>
        <w:tc>
          <w:tcPr>
            <w:tcW w:w="1837" w:type="dxa"/>
            <w:vAlign w:val="center"/>
          </w:tcPr>
          <w:p w14:paraId="21BB8004" w14:textId="39F54DE3" w:rsidR="002A1638" w:rsidRPr="00B7005F" w:rsidRDefault="00A27B55" w:rsidP="00A27B55">
            <w:pPr>
              <w:jc w:val="right"/>
              <w:rPr>
                <w:rFonts w:asciiTheme="majorHAnsi" w:hAnsiTheme="majorHAnsi" w:cstheme="majorHAnsi"/>
                <w:color w:val="0D0D0D" w:themeColor="text1" w:themeTint="F2"/>
              </w:rPr>
            </w:pPr>
            <w:r>
              <w:rPr>
                <w:rFonts w:asciiTheme="majorHAnsi" w:hAnsiTheme="majorHAnsi" w:cstheme="majorHAnsi"/>
                <w:color w:val="0D0D0D" w:themeColor="text1" w:themeTint="F2"/>
              </w:rPr>
              <w:t>Kč</w:t>
            </w:r>
          </w:p>
        </w:tc>
      </w:tr>
      <w:tr w:rsidR="00EB6D43" w:rsidRPr="00B7005F" w14:paraId="7FCFEE12" w14:textId="77777777" w:rsidTr="00A27B55">
        <w:tc>
          <w:tcPr>
            <w:tcW w:w="7225" w:type="dxa"/>
          </w:tcPr>
          <w:p w14:paraId="54745C11" w14:textId="2638958E" w:rsidR="002A1638" w:rsidRPr="00B7005F" w:rsidRDefault="002A1638" w:rsidP="00EB6D43">
            <w:pPr>
              <w:pStyle w:val="Nadpis3"/>
              <w:spacing w:before="120"/>
              <w:outlineLvl w:val="2"/>
              <w:rPr>
                <w:rFonts w:asciiTheme="majorHAnsi" w:hAnsiTheme="majorHAnsi" w:cstheme="majorHAnsi"/>
                <w:color w:val="0D0D0D" w:themeColor="text1" w:themeTint="F2"/>
              </w:rPr>
            </w:pPr>
            <w:bookmarkStart w:id="39" w:name="_Toc177031235"/>
            <w:r w:rsidRPr="00B7005F">
              <w:rPr>
                <w:rFonts w:asciiTheme="majorHAnsi" w:hAnsiTheme="majorHAnsi" w:cstheme="majorHAnsi"/>
                <w:color w:val="0D0D0D" w:themeColor="text1" w:themeTint="F2"/>
              </w:rPr>
              <w:t>Měsíční licenční poplatek k personálnímu modulu PERM 3</w:t>
            </w:r>
            <w:bookmarkEnd w:id="39"/>
          </w:p>
          <w:p w14:paraId="0EFCEC05" w14:textId="0FD6EE94" w:rsidR="002A1638" w:rsidRPr="00B7005F" w:rsidRDefault="00A27B55" w:rsidP="006360B4">
            <w:pPr>
              <w:spacing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r</w:t>
            </w:r>
            <w:r w:rsidRPr="00B7005F">
              <w:rPr>
                <w:rFonts w:asciiTheme="majorHAnsi" w:eastAsia="Calibri Light" w:hAnsiTheme="majorHAnsi" w:cstheme="majorHAnsi"/>
                <w:color w:val="0D0D0D" w:themeColor="text1" w:themeTint="F2"/>
              </w:rPr>
              <w:t>ozsa</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w:t>
            </w:r>
            <w:r>
              <w:rPr>
                <w:rFonts w:asciiTheme="majorHAnsi" w:eastAsia="Calibri Light" w:hAnsiTheme="majorHAnsi" w:cstheme="majorHAnsi"/>
                <w:color w:val="0D0D0D" w:themeColor="text1" w:themeTint="F2"/>
                <w:spacing w:val="1"/>
              </w:rPr>
              <w:t xml:space="preserve">1 </w:t>
            </w:r>
            <w:r w:rsidRPr="00B7005F">
              <w:rPr>
                <w:rFonts w:asciiTheme="majorHAnsi" w:eastAsia="Calibri Light" w:hAnsiTheme="majorHAnsi" w:cstheme="majorHAnsi"/>
                <w:color w:val="0D0D0D" w:themeColor="text1" w:themeTint="F2"/>
              </w:rPr>
              <w:t>x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3"/>
              </w:rPr>
              <w:t>z</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ro</w:t>
            </w:r>
            <w:r>
              <w:rPr>
                <w:rFonts w:asciiTheme="majorHAnsi" w:eastAsia="Calibri Light" w:hAnsiTheme="majorHAnsi" w:cstheme="majorHAnsi"/>
                <w:color w:val="0D0D0D" w:themeColor="text1" w:themeTint="F2"/>
              </w:rPr>
              <w:t xml:space="preserve"> 250</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osobních čísel,</w:t>
            </w:r>
            <w:r w:rsidRPr="00B7005F">
              <w:rPr>
                <w:rFonts w:asciiTheme="majorHAnsi" w:eastAsia="Calibri Light" w:hAnsiTheme="majorHAnsi" w:cstheme="majorHAnsi"/>
                <w:color w:val="0D0D0D" w:themeColor="text1" w:themeTint="F2"/>
                <w:spacing w:val="-1"/>
              </w:rPr>
              <w:t xml:space="preserve"> </w:t>
            </w:r>
            <w:r>
              <w:rPr>
                <w:rFonts w:asciiTheme="majorHAnsi" w:eastAsia="Calibri Light" w:hAnsiTheme="majorHAnsi" w:cstheme="majorHAnsi"/>
                <w:color w:val="0D0D0D" w:themeColor="text1" w:themeTint="F2"/>
              </w:rPr>
              <w:t>1</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už</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te</w:t>
            </w:r>
            <w:r w:rsidRPr="00B7005F">
              <w:rPr>
                <w:rFonts w:asciiTheme="majorHAnsi" w:eastAsia="Calibri Light" w:hAnsiTheme="majorHAnsi" w:cstheme="majorHAnsi"/>
                <w:color w:val="0D0D0D" w:themeColor="text1" w:themeTint="F2"/>
                <w:spacing w:val="-1"/>
              </w:rPr>
              <w:t>l</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ý</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ří</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do da</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bá</w:t>
            </w:r>
            <w:r w:rsidRPr="00B7005F">
              <w:rPr>
                <w:rFonts w:asciiTheme="majorHAnsi" w:eastAsia="Calibri Light" w:hAnsiTheme="majorHAnsi" w:cstheme="majorHAnsi"/>
                <w:color w:val="0D0D0D" w:themeColor="text1" w:themeTint="F2"/>
                <w:spacing w:val="-1"/>
              </w:rPr>
              <w:t>ze</w:t>
            </w:r>
          </w:p>
        </w:tc>
        <w:tc>
          <w:tcPr>
            <w:tcW w:w="1837" w:type="dxa"/>
            <w:vAlign w:val="center"/>
          </w:tcPr>
          <w:p w14:paraId="17F72840" w14:textId="45CE7CC8" w:rsidR="002A1638" w:rsidRPr="00B7005F" w:rsidRDefault="00A27B55" w:rsidP="00A27B55">
            <w:pPr>
              <w:jc w:val="right"/>
              <w:rPr>
                <w:rFonts w:asciiTheme="majorHAnsi" w:hAnsiTheme="majorHAnsi" w:cstheme="majorHAnsi"/>
                <w:color w:val="0D0D0D" w:themeColor="text1" w:themeTint="F2"/>
              </w:rPr>
            </w:pPr>
            <w:r>
              <w:rPr>
                <w:rFonts w:asciiTheme="majorHAnsi" w:hAnsiTheme="majorHAnsi" w:cstheme="majorHAnsi"/>
                <w:color w:val="0D0D0D" w:themeColor="text1" w:themeTint="F2"/>
              </w:rPr>
              <w:t>Kč</w:t>
            </w:r>
          </w:p>
        </w:tc>
      </w:tr>
    </w:tbl>
    <w:p w14:paraId="404C12F8" w14:textId="77777777" w:rsidR="009F09FF" w:rsidRDefault="00EB6D43"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4C7141CA" w14:textId="4DC746F8" w:rsidR="009F09FF" w:rsidRPr="00436EDE" w:rsidRDefault="009F09FF" w:rsidP="009F09FF">
      <w:pPr>
        <w:pStyle w:val="Nadpis3"/>
        <w:rPr>
          <w:rFonts w:asciiTheme="majorHAnsi" w:hAnsiTheme="majorHAnsi" w:cstheme="majorHAnsi"/>
          <w:color w:val="0D0D0D" w:themeColor="text1" w:themeTint="F2"/>
        </w:rPr>
      </w:pPr>
      <w:bookmarkStart w:id="40" w:name="_Toc177031236"/>
      <w:r w:rsidRPr="00436EDE">
        <w:rPr>
          <w:rFonts w:asciiTheme="majorHAnsi" w:hAnsiTheme="majorHAnsi" w:cstheme="majorHAnsi"/>
          <w:color w:val="0D0D0D" w:themeColor="text1" w:themeTint="F2"/>
        </w:rPr>
        <w:t>PLATBY</w:t>
      </w:r>
      <w:r>
        <w:rPr>
          <w:rFonts w:asciiTheme="majorHAnsi" w:hAnsiTheme="majorHAnsi" w:cstheme="majorHAnsi"/>
          <w:color w:val="0D0D0D" w:themeColor="text1" w:themeTint="F2"/>
        </w:rPr>
        <w:t xml:space="preserve"> LICENČNÍHO POPLATKU</w:t>
      </w:r>
      <w:bookmarkEnd w:id="40"/>
    </w:p>
    <w:p w14:paraId="523BE320" w14:textId="1F54D05C"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5172D3" w:rsidRPr="00B7005F">
        <w:rPr>
          <w:rFonts w:asciiTheme="majorHAnsi" w:eastAsia="Calibri Light" w:hAnsiTheme="majorHAnsi" w:cstheme="majorHAnsi"/>
          <w:color w:val="0D0D0D" w:themeColor="text1" w:themeTint="F2"/>
          <w:spacing w:val="-7"/>
        </w:rPr>
        <w:t xml:space="preserve"> </w:t>
      </w:r>
      <w:r w:rsidR="007C408C" w:rsidRPr="00B7005F">
        <w:rPr>
          <w:rFonts w:asciiTheme="majorHAnsi" w:eastAsia="Calibri Light" w:hAnsiTheme="majorHAnsi" w:cstheme="majorHAnsi"/>
          <w:color w:val="0D0D0D" w:themeColor="text1" w:themeTint="F2"/>
          <w:spacing w:val="-7"/>
        </w:rPr>
        <w:t xml:space="preserve">pro jednotlivé moduly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3"/>
        </w:rPr>
        <w:t xml:space="preserve"> </w:t>
      </w:r>
      <w:r w:rsidR="00146C12" w:rsidRPr="00B7005F">
        <w:rPr>
          <w:rFonts w:asciiTheme="majorHAnsi" w:eastAsia="Calibri Light" w:hAnsiTheme="majorHAnsi" w:cstheme="majorHAnsi"/>
          <w:color w:val="0D0D0D" w:themeColor="text1" w:themeTint="F2"/>
          <w:spacing w:val="-3"/>
        </w:rPr>
        <w:t xml:space="preserve">je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32B9A926" w:rsidR="00962736" w:rsidRPr="007A3B66" w:rsidRDefault="00D90518" w:rsidP="002F4140">
      <w:pPr>
        <w:pStyle w:val="Odstavecseseznamem"/>
        <w:numPr>
          <w:ilvl w:val="0"/>
          <w:numId w:val="16"/>
        </w:numPr>
        <w:spacing w:before="120"/>
        <w:ind w:right="75"/>
        <w:jc w:val="both"/>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w:t>
      </w:r>
      <w:r w:rsidR="00962736" w:rsidRPr="007A3B66">
        <w:rPr>
          <w:rFonts w:asciiTheme="majorHAnsi" w:eastAsia="Calibri Light" w:hAnsiTheme="majorHAnsi" w:cstheme="majorHAnsi"/>
          <w:color w:val="0D0D0D" w:themeColor="text1" w:themeTint="F2"/>
        </w:rPr>
        <w:t>kalendářního pololetí. Platby za další období budou fakturovány vždy na začátku příslušného kalendářního polo</w:t>
      </w:r>
      <w:r w:rsidR="00962736" w:rsidRPr="007A3B66">
        <w:rPr>
          <w:rFonts w:asciiTheme="majorHAnsi" w:eastAsia="Calibri Light" w:hAnsiTheme="majorHAnsi" w:cstheme="majorHAnsi"/>
          <w:color w:val="0D0D0D" w:themeColor="text1" w:themeTint="F2"/>
          <w:spacing w:val="-1"/>
        </w:rPr>
        <w:t>l</w:t>
      </w:r>
      <w:r w:rsidR="00962736" w:rsidRPr="007A3B66">
        <w:rPr>
          <w:rFonts w:asciiTheme="majorHAnsi" w:eastAsia="Calibri Light" w:hAnsiTheme="majorHAnsi" w:cstheme="majorHAnsi"/>
          <w:color w:val="0D0D0D" w:themeColor="text1" w:themeTint="F2"/>
          <w:spacing w:val="1"/>
        </w:rPr>
        <w:t>e</w:t>
      </w:r>
      <w:r w:rsidR="00962736" w:rsidRPr="007A3B66">
        <w:rPr>
          <w:rFonts w:asciiTheme="majorHAnsi" w:eastAsia="Calibri Light" w:hAnsiTheme="majorHAnsi" w:cstheme="majorHAnsi"/>
          <w:color w:val="0D0D0D" w:themeColor="text1" w:themeTint="F2"/>
        </w:rPr>
        <w:t>tí.</w:t>
      </w:r>
    </w:p>
    <w:p w14:paraId="2E5FB09C" w14:textId="23D2AEA3" w:rsidR="00D90518" w:rsidRPr="00B7005F" w:rsidRDefault="00D90518" w:rsidP="002F4140">
      <w:pPr>
        <w:pStyle w:val="Odstavecseseznamem"/>
        <w:numPr>
          <w:ilvl w:val="0"/>
          <w:numId w:val="16"/>
        </w:numPr>
        <w:spacing w:before="120"/>
        <w:contextualSpacing w:val="0"/>
        <w:rPr>
          <w:rFonts w:asciiTheme="majorHAnsi" w:hAnsiTheme="majorHAnsi" w:cstheme="majorHAnsi"/>
          <w:color w:val="0D0D0D" w:themeColor="text1" w:themeTint="F2"/>
        </w:rPr>
      </w:pPr>
      <w:r w:rsidRPr="009F09FF">
        <w:rPr>
          <w:rFonts w:asciiTheme="majorHAnsi" w:hAnsiTheme="majorHAnsi" w:cstheme="majorHAnsi"/>
          <w:b/>
          <w:bCs/>
          <w:color w:val="0D0D0D" w:themeColor="text1" w:themeTint="F2"/>
        </w:rPr>
        <w:t>Personální modul</w:t>
      </w:r>
      <w:r w:rsidRPr="00B7005F">
        <w:rPr>
          <w:rFonts w:asciiTheme="majorHAnsi" w:hAnsiTheme="majorHAnsi" w:cstheme="majorHAnsi"/>
          <w:color w:val="0D0D0D" w:themeColor="text1" w:themeTint="F2"/>
        </w:rPr>
        <w:t xml:space="preserve"> –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Pr>
          <w:rFonts w:asciiTheme="majorHAnsi" w:hAnsiTheme="majorHAnsi" w:cstheme="majorHAnsi"/>
          <w:color w:val="0D0D0D" w:themeColor="text1" w:themeTint="F2"/>
        </w:rPr>
        <w:t>od data akceptace předávacím protokolem</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w:t>
      </w:r>
      <w:r w:rsidR="00962736" w:rsidRPr="007A3B66">
        <w:rPr>
          <w:rFonts w:asciiTheme="majorHAnsi" w:hAnsiTheme="majorHAnsi" w:cstheme="majorHAnsi"/>
          <w:color w:val="0D0D0D" w:themeColor="text1" w:themeTint="F2"/>
        </w:rPr>
        <w:t xml:space="preserve">kalendářního pololetí. Platby za další období budou fakturovány vždy na začátku příslušného kalendářního pololetí </w:t>
      </w:r>
      <w:r w:rsidR="00962736">
        <w:rPr>
          <w:rFonts w:asciiTheme="majorHAnsi" w:hAnsiTheme="majorHAnsi" w:cstheme="majorHAnsi"/>
          <w:color w:val="0D0D0D" w:themeColor="text1" w:themeTint="F2"/>
        </w:rPr>
        <w:t>od data akceptace předávacím protokolem</w:t>
      </w:r>
      <w:r w:rsidRPr="00B7005F">
        <w:rPr>
          <w:rFonts w:asciiTheme="majorHAnsi" w:hAnsiTheme="majorHAnsi" w:cstheme="majorHAnsi"/>
          <w:color w:val="0D0D0D" w:themeColor="text1" w:themeTint="F2"/>
        </w:rPr>
        <w:t>.</w:t>
      </w:r>
    </w:p>
    <w:p w14:paraId="326AB7AF" w14:textId="13D7A2C7" w:rsidR="004F38E4" w:rsidRPr="00B7005F" w:rsidRDefault="004F38E4" w:rsidP="003D4840">
      <w:pPr>
        <w:pStyle w:val="Nadpis2"/>
        <w:rPr>
          <w:b w:val="0"/>
          <w:bCs w:val="0"/>
          <w:color w:val="0D0D0D" w:themeColor="text1" w:themeTint="F2"/>
        </w:rPr>
      </w:pPr>
      <w:bookmarkStart w:id="41" w:name="_Toc177031237"/>
      <w:r w:rsidRPr="00B7005F">
        <w:rPr>
          <w:b w:val="0"/>
          <w:bCs w:val="0"/>
          <w:color w:val="0D0D0D" w:themeColor="text1" w:themeTint="F2"/>
        </w:rPr>
        <w:lastRenderedPageBreak/>
        <w:t>Cena servisních služeb, víceprací a cestovních nákladů</w:t>
      </w:r>
      <w:bookmarkEnd w:id="41"/>
    </w:p>
    <w:p w14:paraId="43157F21" w14:textId="0DCB507E" w:rsidR="00CE5266" w:rsidRPr="00B7005F" w:rsidRDefault="0071461A" w:rsidP="007A3B66">
      <w:pPr>
        <w:spacing w:before="120" w:after="48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71461A">
            <w:pPr>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71461A">
            <w:pPr>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11DEA1DD"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bookmarkStart w:id="42" w:name="_GoBack"/>
            <w:bookmarkEnd w:id="42"/>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24F44EB0"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4B7B80A4"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5C02F116"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77E7CD34"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1E99F84F" w:rsidR="0071461A" w:rsidRPr="00B7005F" w:rsidRDefault="0071461A" w:rsidP="00C20B30">
      <w:pPr>
        <w:pStyle w:val="Nadpis2"/>
        <w:rPr>
          <w:b w:val="0"/>
          <w:bCs w:val="0"/>
          <w:color w:val="0D0D0D" w:themeColor="text1" w:themeTint="F2"/>
        </w:rPr>
      </w:pPr>
      <w:bookmarkStart w:id="43" w:name="_Toc177031238"/>
      <w:r w:rsidRPr="00B7005F">
        <w:rPr>
          <w:b w:val="0"/>
          <w:bCs w:val="0"/>
          <w:color w:val="0D0D0D" w:themeColor="text1" w:themeTint="F2"/>
        </w:rPr>
        <w:t>Ostatní cenová ujednání</w:t>
      </w:r>
      <w:bookmarkEnd w:id="43"/>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733A3A09"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7A3B66">
        <w:rPr>
          <w:rFonts w:asciiTheme="majorHAnsi" w:eastAsia="Calibri Light" w:hAnsiTheme="majorHAnsi" w:cstheme="majorHAnsi"/>
          <w:color w:val="0D0D0D" w:themeColor="text1" w:themeTint="F2"/>
          <w:spacing w:val="-1"/>
        </w:rPr>
        <w:t>v</w:t>
      </w:r>
      <w:r w:rsidR="007C408C" w:rsidRPr="007A3B66">
        <w:rPr>
          <w:rFonts w:asciiTheme="majorHAnsi" w:eastAsia="Calibri Light" w:hAnsiTheme="majorHAnsi" w:cstheme="majorHAnsi"/>
          <w:color w:val="0D0D0D" w:themeColor="text1" w:themeTint="F2"/>
          <w:spacing w:val="1"/>
        </w:rPr>
        <w:t>š</w:t>
      </w:r>
      <w:r w:rsidR="007C408C" w:rsidRPr="007A3B66">
        <w:rPr>
          <w:rFonts w:asciiTheme="majorHAnsi" w:eastAsia="Calibri Light" w:hAnsiTheme="majorHAnsi" w:cstheme="majorHAnsi"/>
          <w:color w:val="0D0D0D" w:themeColor="text1" w:themeTint="F2"/>
          <w:spacing w:val="-1"/>
        </w:rPr>
        <w:t>a</w:t>
      </w:r>
      <w:r w:rsidR="007C408C" w:rsidRPr="007A3B66">
        <w:rPr>
          <w:rFonts w:asciiTheme="majorHAnsi" w:eastAsia="Calibri Light" w:hAnsiTheme="majorHAnsi" w:cstheme="majorHAnsi"/>
          <w:color w:val="0D0D0D" w:themeColor="text1" w:themeTint="F2"/>
        </w:rPr>
        <w:t xml:space="preserve">k </w:t>
      </w:r>
      <w:r w:rsidR="007C408C" w:rsidRPr="007A3B66">
        <w:rPr>
          <w:rFonts w:asciiTheme="majorHAnsi" w:eastAsia="Calibri Light" w:hAnsiTheme="majorHAnsi" w:cstheme="majorHAnsi"/>
          <w:color w:val="0D0D0D" w:themeColor="text1" w:themeTint="F2"/>
          <w:spacing w:val="1"/>
        </w:rPr>
        <w:t>s</w:t>
      </w:r>
      <w:r w:rsidR="007C408C" w:rsidRPr="007A3B66">
        <w:rPr>
          <w:rFonts w:asciiTheme="majorHAnsi" w:eastAsia="Calibri Light" w:hAnsiTheme="majorHAnsi" w:cstheme="majorHAnsi"/>
          <w:color w:val="0D0D0D" w:themeColor="text1" w:themeTint="F2"/>
        </w:rPr>
        <w:t>mí</w:t>
      </w:r>
      <w:r w:rsidR="007C408C" w:rsidRPr="007A3B66">
        <w:rPr>
          <w:rFonts w:asciiTheme="majorHAnsi" w:eastAsia="Calibri Light" w:hAnsiTheme="majorHAnsi" w:cstheme="majorHAnsi"/>
          <w:color w:val="0D0D0D" w:themeColor="text1" w:themeTint="F2"/>
          <w:spacing w:val="-2"/>
        </w:rPr>
        <w:t xml:space="preserve"> </w:t>
      </w:r>
      <w:r w:rsidR="007C408C" w:rsidRPr="007A3B66">
        <w:rPr>
          <w:rFonts w:asciiTheme="majorHAnsi" w:eastAsia="Calibri Light" w:hAnsiTheme="majorHAnsi" w:cstheme="majorHAnsi"/>
          <w:color w:val="0D0D0D" w:themeColor="text1" w:themeTint="F2"/>
        </w:rPr>
        <w:t>učin</w:t>
      </w:r>
      <w:r w:rsidR="007C408C" w:rsidRPr="007A3B66">
        <w:rPr>
          <w:rFonts w:asciiTheme="majorHAnsi" w:eastAsia="Calibri Light" w:hAnsiTheme="majorHAnsi" w:cstheme="majorHAnsi"/>
          <w:color w:val="0D0D0D" w:themeColor="text1" w:themeTint="F2"/>
          <w:spacing w:val="-1"/>
        </w:rPr>
        <w:t>i</w:t>
      </w:r>
      <w:r w:rsidR="007C408C" w:rsidRPr="007A3B66">
        <w:rPr>
          <w:rFonts w:asciiTheme="majorHAnsi" w:eastAsia="Calibri Light" w:hAnsiTheme="majorHAnsi" w:cstheme="majorHAnsi"/>
          <w:color w:val="0D0D0D" w:themeColor="text1" w:themeTint="F2"/>
        </w:rPr>
        <w:t>t k</w:t>
      </w:r>
      <w:r w:rsidR="007C408C" w:rsidRPr="007A3B66">
        <w:rPr>
          <w:rFonts w:asciiTheme="majorHAnsi" w:eastAsia="Calibri Light" w:hAnsiTheme="majorHAnsi" w:cstheme="majorHAnsi"/>
          <w:color w:val="0D0D0D" w:themeColor="text1" w:themeTint="F2"/>
          <w:spacing w:val="-1"/>
        </w:rPr>
        <w:t xml:space="preserve"> </w:t>
      </w:r>
      <w:r w:rsidR="007C408C" w:rsidRPr="007A3B66">
        <w:rPr>
          <w:rFonts w:asciiTheme="majorHAnsi" w:eastAsia="Calibri Light" w:hAnsiTheme="majorHAnsi" w:cstheme="majorHAnsi"/>
          <w:color w:val="0D0D0D" w:themeColor="text1" w:themeTint="F2"/>
          <w:spacing w:val="-2"/>
        </w:rPr>
        <w:t>1</w:t>
      </w:r>
      <w:r w:rsidR="007C408C" w:rsidRPr="007A3B66">
        <w:rPr>
          <w:rFonts w:asciiTheme="majorHAnsi" w:eastAsia="Calibri Light" w:hAnsiTheme="majorHAnsi" w:cstheme="majorHAnsi"/>
          <w:color w:val="0D0D0D" w:themeColor="text1" w:themeTint="F2"/>
        </w:rPr>
        <w:t xml:space="preserve">. </w:t>
      </w:r>
      <w:r w:rsidR="007C408C" w:rsidRPr="007A3B66">
        <w:rPr>
          <w:rFonts w:asciiTheme="majorHAnsi" w:eastAsia="Calibri Light" w:hAnsiTheme="majorHAnsi" w:cstheme="majorHAnsi"/>
          <w:color w:val="0D0D0D" w:themeColor="text1" w:themeTint="F2"/>
          <w:spacing w:val="1"/>
        </w:rPr>
        <w:t>1</w:t>
      </w:r>
      <w:r w:rsidR="007C408C" w:rsidRPr="007A3B66">
        <w:rPr>
          <w:rFonts w:asciiTheme="majorHAnsi" w:eastAsia="Calibri Light" w:hAnsiTheme="majorHAnsi" w:cstheme="majorHAnsi"/>
          <w:color w:val="0D0D0D" w:themeColor="text1" w:themeTint="F2"/>
        </w:rPr>
        <w:t>.</w:t>
      </w:r>
      <w:r w:rsidR="007C408C" w:rsidRPr="007A3B66">
        <w:rPr>
          <w:rFonts w:asciiTheme="majorHAnsi" w:eastAsia="Calibri Light" w:hAnsiTheme="majorHAnsi" w:cstheme="majorHAnsi"/>
          <w:color w:val="0D0D0D" w:themeColor="text1" w:themeTint="F2"/>
          <w:spacing w:val="-1"/>
        </w:rPr>
        <w:t xml:space="preserve"> </w:t>
      </w:r>
      <w:r w:rsidR="007C408C" w:rsidRPr="007A3B66">
        <w:rPr>
          <w:rFonts w:asciiTheme="majorHAnsi" w:eastAsia="Calibri Light" w:hAnsiTheme="majorHAnsi" w:cstheme="majorHAnsi"/>
          <w:color w:val="0D0D0D" w:themeColor="text1" w:themeTint="F2"/>
          <w:spacing w:val="1"/>
        </w:rPr>
        <w:t>2</w:t>
      </w:r>
      <w:r w:rsidR="007C408C" w:rsidRPr="007A3B66">
        <w:rPr>
          <w:rFonts w:asciiTheme="majorHAnsi" w:eastAsia="Calibri Light" w:hAnsiTheme="majorHAnsi" w:cstheme="majorHAnsi"/>
          <w:color w:val="0D0D0D" w:themeColor="text1" w:themeTint="F2"/>
          <w:spacing w:val="-2"/>
        </w:rPr>
        <w:t>02</w:t>
      </w:r>
      <w:r w:rsidRPr="007A3B66">
        <w:rPr>
          <w:rFonts w:asciiTheme="majorHAnsi" w:eastAsia="Calibri Light" w:hAnsiTheme="majorHAnsi" w:cstheme="majorHAnsi"/>
          <w:color w:val="0D0D0D" w:themeColor="text1" w:themeTint="F2"/>
          <w:spacing w:val="1"/>
        </w:rPr>
        <w:t>6</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44" w:name="_Toc177031239"/>
      <w:r w:rsidRPr="00650E3E">
        <w:rPr>
          <w:b w:val="0"/>
          <w:bCs w:val="0"/>
          <w:color w:val="0D0D0D" w:themeColor="text1" w:themeTint="F2"/>
        </w:rPr>
        <w:t>SANKCE</w:t>
      </w:r>
      <w:bookmarkEnd w:id="44"/>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45" w:name="_Toc177031240"/>
      <w:r w:rsidRPr="00147D4D">
        <w:rPr>
          <w:b w:val="0"/>
          <w:bCs w:val="0"/>
          <w:color w:val="0D0D0D" w:themeColor="text1" w:themeTint="F2"/>
        </w:rPr>
        <w:t>PRODLENÍ NA STRANĚ DODAVATELE</w:t>
      </w:r>
      <w:bookmarkEnd w:id="45"/>
    </w:p>
    <w:p w14:paraId="6CDD2EBA" w14:textId="22FE75DA"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V případě, že dodavatel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084C38DF"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dodavatele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46" w:name="_Toc177031241"/>
      <w:r w:rsidRPr="00147D4D">
        <w:rPr>
          <w:b w:val="0"/>
          <w:bCs w:val="0"/>
          <w:color w:val="0D0D0D" w:themeColor="text1" w:themeTint="F2"/>
        </w:rPr>
        <w:t>PRODLENÍ NA STRANĚ ODBĚRATELE</w:t>
      </w:r>
      <w:bookmarkEnd w:id="46"/>
      <w:r w:rsidRPr="00147D4D">
        <w:rPr>
          <w:b w:val="0"/>
          <w:bCs w:val="0"/>
          <w:color w:val="0D0D0D" w:themeColor="text1" w:themeTint="F2"/>
        </w:rPr>
        <w:t xml:space="preserve"> </w:t>
      </w:r>
    </w:p>
    <w:p w14:paraId="029108B7" w14:textId="7C1D160C"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odběratel v prodlení s placením sjednané úplaty, je povinen zaplatit dodavateli smluvní pokutu ve výši 0.05 % z dlužné částky za každý den prodlení do max. výše 10 % z dlužné částky. </w:t>
      </w:r>
    </w:p>
    <w:p w14:paraId="1107FA2C" w14:textId="77777777"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jednostranně odstoupit od smlouvy, pokud bude odběratel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lastRenderedPageBreak/>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bookmarkStart w:id="47" w:name="_Toc177031242"/>
      <w:r w:rsidRPr="00147D4D">
        <w:rPr>
          <w:b w:val="0"/>
          <w:bCs w:val="0"/>
          <w:color w:val="0D0D0D" w:themeColor="text1" w:themeTint="F2"/>
        </w:rPr>
        <w:t>VZÁJEMNÉ OMEZENÍ ODPOVĚDNOSTI</w:t>
      </w:r>
      <w:bookmarkEnd w:id="47"/>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1FE75621" w:rsidR="003D2481" w:rsidRPr="003D2481" w:rsidRDefault="003D2481" w:rsidP="003D2481">
      <w:pPr>
        <w:pStyle w:val="Nadpis1"/>
        <w:rPr>
          <w:b w:val="0"/>
          <w:bCs w:val="0"/>
          <w:color w:val="0D0D0D" w:themeColor="text1" w:themeTint="F2"/>
        </w:rPr>
      </w:pPr>
      <w:bookmarkStart w:id="48" w:name="_Toc177031243"/>
      <w:r w:rsidRPr="003D2481">
        <w:rPr>
          <w:b w:val="0"/>
          <w:bCs w:val="0"/>
          <w:color w:val="0D0D0D" w:themeColor="text1" w:themeTint="F2"/>
        </w:rPr>
        <w:t>Nadstandardní plnění</w:t>
      </w:r>
      <w:bookmarkEnd w:id="48"/>
    </w:p>
    <w:p w14:paraId="0E028019" w14:textId="6A557B0C" w:rsidR="003D2481" w:rsidRPr="003D2481" w:rsidRDefault="00B00553" w:rsidP="003D2481">
      <w:pPr>
        <w:pStyle w:val="Nadpis2"/>
        <w:rPr>
          <w:b w:val="0"/>
          <w:bCs w:val="0"/>
          <w:color w:val="0D0D0D" w:themeColor="text1" w:themeTint="F2"/>
        </w:rPr>
      </w:pPr>
      <w:bookmarkStart w:id="49" w:name="_Toc177031244"/>
      <w:r w:rsidRPr="003D2481">
        <w:rPr>
          <w:b w:val="0"/>
          <w:bCs w:val="0"/>
          <w:color w:val="0D0D0D" w:themeColor="text1" w:themeTint="F2"/>
        </w:rPr>
        <w:t>DEFINICE NADSTANDARDNÍHO PLNĚNÍ</w:t>
      </w:r>
      <w:bookmarkEnd w:id="49"/>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bookmarkStart w:id="50" w:name="_Toc177031245"/>
      <w:r w:rsidRPr="003D2481">
        <w:rPr>
          <w:b w:val="0"/>
          <w:bCs w:val="0"/>
          <w:color w:val="0D0D0D" w:themeColor="text1" w:themeTint="F2"/>
        </w:rPr>
        <w:t>ŘEŠENÍ NADSTANDARDNÍHO PLNĚNÍ</w:t>
      </w:r>
      <w:bookmarkEnd w:id="50"/>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w:t>
      </w:r>
      <w:proofErr w:type="spellStart"/>
      <w:r>
        <w:rPr>
          <w:rFonts w:asciiTheme="majorHAnsi" w:hAnsiTheme="majorHAnsi" w:cstheme="majorHAnsi"/>
          <w:color w:val="0D0D0D" w:themeColor="text1" w:themeTint="F2"/>
        </w:rPr>
        <w:t>naceněna</w:t>
      </w:r>
      <w:proofErr w:type="spellEnd"/>
      <w:r>
        <w:rPr>
          <w:rFonts w:asciiTheme="majorHAnsi" w:hAnsiTheme="majorHAnsi" w:cstheme="majorHAnsi"/>
          <w:color w:val="0D0D0D" w:themeColor="text1" w:themeTint="F2"/>
        </w:rPr>
        <w:t xml:space="preserve">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bookmarkStart w:id="51" w:name="_Toc177031246"/>
      <w:r w:rsidRPr="003D2481">
        <w:rPr>
          <w:b w:val="0"/>
          <w:bCs w:val="0"/>
          <w:color w:val="0D0D0D" w:themeColor="text1" w:themeTint="F2"/>
        </w:rPr>
        <w:t>FAKTURACE NADSTANDARDNÍHO PLNĚNÍ</w:t>
      </w:r>
      <w:bookmarkEnd w:id="51"/>
    </w:p>
    <w:p w14:paraId="1BAAF3F4" w14:textId="64421504"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sazbami uvedenými v bodě č. 4 </w:t>
      </w:r>
      <w:proofErr w:type="gramStart"/>
      <w:r w:rsidRPr="003D2481">
        <w:rPr>
          <w:rFonts w:asciiTheme="majorHAnsi" w:hAnsiTheme="majorHAnsi" w:cstheme="majorHAnsi"/>
          <w:color w:val="0D0D0D" w:themeColor="text1" w:themeTint="F2"/>
        </w:rPr>
        <w:t>této</w:t>
      </w:r>
      <w:proofErr w:type="gramEnd"/>
      <w:r w:rsidRPr="003D2481">
        <w:rPr>
          <w:rFonts w:asciiTheme="majorHAnsi" w:hAnsiTheme="majorHAnsi" w:cstheme="majorHAnsi"/>
          <w:color w:val="0D0D0D" w:themeColor="text1" w:themeTint="F2"/>
        </w:rPr>
        <w:t xml:space="preserve">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bookmarkStart w:id="52" w:name="_Toc177031247"/>
      <w:r w:rsidRPr="003D2481">
        <w:rPr>
          <w:b w:val="0"/>
          <w:bCs w:val="0"/>
          <w:color w:val="0D0D0D" w:themeColor="text1" w:themeTint="F2"/>
        </w:rPr>
        <w:t>PODMÍNKY PLNĚNÍ</w:t>
      </w:r>
      <w:bookmarkEnd w:id="52"/>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lastRenderedPageBreak/>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6559D5DD" w:rsidR="007A64B7" w:rsidRPr="007A64B7" w:rsidRDefault="00295307" w:rsidP="007A64B7">
      <w:pPr>
        <w:pStyle w:val="Nadpis1"/>
        <w:rPr>
          <w:b w:val="0"/>
          <w:bCs w:val="0"/>
          <w:color w:val="0D0D0D" w:themeColor="text1" w:themeTint="F2"/>
        </w:rPr>
      </w:pPr>
      <w:bookmarkStart w:id="53" w:name="_Toc177031248"/>
      <w:r w:rsidRPr="007A64B7">
        <w:rPr>
          <w:b w:val="0"/>
          <w:bCs w:val="0"/>
          <w:color w:val="0D0D0D" w:themeColor="text1" w:themeTint="F2"/>
        </w:rPr>
        <w:t>DALŠÍ PRÁVA A POVINNOSTI DODAVATELE</w:t>
      </w:r>
      <w:bookmarkEnd w:id="53"/>
    </w:p>
    <w:p w14:paraId="1B5540B4" w14:textId="564F2E09" w:rsidR="007A64B7" w:rsidRPr="007A64B7" w:rsidRDefault="00B00553" w:rsidP="007A64B7">
      <w:pPr>
        <w:pStyle w:val="Nadpis2"/>
        <w:rPr>
          <w:b w:val="0"/>
          <w:bCs w:val="0"/>
          <w:color w:val="0D0D0D" w:themeColor="text1" w:themeTint="F2"/>
        </w:rPr>
      </w:pPr>
      <w:bookmarkStart w:id="54" w:name="_Toc177031249"/>
      <w:r w:rsidRPr="007A64B7">
        <w:rPr>
          <w:b w:val="0"/>
          <w:bCs w:val="0"/>
          <w:color w:val="0D0D0D" w:themeColor="text1" w:themeTint="F2"/>
        </w:rPr>
        <w:t>PLNĚNÍ ZÁVAZKŮ DODAVATELE</w:t>
      </w:r>
      <w:bookmarkEnd w:id="54"/>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bookmarkStart w:id="55" w:name="_Toc177031250"/>
      <w:r w:rsidRPr="007A64B7">
        <w:rPr>
          <w:b w:val="0"/>
          <w:bCs w:val="0"/>
          <w:color w:val="0D0D0D" w:themeColor="text1" w:themeTint="F2"/>
        </w:rPr>
        <w:t>MLČENLIVOST A DŮVĚRNOST</w:t>
      </w:r>
      <w:bookmarkEnd w:id="55"/>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bookmarkStart w:id="56" w:name="_Toc177031251"/>
      <w:r w:rsidRPr="007A64B7">
        <w:rPr>
          <w:b w:val="0"/>
          <w:bCs w:val="0"/>
          <w:color w:val="0D0D0D" w:themeColor="text1" w:themeTint="F2"/>
        </w:rPr>
        <w:t>ODPOVĚDNOST ZA ŠKODU</w:t>
      </w:r>
      <w:bookmarkEnd w:id="56"/>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p w14:paraId="2189C7D8" w14:textId="15A1EC36" w:rsidR="007A64B7" w:rsidRPr="007A64B7" w:rsidRDefault="00B00553" w:rsidP="007A64B7">
      <w:pPr>
        <w:pStyle w:val="Nadpis1"/>
        <w:rPr>
          <w:b w:val="0"/>
          <w:bCs w:val="0"/>
          <w:color w:val="0D0D0D" w:themeColor="text1" w:themeTint="F2"/>
        </w:rPr>
      </w:pPr>
      <w:bookmarkStart w:id="57" w:name="_Toc177031252"/>
      <w:r w:rsidRPr="007A64B7">
        <w:rPr>
          <w:b w:val="0"/>
          <w:bCs w:val="0"/>
          <w:color w:val="0D0D0D" w:themeColor="text1" w:themeTint="F2"/>
        </w:rPr>
        <w:t>PRÁVA A POVINNOSTI ODBĚRATELE</w:t>
      </w:r>
      <w:bookmarkEnd w:id="57"/>
    </w:p>
    <w:p w14:paraId="3DC47034" w14:textId="4F7DF2B1" w:rsidR="007A64B7" w:rsidRPr="007A64B7" w:rsidRDefault="00B00553" w:rsidP="007A64B7">
      <w:pPr>
        <w:pStyle w:val="Nadpis2"/>
        <w:rPr>
          <w:b w:val="0"/>
          <w:bCs w:val="0"/>
          <w:color w:val="0D0D0D" w:themeColor="text1" w:themeTint="F2"/>
        </w:rPr>
      </w:pPr>
      <w:bookmarkStart w:id="58" w:name="_Toc177031253"/>
      <w:r w:rsidRPr="007A64B7">
        <w:rPr>
          <w:b w:val="0"/>
          <w:bCs w:val="0"/>
          <w:color w:val="0D0D0D" w:themeColor="text1" w:themeTint="F2"/>
        </w:rPr>
        <w:t>ÚHRADA DODÁVKY</w:t>
      </w:r>
      <w:bookmarkEnd w:id="58"/>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uhradit smluvené částky v souladu s bodem 4 </w:t>
      </w:r>
      <w:proofErr w:type="gramStart"/>
      <w:r w:rsidRPr="007A64B7">
        <w:rPr>
          <w:rFonts w:asciiTheme="majorHAnsi" w:hAnsiTheme="majorHAnsi" w:cstheme="majorHAnsi"/>
          <w:color w:val="0D0D0D" w:themeColor="text1" w:themeTint="F2"/>
        </w:rPr>
        <w:t>této</w:t>
      </w:r>
      <w:proofErr w:type="gramEnd"/>
      <w:r w:rsidRPr="007A64B7">
        <w:rPr>
          <w:rFonts w:asciiTheme="majorHAnsi" w:hAnsiTheme="majorHAnsi" w:cstheme="majorHAnsi"/>
          <w:color w:val="0D0D0D" w:themeColor="text1" w:themeTint="F2"/>
        </w:rPr>
        <w:t xml:space="preserve">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bookmarkStart w:id="59" w:name="_Toc177031254"/>
      <w:r w:rsidRPr="007A64B7">
        <w:rPr>
          <w:b w:val="0"/>
          <w:bCs w:val="0"/>
          <w:color w:val="0D0D0D" w:themeColor="text1" w:themeTint="F2"/>
        </w:rPr>
        <w:t>UŽITÍ LICENCE</w:t>
      </w:r>
      <w:bookmarkEnd w:id="59"/>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bookmarkStart w:id="60" w:name="_Toc177031255"/>
      <w:r w:rsidRPr="00104F7D">
        <w:rPr>
          <w:rFonts w:asciiTheme="majorHAnsi" w:hAnsiTheme="majorHAnsi" w:cstheme="majorHAnsi"/>
          <w:color w:val="0D0D0D" w:themeColor="text1" w:themeTint="F2"/>
        </w:rPr>
        <w:lastRenderedPageBreak/>
        <w:t>ODPOVĚDNOST ZA PŘIDÁNÍ UŽIVATELE A NASTAVENÍ UŽIVATELSKÝCH PRÁV</w:t>
      </w:r>
      <w:bookmarkEnd w:id="60"/>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48719A49" w:rsid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1" w:history="1">
        <w:r w:rsidR="00B00553" w:rsidRPr="00841A20">
          <w:rPr>
            <w:rStyle w:val="Hypertextovodkaz"/>
            <w:rFonts w:asciiTheme="majorHAnsi" w:hAnsiTheme="majorHAnsi" w:cstheme="majorHAnsi"/>
          </w:rPr>
          <w:t>perm@kvasar.cz</w:t>
        </w:r>
      </w:hyperlink>
      <w:r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bookmarkStart w:id="61" w:name="_Toc177031256"/>
      <w:r w:rsidRPr="00104F7D">
        <w:rPr>
          <w:rFonts w:asciiTheme="majorHAnsi" w:hAnsiTheme="majorHAnsi" w:cstheme="majorHAnsi"/>
          <w:color w:val="0D0D0D" w:themeColor="text1" w:themeTint="F2"/>
        </w:rPr>
        <w:t>ODPOVĚDNOST ZA PŘIDÁNÍ NOVÉ DATABÁZE</w:t>
      </w:r>
      <w:bookmarkEnd w:id="61"/>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bookmarkStart w:id="62" w:name="_Toc177031257"/>
      <w:r w:rsidRPr="00104F7D">
        <w:rPr>
          <w:rFonts w:asciiTheme="majorHAnsi" w:hAnsiTheme="majorHAnsi" w:cstheme="majorHAnsi"/>
          <w:color w:val="0D0D0D" w:themeColor="text1" w:themeTint="F2"/>
        </w:rPr>
        <w:t>DŮSLEDKY NEODBORNÉHO ZÁSAHU</w:t>
      </w:r>
      <w:bookmarkEnd w:id="62"/>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w:t>
      </w:r>
      <w:proofErr w:type="gramStart"/>
      <w:r w:rsidRPr="00104F7D">
        <w:rPr>
          <w:rFonts w:asciiTheme="majorHAnsi" w:hAnsiTheme="majorHAnsi" w:cstheme="majorHAnsi"/>
          <w:color w:val="0D0D0D" w:themeColor="text1" w:themeTint="F2"/>
        </w:rPr>
        <w:t>této</w:t>
      </w:r>
      <w:proofErr w:type="gramEnd"/>
      <w:r w:rsidRPr="00104F7D">
        <w:rPr>
          <w:rFonts w:asciiTheme="majorHAnsi" w:hAnsiTheme="majorHAnsi" w:cstheme="majorHAnsi"/>
          <w:color w:val="0D0D0D" w:themeColor="text1" w:themeTint="F2"/>
        </w:rPr>
        <w:t xml:space="preserve"> smlouvy.</w:t>
      </w:r>
    </w:p>
    <w:p w14:paraId="7245F259" w14:textId="042733D9" w:rsidR="007A64B7" w:rsidRPr="007A64B7" w:rsidRDefault="00EA719E" w:rsidP="007A64B7">
      <w:pPr>
        <w:pStyle w:val="Nadpis2"/>
        <w:rPr>
          <w:b w:val="0"/>
          <w:bCs w:val="0"/>
          <w:color w:val="0D0D0D" w:themeColor="text1" w:themeTint="F2"/>
        </w:rPr>
      </w:pPr>
      <w:bookmarkStart w:id="63" w:name="_Toc177031258"/>
      <w:r w:rsidRPr="007A64B7">
        <w:rPr>
          <w:b w:val="0"/>
          <w:bCs w:val="0"/>
          <w:color w:val="0D0D0D" w:themeColor="text1" w:themeTint="F2"/>
        </w:rPr>
        <w:t>ZAJIŠTĚNÍ TECHNICKÉHO PROSTŘEDÍ</w:t>
      </w:r>
      <w:bookmarkEnd w:id="63"/>
    </w:p>
    <w:p w14:paraId="006F2A5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p>
    <w:p w14:paraId="43B8BFCC" w14:textId="1E724FE3" w:rsidR="007A64B7" w:rsidRPr="007A64B7" w:rsidRDefault="00295307" w:rsidP="007A64B7">
      <w:pPr>
        <w:pStyle w:val="Nadpis2"/>
        <w:rPr>
          <w:b w:val="0"/>
          <w:bCs w:val="0"/>
          <w:color w:val="0D0D0D" w:themeColor="text1" w:themeTint="F2"/>
        </w:rPr>
      </w:pPr>
      <w:bookmarkStart w:id="64" w:name="_Toc177031259"/>
      <w:r w:rsidRPr="007A64B7">
        <w:rPr>
          <w:b w:val="0"/>
          <w:bCs w:val="0"/>
          <w:color w:val="0D0D0D" w:themeColor="text1" w:themeTint="F2"/>
        </w:rPr>
        <w:t>AKTUALIZACE SYSTÉMU</w:t>
      </w:r>
      <w:bookmarkEnd w:id="64"/>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2F4140">
      <w:pPr>
        <w:pStyle w:val="Odstavecseseznamem"/>
        <w:numPr>
          <w:ilvl w:val="0"/>
          <w:numId w:val="15"/>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2"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2F4140">
      <w:pPr>
        <w:pStyle w:val="Odstavecseseznamem"/>
        <w:numPr>
          <w:ilvl w:val="0"/>
          <w:numId w:val="15"/>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2F4140">
      <w:pPr>
        <w:pStyle w:val="Odstavecseseznamem"/>
        <w:numPr>
          <w:ilvl w:val="0"/>
          <w:numId w:val="15"/>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B74228A" w:rsidR="007A64B7" w:rsidRPr="007A64B7" w:rsidRDefault="00295307" w:rsidP="007A64B7">
      <w:pPr>
        <w:pStyle w:val="Nadpis2"/>
        <w:rPr>
          <w:b w:val="0"/>
          <w:bCs w:val="0"/>
          <w:color w:val="0D0D0D" w:themeColor="text1" w:themeTint="F2"/>
        </w:rPr>
      </w:pPr>
      <w:bookmarkStart w:id="65" w:name="_Toc177031260"/>
      <w:r w:rsidRPr="007A64B7">
        <w:rPr>
          <w:b w:val="0"/>
          <w:bCs w:val="0"/>
          <w:color w:val="0D0D0D" w:themeColor="text1" w:themeTint="F2"/>
        </w:rPr>
        <w:t>MLČENLIVOST</w:t>
      </w:r>
      <w:bookmarkEnd w:id="65"/>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bookmarkStart w:id="66" w:name="_Toc177031261"/>
      <w:r w:rsidRPr="007A64B7">
        <w:rPr>
          <w:b w:val="0"/>
          <w:bCs w:val="0"/>
          <w:color w:val="0D0D0D" w:themeColor="text1" w:themeTint="F2"/>
        </w:rPr>
        <w:lastRenderedPageBreak/>
        <w:t>ZÁKAZ DEKOMPILACE A ZMĚN</w:t>
      </w:r>
      <w:bookmarkEnd w:id="66"/>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výslovně zavazuje neprovádět zpětný převod, </w:t>
      </w:r>
      <w:proofErr w:type="spellStart"/>
      <w:r w:rsidRPr="007A64B7">
        <w:rPr>
          <w:rFonts w:asciiTheme="majorHAnsi" w:hAnsiTheme="majorHAnsi" w:cstheme="majorHAnsi"/>
          <w:color w:val="0D0D0D" w:themeColor="text1" w:themeTint="F2"/>
        </w:rPr>
        <w:t>dekompilaci</w:t>
      </w:r>
      <w:proofErr w:type="spellEnd"/>
      <w:r w:rsidRPr="007A64B7">
        <w:rPr>
          <w:rFonts w:asciiTheme="majorHAnsi" w:hAnsiTheme="majorHAnsi" w:cstheme="majorHAnsi"/>
          <w:color w:val="0D0D0D" w:themeColor="text1" w:themeTint="F2"/>
        </w:rPr>
        <w:t xml:space="preserve">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bookmarkStart w:id="67" w:name="_Toc177031262"/>
      <w:r w:rsidRPr="007A64B7">
        <w:rPr>
          <w:b w:val="0"/>
          <w:bCs w:val="0"/>
          <w:color w:val="0D0D0D" w:themeColor="text1" w:themeTint="F2"/>
        </w:rPr>
        <w:t>VZDÁLENÝ PŘÍSTUP</w:t>
      </w:r>
      <w:bookmarkEnd w:id="67"/>
    </w:p>
    <w:p w14:paraId="632E9CAA" w14:textId="5C6033B9" w:rsidR="0039050D" w:rsidRPr="00B7005F" w:rsidRDefault="007A64B7" w:rsidP="00EA719E">
      <w:pPr>
        <w:spacing w:before="120"/>
        <w:jc w:val="both"/>
        <w:rPr>
          <w:rFonts w:asciiTheme="majorHAnsi" w:hAnsiTheme="majorHAnsi" w:cstheme="majorHAnsi"/>
          <w:b/>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1CD9116F" w14:textId="7AA30F8E" w:rsidR="004A74F9" w:rsidRPr="00F018FF" w:rsidRDefault="00F018FF" w:rsidP="00B73604">
      <w:pPr>
        <w:pStyle w:val="Nadpis1"/>
        <w:rPr>
          <w:b w:val="0"/>
          <w:bCs w:val="0"/>
          <w:color w:val="0D0D0D" w:themeColor="text1" w:themeTint="F2"/>
        </w:rPr>
      </w:pPr>
      <w:bookmarkStart w:id="68" w:name="_Toc508894937"/>
      <w:bookmarkStart w:id="69" w:name="_Toc509316489"/>
      <w:bookmarkStart w:id="70" w:name="_Toc177031263"/>
      <w:r w:rsidRPr="00F018FF">
        <w:rPr>
          <w:b w:val="0"/>
          <w:bCs w:val="0"/>
          <w:color w:val="0D0D0D" w:themeColor="text1" w:themeTint="F2"/>
        </w:rPr>
        <w:t>SOULAD S NAŘÍZENÍM GDPR</w:t>
      </w:r>
      <w:bookmarkEnd w:id="68"/>
      <w:bookmarkEnd w:id="69"/>
      <w:bookmarkEnd w:id="70"/>
    </w:p>
    <w:p w14:paraId="4FE30653" w14:textId="7079AF14" w:rsidR="00F018FF" w:rsidRPr="00F018FF" w:rsidRDefault="00F018FF" w:rsidP="00F018FF">
      <w:pPr>
        <w:pStyle w:val="Nadpis2"/>
        <w:rPr>
          <w:b w:val="0"/>
          <w:bCs w:val="0"/>
          <w:color w:val="0D0D0D" w:themeColor="text1" w:themeTint="F2"/>
        </w:rPr>
      </w:pPr>
      <w:bookmarkStart w:id="71" w:name="_Toc177031264"/>
      <w:r w:rsidRPr="00F018FF">
        <w:rPr>
          <w:b w:val="0"/>
          <w:bCs w:val="0"/>
          <w:color w:val="0D0D0D" w:themeColor="text1" w:themeTint="F2"/>
        </w:rPr>
        <w:t>OCHRANA OSOBNÍCH ÚDAJŮ</w:t>
      </w:r>
      <w:bookmarkEnd w:id="71"/>
    </w:p>
    <w:p w14:paraId="53767FA2" w14:textId="216829AA"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bookmarkStart w:id="72" w:name="_Toc177031265"/>
      <w:r w:rsidRPr="00F018FF">
        <w:rPr>
          <w:b w:val="0"/>
          <w:bCs w:val="0"/>
          <w:color w:val="0D0D0D" w:themeColor="text1" w:themeTint="F2"/>
        </w:rPr>
        <w:t>POSTAVENÍ SMLUVNÍCH STRAN PODLE GDPR</w:t>
      </w:r>
      <w:bookmarkEnd w:id="72"/>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bookmarkStart w:id="73" w:name="_Toc177031266"/>
      <w:r w:rsidRPr="00F018FF">
        <w:rPr>
          <w:b w:val="0"/>
          <w:bCs w:val="0"/>
          <w:color w:val="0D0D0D" w:themeColor="text1" w:themeTint="F2"/>
        </w:rPr>
        <w:t>POVINNOSTI DODAVATELE JAKO ZPRACOVATELE</w:t>
      </w:r>
      <w:bookmarkEnd w:id="73"/>
    </w:p>
    <w:p w14:paraId="5D1DAFCE" w14:textId="14EBFE10"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2F4140">
      <w:pPr>
        <w:pStyle w:val="Odstavecseseznamem"/>
        <w:numPr>
          <w:ilvl w:val="0"/>
          <w:numId w:val="14"/>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2F4140">
      <w:pPr>
        <w:pStyle w:val="Odstavecseseznamem"/>
        <w:numPr>
          <w:ilvl w:val="0"/>
          <w:numId w:val="14"/>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2F4140">
      <w:pPr>
        <w:pStyle w:val="Odstavecseseznamem"/>
        <w:numPr>
          <w:ilvl w:val="0"/>
          <w:numId w:val="14"/>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2F4140">
      <w:pPr>
        <w:pStyle w:val="Odstavecseseznamem"/>
        <w:numPr>
          <w:ilvl w:val="0"/>
          <w:numId w:val="14"/>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2F4140">
      <w:pPr>
        <w:pStyle w:val="Odstavecseseznamem"/>
        <w:numPr>
          <w:ilvl w:val="0"/>
          <w:numId w:val="14"/>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bookmarkStart w:id="74" w:name="_Toc177031267"/>
      <w:r w:rsidRPr="00F018FF">
        <w:rPr>
          <w:b w:val="0"/>
          <w:bCs w:val="0"/>
          <w:color w:val="0D0D0D" w:themeColor="text1" w:themeTint="F2"/>
        </w:rPr>
        <w:lastRenderedPageBreak/>
        <w:t>OHLÁŠENÍ BEZPEČNOSTNÍCH INCIDENTŮ</w:t>
      </w:r>
      <w:bookmarkEnd w:id="74"/>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bookmarkStart w:id="75" w:name="_Toc177031268"/>
      <w:r w:rsidRPr="00F018FF">
        <w:rPr>
          <w:b w:val="0"/>
          <w:bCs w:val="0"/>
          <w:color w:val="0D0D0D" w:themeColor="text1" w:themeTint="F2"/>
        </w:rPr>
        <w:t>PRÁVA A POVINNOSTI ODBĚRATELE</w:t>
      </w:r>
      <w:bookmarkEnd w:id="75"/>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bookmarkStart w:id="76" w:name="_Toc177031269"/>
      <w:r w:rsidRPr="00F018FF">
        <w:rPr>
          <w:b w:val="0"/>
          <w:bCs w:val="0"/>
          <w:color w:val="0D0D0D" w:themeColor="text1" w:themeTint="F2"/>
        </w:rPr>
        <w:t>DOBA ZPRACOVÁNÍ OSOBNÍCH ÚDAJŮ</w:t>
      </w:r>
      <w:bookmarkEnd w:id="76"/>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bookmarkStart w:id="77" w:name="_Toc177031270"/>
      <w:r w:rsidRPr="00F018FF">
        <w:rPr>
          <w:b w:val="0"/>
          <w:bCs w:val="0"/>
          <w:color w:val="0D0D0D" w:themeColor="text1" w:themeTint="F2"/>
        </w:rPr>
        <w:t>ZÁVĚREČNÁ USTANOVENÍ</w:t>
      </w:r>
      <w:bookmarkEnd w:id="77"/>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78" w:name="_Toc177031271"/>
      <w:r w:rsidRPr="00BA5424">
        <w:rPr>
          <w:b w:val="0"/>
          <w:bCs w:val="0"/>
          <w:color w:val="0D0D0D" w:themeColor="text1" w:themeTint="F2"/>
        </w:rPr>
        <w:t>ZÁVĚREČNÁ UJEDNÁNÍ</w:t>
      </w:r>
      <w:bookmarkEnd w:id="78"/>
    </w:p>
    <w:p w14:paraId="26CBCD2F" w14:textId="03553DF3" w:rsidR="003B52A0" w:rsidRPr="003B52A0" w:rsidRDefault="003B52A0" w:rsidP="003B52A0">
      <w:pPr>
        <w:pStyle w:val="Nadpis2"/>
        <w:rPr>
          <w:b w:val="0"/>
          <w:bCs w:val="0"/>
          <w:color w:val="0D0D0D" w:themeColor="text1" w:themeTint="F2"/>
        </w:rPr>
      </w:pPr>
      <w:bookmarkStart w:id="79" w:name="_Toc177031272"/>
      <w:r w:rsidRPr="003B52A0">
        <w:rPr>
          <w:b w:val="0"/>
          <w:bCs w:val="0"/>
          <w:color w:val="0D0D0D" w:themeColor="text1" w:themeTint="F2"/>
        </w:rPr>
        <w:t>ÚPLNOST A PLATNOST SMLOUVY</w:t>
      </w:r>
      <w:bookmarkEnd w:id="79"/>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bookmarkStart w:id="80" w:name="_Toc177031273"/>
      <w:r w:rsidRPr="003B52A0">
        <w:rPr>
          <w:b w:val="0"/>
          <w:bCs w:val="0"/>
          <w:color w:val="0D0D0D" w:themeColor="text1" w:themeTint="F2"/>
        </w:rPr>
        <w:lastRenderedPageBreak/>
        <w:t>DOLOŽKA O VYŠŠÍ MOCI</w:t>
      </w:r>
      <w:bookmarkEnd w:id="80"/>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bookmarkStart w:id="81" w:name="_Toc177031274"/>
      <w:r w:rsidRPr="003B52A0">
        <w:rPr>
          <w:b w:val="0"/>
          <w:bCs w:val="0"/>
          <w:color w:val="0D0D0D" w:themeColor="text1" w:themeTint="F2"/>
        </w:rPr>
        <w:t>POSTOUPENÍ PRÁV A ZÁVAZKŮ</w:t>
      </w:r>
      <w:bookmarkEnd w:id="81"/>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bookmarkStart w:id="82" w:name="_Toc177031275"/>
      <w:r w:rsidRPr="003B52A0">
        <w:rPr>
          <w:b w:val="0"/>
          <w:bCs w:val="0"/>
          <w:color w:val="0D0D0D" w:themeColor="text1" w:themeTint="F2"/>
        </w:rPr>
        <w:t>ROZHODNÉ PRÁVO A ŘEŠENÍ SPORŮ</w:t>
      </w:r>
      <w:bookmarkEnd w:id="82"/>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bookmarkStart w:id="83" w:name="_Toc177031276"/>
      <w:r w:rsidRPr="003B52A0">
        <w:rPr>
          <w:b w:val="0"/>
          <w:bCs w:val="0"/>
          <w:color w:val="0D0D0D" w:themeColor="text1" w:themeTint="F2"/>
        </w:rPr>
        <w:t>DOBA TRVÁNÍ A UKONČENÍ SMLOUVY</w:t>
      </w:r>
      <w:bookmarkEnd w:id="83"/>
    </w:p>
    <w:p w14:paraId="000BA494" w14:textId="77777777" w:rsidR="00E45C2D"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je uzavřena na dobu neurčitou, pokud není v jednotlivých ustanoveních této smlouvy uvedeno jinak.</w:t>
      </w:r>
      <w:r w:rsidR="00E45C2D">
        <w:rPr>
          <w:rFonts w:asciiTheme="majorHAnsi" w:hAnsiTheme="majorHAnsi" w:cstheme="majorHAnsi"/>
          <w:color w:val="0D0D0D" w:themeColor="text1" w:themeTint="F2"/>
        </w:rPr>
        <w:t xml:space="preserve"> </w:t>
      </w:r>
    </w:p>
    <w:p w14:paraId="5A4A99C9" w14:textId="4C915F8E"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Každá ze smluvních stran je oprávněna tuto smlouvu ukončit písemnou výpovědí, a to s výpovědní lhůtou </w:t>
      </w:r>
      <w:r>
        <w:rPr>
          <w:rFonts w:asciiTheme="majorHAnsi" w:hAnsiTheme="majorHAnsi" w:cstheme="majorHAnsi"/>
          <w:color w:val="0D0D0D" w:themeColor="text1" w:themeTint="F2"/>
        </w:rPr>
        <w:t>šest kalendářních měsíců</w:t>
      </w:r>
      <w:r w:rsidRPr="003B52A0">
        <w:rPr>
          <w:rFonts w:asciiTheme="majorHAnsi" w:hAnsiTheme="majorHAnsi" w:cstheme="majorHAnsi"/>
          <w:color w:val="0D0D0D" w:themeColor="text1" w:themeTint="F2"/>
        </w:rPr>
        <w:t xml:space="preserve">, která </w:t>
      </w:r>
      <w:r w:rsidRPr="00B7005F">
        <w:rPr>
          <w:rFonts w:asciiTheme="majorHAnsi" w:hAnsiTheme="majorHAnsi" w:cstheme="majorHAnsi"/>
          <w:color w:val="0D0D0D" w:themeColor="text1" w:themeTint="F2"/>
        </w:rPr>
        <w:t>počíná běžet prvním dnem kalendářního měsíce následujícího po doručení výpovědi</w:t>
      </w:r>
      <w:r>
        <w:rPr>
          <w:rFonts w:asciiTheme="majorHAnsi" w:hAnsiTheme="majorHAnsi" w:cstheme="majorHAnsi"/>
          <w:color w:val="0D0D0D" w:themeColor="text1" w:themeTint="F2"/>
        </w:rPr>
        <w:t>.</w:t>
      </w:r>
    </w:p>
    <w:p w14:paraId="72C079AF" w14:textId="3454D441" w:rsidR="00135444"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2C240D9F" w14:textId="12CD10B8" w:rsidR="00135444" w:rsidRPr="003B52A0" w:rsidRDefault="00135444"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V případě požadavku Odběratele na export dat ze systému PERM 3 pro přípravu importu do jiného </w:t>
      </w:r>
      <w:r w:rsidR="00553EAE">
        <w:rPr>
          <w:rFonts w:asciiTheme="majorHAnsi" w:hAnsiTheme="majorHAnsi" w:cstheme="majorHAnsi"/>
          <w:color w:val="0D0D0D" w:themeColor="text1" w:themeTint="F2"/>
        </w:rPr>
        <w:t>mzdového a personálního systému bude tento požadavek řešen jako placená služba ze strany Dodavatele na základě samostatné cenové nabídky a Odběratelem odsouhlasené objednávky.</w:t>
      </w:r>
    </w:p>
    <w:p w14:paraId="7A8E122B" w14:textId="07054556" w:rsidR="003B52A0" w:rsidRPr="003B52A0" w:rsidRDefault="003B52A0" w:rsidP="003B52A0">
      <w:pPr>
        <w:pStyle w:val="Nadpis2"/>
        <w:rPr>
          <w:b w:val="0"/>
          <w:bCs w:val="0"/>
          <w:color w:val="0D0D0D" w:themeColor="text1" w:themeTint="F2"/>
        </w:rPr>
      </w:pPr>
      <w:bookmarkStart w:id="84" w:name="_Toc177031277"/>
      <w:r w:rsidRPr="003B52A0">
        <w:rPr>
          <w:b w:val="0"/>
          <w:bCs w:val="0"/>
          <w:color w:val="0D0D0D" w:themeColor="text1" w:themeTint="F2"/>
        </w:rPr>
        <w:t>DORUČOVÁNÍ</w:t>
      </w:r>
      <w:bookmarkEnd w:id="84"/>
    </w:p>
    <w:p w14:paraId="375BE2C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Veškerá oznámení a další komunikace podle této smlouvy musí být učiněna písemně a doručena osobně, kurýrem, doporučenou poštou nebo elektronickou poštou na adresy uvedené v záhlaví této smlouvy, pokud není v této smlouvě uvedeno jinak. Oznámení je považováno za doručené dnem převzetí v případě osobního doručení, dnem doručení potvrzeným doručovací službou nebo třetím dnem po odeslání doporučené pošty, není-li prokázáno dřívější doručení.</w:t>
      </w:r>
    </w:p>
    <w:p w14:paraId="4DB3FB77" w14:textId="13F86F38" w:rsidR="00C117C5" w:rsidRPr="00E45C2D" w:rsidRDefault="00E45C2D" w:rsidP="00E45C2D">
      <w:pPr>
        <w:pStyle w:val="Nadpis1"/>
        <w:rPr>
          <w:b w:val="0"/>
          <w:bCs w:val="0"/>
          <w:color w:val="0D0D0D" w:themeColor="text1" w:themeTint="F2"/>
        </w:rPr>
      </w:pPr>
      <w:bookmarkStart w:id="85" w:name="_Toc177031278"/>
      <w:r w:rsidRPr="00E45C2D">
        <w:rPr>
          <w:b w:val="0"/>
          <w:bCs w:val="0"/>
          <w:color w:val="0D0D0D" w:themeColor="text1" w:themeTint="F2"/>
        </w:rPr>
        <w:t>Podpisy</w:t>
      </w:r>
      <w:bookmarkEnd w:id="85"/>
    </w:p>
    <w:p w14:paraId="33AFA947" w14:textId="77777777" w:rsidR="004F38E4" w:rsidRPr="00B7005F"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74FDE33A" w14:textId="77777777" w:rsidR="00C117C5" w:rsidRPr="00B7005F" w:rsidRDefault="00C117C5" w:rsidP="001D082E">
      <w:pPr>
        <w:spacing w:before="360"/>
        <w:rPr>
          <w:rFonts w:asciiTheme="majorHAnsi" w:hAnsiTheme="majorHAnsi" w:cstheme="majorHAnsi"/>
          <w:color w:val="0D0D0D" w:themeColor="text1" w:themeTint="F2"/>
        </w:rPr>
      </w:pPr>
      <w:r w:rsidRPr="00B7005F">
        <w:rPr>
          <w:rFonts w:asciiTheme="majorHAnsi" w:hAnsiTheme="majorHAnsi" w:cstheme="majorHAnsi"/>
          <w:b/>
          <w:color w:val="0D0D0D" w:themeColor="text1" w:themeTint="F2"/>
        </w:rPr>
        <w:lastRenderedPageBreak/>
        <w:t>Dodavatel:</w:t>
      </w:r>
    </w:p>
    <w:p w14:paraId="4B03317D" w14:textId="77777777" w:rsidR="00C117C5" w:rsidRPr="00B7005F" w:rsidRDefault="00C117C5" w:rsidP="00C117C5">
      <w:pPr>
        <w:rPr>
          <w:rFonts w:asciiTheme="majorHAnsi" w:hAnsiTheme="majorHAnsi" w:cstheme="majorHAnsi"/>
          <w:color w:val="0D0D0D" w:themeColor="text1" w:themeTint="F2"/>
        </w:rPr>
      </w:pPr>
    </w:p>
    <w:p w14:paraId="548E6758" w14:textId="7FB13C9A" w:rsidR="00C117C5" w:rsidRPr="00B7005F" w:rsidRDefault="00C117C5" w:rsidP="00C117C5">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w:t>
      </w:r>
      <w:r w:rsidR="009D404B" w:rsidRPr="00B7005F">
        <w:rPr>
          <w:rFonts w:asciiTheme="majorHAnsi" w:hAnsiTheme="majorHAnsi" w:cstheme="majorHAnsi"/>
          <w:color w:val="0D0D0D" w:themeColor="text1" w:themeTint="F2"/>
        </w:rPr>
        <w:t xml:space="preserve"> </w:t>
      </w:r>
      <w:proofErr w:type="gramStart"/>
      <w:r w:rsidR="009D404B" w:rsidRPr="00B7005F">
        <w:rPr>
          <w:rFonts w:asciiTheme="majorHAnsi" w:hAnsiTheme="majorHAnsi" w:cstheme="majorHAnsi"/>
          <w:color w:val="0D0D0D" w:themeColor="text1" w:themeTint="F2"/>
        </w:rPr>
        <w:t>12.9.2024</w:t>
      </w:r>
      <w:proofErr w:type="gramEnd"/>
      <w:r w:rsidRPr="00B7005F">
        <w:rPr>
          <w:rFonts w:asciiTheme="majorHAnsi" w:hAnsiTheme="majorHAnsi" w:cstheme="majorHAnsi"/>
          <w:color w:val="0D0D0D" w:themeColor="text1" w:themeTint="F2"/>
        </w:rPr>
        <w:tab/>
        <w:t>.........................................................</w:t>
      </w:r>
    </w:p>
    <w:p w14:paraId="761F7A20" w14:textId="77777777" w:rsidR="00C117C5" w:rsidRPr="00B7005F" w:rsidRDefault="00C117C5" w:rsidP="00C117C5">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Vítězslav Vicherek</w:t>
      </w:r>
      <w:r w:rsidR="00E5151F" w:rsidRPr="00B7005F">
        <w:rPr>
          <w:rFonts w:asciiTheme="majorHAnsi" w:hAnsiTheme="majorHAnsi" w:cstheme="majorHAnsi"/>
          <w:color w:val="0D0D0D" w:themeColor="text1" w:themeTint="F2"/>
        </w:rPr>
        <w:t>, j</w:t>
      </w:r>
      <w:r w:rsidR="00E8673F" w:rsidRPr="00B7005F">
        <w:rPr>
          <w:rFonts w:asciiTheme="majorHAnsi" w:hAnsiTheme="majorHAnsi" w:cstheme="majorHAnsi"/>
          <w:color w:val="0D0D0D" w:themeColor="text1" w:themeTint="F2"/>
        </w:rPr>
        <w:t>ednatel</w:t>
      </w:r>
    </w:p>
    <w:p w14:paraId="309D11B1" w14:textId="77777777" w:rsidR="00C117C5" w:rsidRDefault="00C117C5" w:rsidP="00C117C5">
      <w:pPr>
        <w:tabs>
          <w:tab w:val="left" w:pos="4820"/>
        </w:tabs>
        <w:rPr>
          <w:rFonts w:asciiTheme="majorHAnsi" w:hAnsiTheme="majorHAnsi" w:cstheme="majorHAnsi"/>
          <w:color w:val="0D0D0D" w:themeColor="text1" w:themeTint="F2"/>
        </w:rPr>
      </w:pPr>
    </w:p>
    <w:p w14:paraId="7B78F35F" w14:textId="77777777" w:rsidR="00671762" w:rsidRDefault="00671762" w:rsidP="00C117C5">
      <w:pPr>
        <w:tabs>
          <w:tab w:val="left" w:pos="4820"/>
        </w:tabs>
        <w:rPr>
          <w:rFonts w:asciiTheme="majorHAnsi" w:hAnsiTheme="majorHAnsi" w:cstheme="majorHAnsi"/>
          <w:color w:val="0D0D0D" w:themeColor="text1" w:themeTint="F2"/>
        </w:rPr>
      </w:pPr>
    </w:p>
    <w:p w14:paraId="06E8D0F6" w14:textId="77777777" w:rsidR="00671762" w:rsidRPr="00B7005F" w:rsidRDefault="00671762" w:rsidP="00C117C5">
      <w:pPr>
        <w:tabs>
          <w:tab w:val="left" w:pos="4820"/>
        </w:tabs>
        <w:rPr>
          <w:rFonts w:asciiTheme="majorHAnsi" w:hAnsiTheme="majorHAnsi" w:cstheme="majorHAnsi"/>
          <w:color w:val="0D0D0D" w:themeColor="text1" w:themeTint="F2"/>
        </w:rPr>
      </w:pPr>
    </w:p>
    <w:p w14:paraId="14BC74B7" w14:textId="77777777" w:rsidR="00C117C5" w:rsidRPr="00B7005F" w:rsidRDefault="00C117C5" w:rsidP="00C117C5">
      <w:pPr>
        <w:tabs>
          <w:tab w:val="left" w:pos="4820"/>
        </w:tabs>
        <w:rPr>
          <w:rFonts w:asciiTheme="majorHAnsi" w:hAnsiTheme="majorHAnsi" w:cstheme="majorHAnsi"/>
          <w:color w:val="0D0D0D" w:themeColor="text1" w:themeTint="F2"/>
        </w:rPr>
      </w:pPr>
    </w:p>
    <w:p w14:paraId="1CD659EA" w14:textId="77777777" w:rsidR="00C117C5" w:rsidRPr="00B7005F" w:rsidRDefault="00C117C5" w:rsidP="00C117C5">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p>
    <w:p w14:paraId="664419C8" w14:textId="77777777" w:rsidR="00C117C5" w:rsidRPr="00B7005F" w:rsidRDefault="00C117C5" w:rsidP="00C117C5">
      <w:pPr>
        <w:tabs>
          <w:tab w:val="left" w:pos="4820"/>
        </w:tabs>
        <w:rPr>
          <w:rFonts w:asciiTheme="majorHAnsi" w:hAnsiTheme="majorHAnsi" w:cstheme="majorHAnsi"/>
          <w:color w:val="0D0D0D" w:themeColor="text1" w:themeTint="F2"/>
        </w:rPr>
      </w:pPr>
    </w:p>
    <w:p w14:paraId="5D9DFB33" w14:textId="77777777" w:rsidR="00C117C5" w:rsidRPr="00B7005F" w:rsidRDefault="00C117C5" w:rsidP="00C117C5">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Datum: </w:t>
      </w:r>
      <w:r w:rsidRPr="00B7005F">
        <w:rPr>
          <w:rFonts w:asciiTheme="majorHAnsi" w:hAnsiTheme="majorHAnsi" w:cstheme="majorHAnsi"/>
          <w:color w:val="0D0D0D" w:themeColor="text1" w:themeTint="F2"/>
        </w:rPr>
        <w:tab/>
        <w:t>.........................................................</w:t>
      </w:r>
    </w:p>
    <w:p w14:paraId="10BAC2CD" w14:textId="29058CC4" w:rsidR="00DF6FD5" w:rsidRPr="00B7005F" w:rsidRDefault="00C117C5" w:rsidP="00E5151F">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r>
      <w:r w:rsidR="00671762" w:rsidRPr="00295307">
        <w:rPr>
          <w:rFonts w:asciiTheme="majorHAnsi" w:hAnsiTheme="majorHAnsi" w:cstheme="majorHAnsi"/>
          <w:color w:val="0D0D0D" w:themeColor="text1" w:themeTint="F2"/>
        </w:rPr>
        <w:t>Ing. Jana Šuráňová</w:t>
      </w:r>
      <w:r w:rsidR="00671762">
        <w:rPr>
          <w:rFonts w:asciiTheme="majorHAnsi" w:hAnsiTheme="majorHAnsi" w:cstheme="majorHAnsi"/>
          <w:color w:val="0D0D0D" w:themeColor="text1" w:themeTint="F2"/>
        </w:rPr>
        <w:t>, ředitelka</w:t>
      </w:r>
    </w:p>
    <w:sectPr w:rsidR="00DF6FD5" w:rsidRPr="00B7005F" w:rsidSect="0081555A">
      <w:footerReference w:type="default" r:id="rId13"/>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7624" w14:textId="77777777" w:rsidR="009F1A78" w:rsidRDefault="009F1A78" w:rsidP="00AC60F6">
      <w:r>
        <w:separator/>
      </w:r>
    </w:p>
    <w:p w14:paraId="04730253" w14:textId="77777777" w:rsidR="009F1A78" w:rsidRDefault="009F1A78" w:rsidP="00AC60F6"/>
    <w:p w14:paraId="4B2CD9F5" w14:textId="77777777" w:rsidR="009F1A78" w:rsidRDefault="009F1A78" w:rsidP="00AC60F6"/>
    <w:p w14:paraId="12B26180" w14:textId="77777777" w:rsidR="009F1A78" w:rsidRDefault="009F1A78" w:rsidP="00AC60F6"/>
    <w:p w14:paraId="605328A4" w14:textId="77777777" w:rsidR="009F1A78" w:rsidRDefault="009F1A78" w:rsidP="00AC60F6"/>
  </w:endnote>
  <w:endnote w:type="continuationSeparator" w:id="0">
    <w:p w14:paraId="64F7CD0E" w14:textId="77777777" w:rsidR="009F1A78" w:rsidRDefault="009F1A78" w:rsidP="00AC60F6">
      <w:r>
        <w:continuationSeparator/>
      </w:r>
    </w:p>
    <w:p w14:paraId="118290CB" w14:textId="77777777" w:rsidR="009F1A78" w:rsidRDefault="009F1A78" w:rsidP="00AC60F6"/>
    <w:p w14:paraId="58F97524" w14:textId="77777777" w:rsidR="009F1A78" w:rsidRDefault="009F1A78" w:rsidP="00AC60F6"/>
    <w:p w14:paraId="750FC529" w14:textId="77777777" w:rsidR="009F1A78" w:rsidRDefault="009F1A78" w:rsidP="00AC60F6"/>
    <w:p w14:paraId="790BA2FD" w14:textId="77777777" w:rsidR="009F1A78" w:rsidRDefault="009F1A78"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355D63"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"/>
          </w:pict>
        </mc:Fallback>
      </mc:AlternateContent>
    </w:r>
    <w:r w:rsidRPr="00A23575">
      <w:rPr>
        <w:snapToGrid w:val="0"/>
      </w:rPr>
      <w:t xml:space="preserve"> </w:t>
    </w:r>
  </w:p>
  <w:p w14:paraId="05CD0BA8" w14:textId="58504C72"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sidR="00E64A5C">
      <w:rPr>
        <w:noProof/>
      </w:rPr>
      <w:t>13</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4C672" w14:textId="77777777" w:rsidR="009F1A78" w:rsidRDefault="009F1A78" w:rsidP="00AC60F6">
      <w:r>
        <w:separator/>
      </w:r>
    </w:p>
    <w:p w14:paraId="259DD95C" w14:textId="77777777" w:rsidR="009F1A78" w:rsidRDefault="009F1A78" w:rsidP="00AC60F6"/>
    <w:p w14:paraId="33A85F03" w14:textId="77777777" w:rsidR="009F1A78" w:rsidRDefault="009F1A78" w:rsidP="00AC60F6"/>
    <w:p w14:paraId="5D51BF98" w14:textId="77777777" w:rsidR="009F1A78" w:rsidRDefault="009F1A78" w:rsidP="00AC60F6"/>
    <w:p w14:paraId="24300B54" w14:textId="77777777" w:rsidR="009F1A78" w:rsidRDefault="009F1A78" w:rsidP="00AC60F6"/>
  </w:footnote>
  <w:footnote w:type="continuationSeparator" w:id="0">
    <w:p w14:paraId="4D65EF0C" w14:textId="77777777" w:rsidR="009F1A78" w:rsidRDefault="009F1A78" w:rsidP="00AC60F6">
      <w:r>
        <w:continuationSeparator/>
      </w:r>
    </w:p>
    <w:p w14:paraId="5A906B8F" w14:textId="77777777" w:rsidR="009F1A78" w:rsidRDefault="009F1A78" w:rsidP="00AC60F6"/>
    <w:p w14:paraId="717B42BC" w14:textId="77777777" w:rsidR="009F1A78" w:rsidRDefault="009F1A78" w:rsidP="00AC60F6"/>
    <w:p w14:paraId="20BC14D1" w14:textId="77777777" w:rsidR="009F1A78" w:rsidRDefault="009F1A78" w:rsidP="00AC60F6"/>
    <w:p w14:paraId="6A776CC4" w14:textId="77777777" w:rsidR="009F1A78" w:rsidRDefault="009F1A78" w:rsidP="00AC60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8E0"/>
    <w:multiLevelType w:val="hybridMultilevel"/>
    <w:tmpl w:val="5CFCC9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68612F"/>
    <w:multiLevelType w:val="hybridMultilevel"/>
    <w:tmpl w:val="5CFCC9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32BD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39200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4902E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7"/>
  </w:num>
  <w:num w:numId="5">
    <w:abstractNumId w:val="15"/>
  </w:num>
  <w:num w:numId="6">
    <w:abstractNumId w:val="2"/>
  </w:num>
  <w:num w:numId="7">
    <w:abstractNumId w:val="10"/>
  </w:num>
  <w:num w:numId="8">
    <w:abstractNumId w:val="13"/>
  </w:num>
  <w:num w:numId="9">
    <w:abstractNumId w:val="12"/>
  </w:num>
  <w:num w:numId="10">
    <w:abstractNumId w:val="11"/>
  </w:num>
  <w:num w:numId="11">
    <w:abstractNumId w:val="3"/>
  </w:num>
  <w:num w:numId="12">
    <w:abstractNumId w:val="0"/>
  </w:num>
  <w:num w:numId="13">
    <w:abstractNumId w:val="6"/>
  </w:num>
  <w:num w:numId="14">
    <w:abstractNumId w:val="4"/>
  </w:num>
  <w:num w:numId="15">
    <w:abstractNumId w:val="8"/>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AC"/>
    <w:rsid w:val="0000062B"/>
    <w:rsid w:val="00000C2E"/>
    <w:rsid w:val="00000E36"/>
    <w:rsid w:val="00001178"/>
    <w:rsid w:val="00001685"/>
    <w:rsid w:val="000020D7"/>
    <w:rsid w:val="000029B7"/>
    <w:rsid w:val="00002D14"/>
    <w:rsid w:val="00004027"/>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3582"/>
    <w:rsid w:val="000544C1"/>
    <w:rsid w:val="00057185"/>
    <w:rsid w:val="0006071D"/>
    <w:rsid w:val="00061379"/>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330"/>
    <w:rsid w:val="000956E1"/>
    <w:rsid w:val="00096FEA"/>
    <w:rsid w:val="000976BB"/>
    <w:rsid w:val="00097DD2"/>
    <w:rsid w:val="000A2160"/>
    <w:rsid w:val="000A4146"/>
    <w:rsid w:val="000A64AC"/>
    <w:rsid w:val="000B001D"/>
    <w:rsid w:val="000B2971"/>
    <w:rsid w:val="000B33DD"/>
    <w:rsid w:val="000B443D"/>
    <w:rsid w:val="000B611C"/>
    <w:rsid w:val="000C0FDB"/>
    <w:rsid w:val="000C10E6"/>
    <w:rsid w:val="000C3288"/>
    <w:rsid w:val="000C3922"/>
    <w:rsid w:val="000C4054"/>
    <w:rsid w:val="000C4E99"/>
    <w:rsid w:val="000C6846"/>
    <w:rsid w:val="000D23C4"/>
    <w:rsid w:val="000D2700"/>
    <w:rsid w:val="000D3319"/>
    <w:rsid w:val="000D38EE"/>
    <w:rsid w:val="000D44FC"/>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93A"/>
    <w:rsid w:val="00122A1F"/>
    <w:rsid w:val="001245EC"/>
    <w:rsid w:val="0012465F"/>
    <w:rsid w:val="0012600C"/>
    <w:rsid w:val="00130049"/>
    <w:rsid w:val="001334ED"/>
    <w:rsid w:val="0013512B"/>
    <w:rsid w:val="00135444"/>
    <w:rsid w:val="00135F0F"/>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59A3"/>
    <w:rsid w:val="00176830"/>
    <w:rsid w:val="001773A8"/>
    <w:rsid w:val="001813E0"/>
    <w:rsid w:val="00182596"/>
    <w:rsid w:val="0018560D"/>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855"/>
    <w:rsid w:val="001D2FBB"/>
    <w:rsid w:val="001D3F0E"/>
    <w:rsid w:val="001D63FF"/>
    <w:rsid w:val="001D7A09"/>
    <w:rsid w:val="001E2546"/>
    <w:rsid w:val="001E2C0B"/>
    <w:rsid w:val="001E572F"/>
    <w:rsid w:val="001E5EB1"/>
    <w:rsid w:val="001E62D8"/>
    <w:rsid w:val="001E7ED6"/>
    <w:rsid w:val="001F216C"/>
    <w:rsid w:val="001F3F6F"/>
    <w:rsid w:val="001F4A74"/>
    <w:rsid w:val="001F6F25"/>
    <w:rsid w:val="00200F9F"/>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1407"/>
    <w:rsid w:val="002327E7"/>
    <w:rsid w:val="00233CC0"/>
    <w:rsid w:val="00235170"/>
    <w:rsid w:val="0023679A"/>
    <w:rsid w:val="0024151A"/>
    <w:rsid w:val="00247B10"/>
    <w:rsid w:val="00250E21"/>
    <w:rsid w:val="002518DD"/>
    <w:rsid w:val="00253384"/>
    <w:rsid w:val="00253B43"/>
    <w:rsid w:val="002540F2"/>
    <w:rsid w:val="00255609"/>
    <w:rsid w:val="00256BC3"/>
    <w:rsid w:val="00257053"/>
    <w:rsid w:val="0026018F"/>
    <w:rsid w:val="002603A4"/>
    <w:rsid w:val="00261660"/>
    <w:rsid w:val="002620AF"/>
    <w:rsid w:val="0026222E"/>
    <w:rsid w:val="00264708"/>
    <w:rsid w:val="00266847"/>
    <w:rsid w:val="00271CEB"/>
    <w:rsid w:val="00273EC1"/>
    <w:rsid w:val="00273FE8"/>
    <w:rsid w:val="00274628"/>
    <w:rsid w:val="00275035"/>
    <w:rsid w:val="00280E66"/>
    <w:rsid w:val="002817B1"/>
    <w:rsid w:val="002843BA"/>
    <w:rsid w:val="00285E7D"/>
    <w:rsid w:val="00290DC2"/>
    <w:rsid w:val="002914F6"/>
    <w:rsid w:val="002918BC"/>
    <w:rsid w:val="00294EB8"/>
    <w:rsid w:val="00295307"/>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140"/>
    <w:rsid w:val="002F45FF"/>
    <w:rsid w:val="002F5B83"/>
    <w:rsid w:val="002F6D9D"/>
    <w:rsid w:val="003021B1"/>
    <w:rsid w:val="00302D3B"/>
    <w:rsid w:val="003035D0"/>
    <w:rsid w:val="00304546"/>
    <w:rsid w:val="00304EBD"/>
    <w:rsid w:val="00304FF6"/>
    <w:rsid w:val="003077B3"/>
    <w:rsid w:val="00311AEB"/>
    <w:rsid w:val="00311D53"/>
    <w:rsid w:val="00312728"/>
    <w:rsid w:val="00314FB6"/>
    <w:rsid w:val="003152B8"/>
    <w:rsid w:val="00316B8D"/>
    <w:rsid w:val="00316D95"/>
    <w:rsid w:val="003174A2"/>
    <w:rsid w:val="00321C01"/>
    <w:rsid w:val="00322BB4"/>
    <w:rsid w:val="00322BF2"/>
    <w:rsid w:val="0032364C"/>
    <w:rsid w:val="00324599"/>
    <w:rsid w:val="003320AA"/>
    <w:rsid w:val="00333311"/>
    <w:rsid w:val="003359BB"/>
    <w:rsid w:val="00341427"/>
    <w:rsid w:val="00344A52"/>
    <w:rsid w:val="00344B80"/>
    <w:rsid w:val="00345671"/>
    <w:rsid w:val="00346A9E"/>
    <w:rsid w:val="003478DB"/>
    <w:rsid w:val="00350381"/>
    <w:rsid w:val="00351F4C"/>
    <w:rsid w:val="00352984"/>
    <w:rsid w:val="00353BEC"/>
    <w:rsid w:val="003542D1"/>
    <w:rsid w:val="00354F6A"/>
    <w:rsid w:val="003552C7"/>
    <w:rsid w:val="00360073"/>
    <w:rsid w:val="00364184"/>
    <w:rsid w:val="00365172"/>
    <w:rsid w:val="00366586"/>
    <w:rsid w:val="00371BF6"/>
    <w:rsid w:val="00372CD5"/>
    <w:rsid w:val="00376ED7"/>
    <w:rsid w:val="00377748"/>
    <w:rsid w:val="0038175B"/>
    <w:rsid w:val="00381E74"/>
    <w:rsid w:val="0038287E"/>
    <w:rsid w:val="003829FC"/>
    <w:rsid w:val="00382C08"/>
    <w:rsid w:val="003831EF"/>
    <w:rsid w:val="003861D0"/>
    <w:rsid w:val="003861EE"/>
    <w:rsid w:val="003867E4"/>
    <w:rsid w:val="003868A6"/>
    <w:rsid w:val="00387573"/>
    <w:rsid w:val="0039030F"/>
    <w:rsid w:val="0039050D"/>
    <w:rsid w:val="00394273"/>
    <w:rsid w:val="00395548"/>
    <w:rsid w:val="003A1F38"/>
    <w:rsid w:val="003A216D"/>
    <w:rsid w:val="003A39B7"/>
    <w:rsid w:val="003A3B7F"/>
    <w:rsid w:val="003A7E55"/>
    <w:rsid w:val="003B0A00"/>
    <w:rsid w:val="003B0F93"/>
    <w:rsid w:val="003B16E9"/>
    <w:rsid w:val="003B407B"/>
    <w:rsid w:val="003B4C63"/>
    <w:rsid w:val="003B52A0"/>
    <w:rsid w:val="003B5F4D"/>
    <w:rsid w:val="003C0E27"/>
    <w:rsid w:val="003C3292"/>
    <w:rsid w:val="003C35A8"/>
    <w:rsid w:val="003C3DC1"/>
    <w:rsid w:val="003C42B0"/>
    <w:rsid w:val="003C44B0"/>
    <w:rsid w:val="003C7273"/>
    <w:rsid w:val="003D0432"/>
    <w:rsid w:val="003D2481"/>
    <w:rsid w:val="003D3471"/>
    <w:rsid w:val="003D4840"/>
    <w:rsid w:val="003D5AF9"/>
    <w:rsid w:val="003E1ABC"/>
    <w:rsid w:val="003E1C93"/>
    <w:rsid w:val="003E1E67"/>
    <w:rsid w:val="003E24EA"/>
    <w:rsid w:val="003E393F"/>
    <w:rsid w:val="003E3A75"/>
    <w:rsid w:val="003E3BD0"/>
    <w:rsid w:val="003E5E91"/>
    <w:rsid w:val="003E7DE4"/>
    <w:rsid w:val="003F1F70"/>
    <w:rsid w:val="003F5F98"/>
    <w:rsid w:val="003F61AB"/>
    <w:rsid w:val="003F667E"/>
    <w:rsid w:val="00400DC2"/>
    <w:rsid w:val="00401E5C"/>
    <w:rsid w:val="0040287C"/>
    <w:rsid w:val="00404105"/>
    <w:rsid w:val="00407518"/>
    <w:rsid w:val="00407FC5"/>
    <w:rsid w:val="00410B83"/>
    <w:rsid w:val="00411C67"/>
    <w:rsid w:val="004125CA"/>
    <w:rsid w:val="004125FC"/>
    <w:rsid w:val="00412AFE"/>
    <w:rsid w:val="004137C9"/>
    <w:rsid w:val="00416134"/>
    <w:rsid w:val="00417E8D"/>
    <w:rsid w:val="00417F9D"/>
    <w:rsid w:val="00420377"/>
    <w:rsid w:val="004207EB"/>
    <w:rsid w:val="00420A14"/>
    <w:rsid w:val="004211AD"/>
    <w:rsid w:val="00431550"/>
    <w:rsid w:val="00431A86"/>
    <w:rsid w:val="0043388D"/>
    <w:rsid w:val="004349DE"/>
    <w:rsid w:val="00436EDE"/>
    <w:rsid w:val="0044029B"/>
    <w:rsid w:val="00440EDB"/>
    <w:rsid w:val="00441A93"/>
    <w:rsid w:val="0044372F"/>
    <w:rsid w:val="00446375"/>
    <w:rsid w:val="004477E4"/>
    <w:rsid w:val="00447F17"/>
    <w:rsid w:val="00450156"/>
    <w:rsid w:val="004556FA"/>
    <w:rsid w:val="00455A1A"/>
    <w:rsid w:val="00455F0A"/>
    <w:rsid w:val="00461F73"/>
    <w:rsid w:val="00463FBC"/>
    <w:rsid w:val="00465DE0"/>
    <w:rsid w:val="004675DF"/>
    <w:rsid w:val="00473569"/>
    <w:rsid w:val="004736F7"/>
    <w:rsid w:val="0047661A"/>
    <w:rsid w:val="00476923"/>
    <w:rsid w:val="00477C29"/>
    <w:rsid w:val="00480357"/>
    <w:rsid w:val="004849AF"/>
    <w:rsid w:val="0048671F"/>
    <w:rsid w:val="00487140"/>
    <w:rsid w:val="00490B74"/>
    <w:rsid w:val="00491B19"/>
    <w:rsid w:val="00492E9C"/>
    <w:rsid w:val="00494911"/>
    <w:rsid w:val="00496D8F"/>
    <w:rsid w:val="004979CB"/>
    <w:rsid w:val="004A0887"/>
    <w:rsid w:val="004A26ED"/>
    <w:rsid w:val="004A63EB"/>
    <w:rsid w:val="004A6F02"/>
    <w:rsid w:val="004A74F9"/>
    <w:rsid w:val="004B0394"/>
    <w:rsid w:val="004B40DD"/>
    <w:rsid w:val="004B4221"/>
    <w:rsid w:val="004B4B43"/>
    <w:rsid w:val="004B75E8"/>
    <w:rsid w:val="004B76B9"/>
    <w:rsid w:val="004C0251"/>
    <w:rsid w:val="004C026B"/>
    <w:rsid w:val="004C20C9"/>
    <w:rsid w:val="004C427D"/>
    <w:rsid w:val="004C6A97"/>
    <w:rsid w:val="004C719F"/>
    <w:rsid w:val="004D08DC"/>
    <w:rsid w:val="004D161A"/>
    <w:rsid w:val="004D1824"/>
    <w:rsid w:val="004D249A"/>
    <w:rsid w:val="004D3D6F"/>
    <w:rsid w:val="004D4490"/>
    <w:rsid w:val="004D6579"/>
    <w:rsid w:val="004D6C8D"/>
    <w:rsid w:val="004D75B4"/>
    <w:rsid w:val="004E2091"/>
    <w:rsid w:val="004E44B4"/>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617F"/>
    <w:rsid w:val="00546719"/>
    <w:rsid w:val="00546774"/>
    <w:rsid w:val="00550812"/>
    <w:rsid w:val="0055206C"/>
    <w:rsid w:val="005528E1"/>
    <w:rsid w:val="00552FF5"/>
    <w:rsid w:val="00553EAE"/>
    <w:rsid w:val="00555FD5"/>
    <w:rsid w:val="00556EE1"/>
    <w:rsid w:val="00560064"/>
    <w:rsid w:val="00564D8C"/>
    <w:rsid w:val="00565382"/>
    <w:rsid w:val="00565988"/>
    <w:rsid w:val="005659EC"/>
    <w:rsid w:val="00567B49"/>
    <w:rsid w:val="0057037A"/>
    <w:rsid w:val="0057053A"/>
    <w:rsid w:val="00570F9E"/>
    <w:rsid w:val="00572B27"/>
    <w:rsid w:val="00572EAE"/>
    <w:rsid w:val="00573433"/>
    <w:rsid w:val="00575B98"/>
    <w:rsid w:val="00575ECD"/>
    <w:rsid w:val="00577EF4"/>
    <w:rsid w:val="0058349A"/>
    <w:rsid w:val="00584C02"/>
    <w:rsid w:val="0058515E"/>
    <w:rsid w:val="0058632B"/>
    <w:rsid w:val="00586837"/>
    <w:rsid w:val="00593251"/>
    <w:rsid w:val="00593622"/>
    <w:rsid w:val="005964A1"/>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E7C"/>
    <w:rsid w:val="005E595D"/>
    <w:rsid w:val="005E7DC3"/>
    <w:rsid w:val="005F0A2D"/>
    <w:rsid w:val="005F2AC5"/>
    <w:rsid w:val="005F3F7A"/>
    <w:rsid w:val="00600CBA"/>
    <w:rsid w:val="00601F4E"/>
    <w:rsid w:val="00602DD5"/>
    <w:rsid w:val="00602E92"/>
    <w:rsid w:val="0060652D"/>
    <w:rsid w:val="00610198"/>
    <w:rsid w:val="00612C1A"/>
    <w:rsid w:val="00613347"/>
    <w:rsid w:val="00614BEA"/>
    <w:rsid w:val="006169E4"/>
    <w:rsid w:val="00620270"/>
    <w:rsid w:val="006241EA"/>
    <w:rsid w:val="00631EA5"/>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1762"/>
    <w:rsid w:val="006734A8"/>
    <w:rsid w:val="00674C53"/>
    <w:rsid w:val="00674C57"/>
    <w:rsid w:val="00674D62"/>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5C4E"/>
    <w:rsid w:val="006C6017"/>
    <w:rsid w:val="006C6427"/>
    <w:rsid w:val="006D0951"/>
    <w:rsid w:val="006D0E90"/>
    <w:rsid w:val="006D363C"/>
    <w:rsid w:val="006D619B"/>
    <w:rsid w:val="006D7623"/>
    <w:rsid w:val="006E0ABC"/>
    <w:rsid w:val="006E1826"/>
    <w:rsid w:val="006E2461"/>
    <w:rsid w:val="006E26AB"/>
    <w:rsid w:val="006E34B6"/>
    <w:rsid w:val="006E54B8"/>
    <w:rsid w:val="006F0B53"/>
    <w:rsid w:val="006F2542"/>
    <w:rsid w:val="006F3D19"/>
    <w:rsid w:val="006F4E37"/>
    <w:rsid w:val="00701BD7"/>
    <w:rsid w:val="00705402"/>
    <w:rsid w:val="00705812"/>
    <w:rsid w:val="007059D3"/>
    <w:rsid w:val="00707E73"/>
    <w:rsid w:val="00711A77"/>
    <w:rsid w:val="00711B64"/>
    <w:rsid w:val="00711FE9"/>
    <w:rsid w:val="00713AAD"/>
    <w:rsid w:val="0071461A"/>
    <w:rsid w:val="00714B1B"/>
    <w:rsid w:val="007157FB"/>
    <w:rsid w:val="00715CB8"/>
    <w:rsid w:val="00716FAE"/>
    <w:rsid w:val="00717318"/>
    <w:rsid w:val="007201F7"/>
    <w:rsid w:val="00721C4E"/>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364F"/>
    <w:rsid w:val="00763BDD"/>
    <w:rsid w:val="00764A70"/>
    <w:rsid w:val="0076502B"/>
    <w:rsid w:val="007664DE"/>
    <w:rsid w:val="00775097"/>
    <w:rsid w:val="0078071E"/>
    <w:rsid w:val="00780CBD"/>
    <w:rsid w:val="007815E2"/>
    <w:rsid w:val="0078399C"/>
    <w:rsid w:val="00786892"/>
    <w:rsid w:val="00787F33"/>
    <w:rsid w:val="0079086C"/>
    <w:rsid w:val="00790B60"/>
    <w:rsid w:val="00790F97"/>
    <w:rsid w:val="00792C85"/>
    <w:rsid w:val="0079563E"/>
    <w:rsid w:val="007A16A9"/>
    <w:rsid w:val="007A2067"/>
    <w:rsid w:val="007A36FF"/>
    <w:rsid w:val="007A3B66"/>
    <w:rsid w:val="007A41AE"/>
    <w:rsid w:val="007A64B7"/>
    <w:rsid w:val="007A761C"/>
    <w:rsid w:val="007A7BA2"/>
    <w:rsid w:val="007B0C43"/>
    <w:rsid w:val="007B21D6"/>
    <w:rsid w:val="007B2967"/>
    <w:rsid w:val="007B31D5"/>
    <w:rsid w:val="007B3685"/>
    <w:rsid w:val="007B4D43"/>
    <w:rsid w:val="007B642B"/>
    <w:rsid w:val="007B739F"/>
    <w:rsid w:val="007C085C"/>
    <w:rsid w:val="007C1A8C"/>
    <w:rsid w:val="007C2006"/>
    <w:rsid w:val="007C2F43"/>
    <w:rsid w:val="007C408C"/>
    <w:rsid w:val="007C6304"/>
    <w:rsid w:val="007C7BAD"/>
    <w:rsid w:val="007D036C"/>
    <w:rsid w:val="007D068B"/>
    <w:rsid w:val="007D1C56"/>
    <w:rsid w:val="007D1F1E"/>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804300"/>
    <w:rsid w:val="00814887"/>
    <w:rsid w:val="00814BBC"/>
    <w:rsid w:val="008151A9"/>
    <w:rsid w:val="00815431"/>
    <w:rsid w:val="0081555A"/>
    <w:rsid w:val="00815647"/>
    <w:rsid w:val="00815BED"/>
    <w:rsid w:val="00820C03"/>
    <w:rsid w:val="0082125D"/>
    <w:rsid w:val="0082150E"/>
    <w:rsid w:val="008218AD"/>
    <w:rsid w:val="00824725"/>
    <w:rsid w:val="00824759"/>
    <w:rsid w:val="00824E16"/>
    <w:rsid w:val="00824E48"/>
    <w:rsid w:val="00825568"/>
    <w:rsid w:val="00830FB0"/>
    <w:rsid w:val="0083172A"/>
    <w:rsid w:val="008318E0"/>
    <w:rsid w:val="00833B5F"/>
    <w:rsid w:val="00833FFF"/>
    <w:rsid w:val="008357E1"/>
    <w:rsid w:val="00836519"/>
    <w:rsid w:val="0084225B"/>
    <w:rsid w:val="00843800"/>
    <w:rsid w:val="008516EC"/>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B1B"/>
    <w:rsid w:val="00897229"/>
    <w:rsid w:val="00897BD5"/>
    <w:rsid w:val="008A0678"/>
    <w:rsid w:val="008A2496"/>
    <w:rsid w:val="008A2604"/>
    <w:rsid w:val="008A5C16"/>
    <w:rsid w:val="008A6677"/>
    <w:rsid w:val="008A77BC"/>
    <w:rsid w:val="008A78E8"/>
    <w:rsid w:val="008B257F"/>
    <w:rsid w:val="008B3BDE"/>
    <w:rsid w:val="008B3D98"/>
    <w:rsid w:val="008B4569"/>
    <w:rsid w:val="008C3CD8"/>
    <w:rsid w:val="008C4A02"/>
    <w:rsid w:val="008C5084"/>
    <w:rsid w:val="008C539B"/>
    <w:rsid w:val="008C5603"/>
    <w:rsid w:val="008C71AB"/>
    <w:rsid w:val="008C7AF9"/>
    <w:rsid w:val="008D05EB"/>
    <w:rsid w:val="008D27E2"/>
    <w:rsid w:val="008D2973"/>
    <w:rsid w:val="008D4489"/>
    <w:rsid w:val="008D48B8"/>
    <w:rsid w:val="008D559C"/>
    <w:rsid w:val="008D58BC"/>
    <w:rsid w:val="008E0EF6"/>
    <w:rsid w:val="008E2C09"/>
    <w:rsid w:val="008E6632"/>
    <w:rsid w:val="008F13DF"/>
    <w:rsid w:val="008F21FF"/>
    <w:rsid w:val="008F2966"/>
    <w:rsid w:val="008F69DE"/>
    <w:rsid w:val="008F70D0"/>
    <w:rsid w:val="008F7D90"/>
    <w:rsid w:val="008F7EEE"/>
    <w:rsid w:val="00900F26"/>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67E2"/>
    <w:rsid w:val="00967F0D"/>
    <w:rsid w:val="00971A15"/>
    <w:rsid w:val="00971F28"/>
    <w:rsid w:val="009733A1"/>
    <w:rsid w:val="00973D1C"/>
    <w:rsid w:val="009767E5"/>
    <w:rsid w:val="009819F3"/>
    <w:rsid w:val="009836FE"/>
    <w:rsid w:val="00984DEC"/>
    <w:rsid w:val="009850A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BCF"/>
    <w:rsid w:val="009D336E"/>
    <w:rsid w:val="009D404B"/>
    <w:rsid w:val="009D6587"/>
    <w:rsid w:val="009E0940"/>
    <w:rsid w:val="009E54DD"/>
    <w:rsid w:val="009E64E2"/>
    <w:rsid w:val="009E7189"/>
    <w:rsid w:val="009E7A75"/>
    <w:rsid w:val="009E7DE8"/>
    <w:rsid w:val="009F09FF"/>
    <w:rsid w:val="009F147A"/>
    <w:rsid w:val="009F1A78"/>
    <w:rsid w:val="009F3246"/>
    <w:rsid w:val="009F6F3D"/>
    <w:rsid w:val="009F70F1"/>
    <w:rsid w:val="00A019AE"/>
    <w:rsid w:val="00A023A7"/>
    <w:rsid w:val="00A04530"/>
    <w:rsid w:val="00A055B5"/>
    <w:rsid w:val="00A0792D"/>
    <w:rsid w:val="00A12C3B"/>
    <w:rsid w:val="00A149AC"/>
    <w:rsid w:val="00A15980"/>
    <w:rsid w:val="00A15A18"/>
    <w:rsid w:val="00A17606"/>
    <w:rsid w:val="00A20A31"/>
    <w:rsid w:val="00A21D53"/>
    <w:rsid w:val="00A22C12"/>
    <w:rsid w:val="00A23575"/>
    <w:rsid w:val="00A27B55"/>
    <w:rsid w:val="00A30E0A"/>
    <w:rsid w:val="00A33483"/>
    <w:rsid w:val="00A3472A"/>
    <w:rsid w:val="00A349D7"/>
    <w:rsid w:val="00A364D2"/>
    <w:rsid w:val="00A40896"/>
    <w:rsid w:val="00A410C8"/>
    <w:rsid w:val="00A415A1"/>
    <w:rsid w:val="00A41CE1"/>
    <w:rsid w:val="00A44F81"/>
    <w:rsid w:val="00A4519D"/>
    <w:rsid w:val="00A45AF8"/>
    <w:rsid w:val="00A47041"/>
    <w:rsid w:val="00A47423"/>
    <w:rsid w:val="00A51D8C"/>
    <w:rsid w:val="00A525F4"/>
    <w:rsid w:val="00A53D72"/>
    <w:rsid w:val="00A543BC"/>
    <w:rsid w:val="00A547CE"/>
    <w:rsid w:val="00A55D20"/>
    <w:rsid w:val="00A57429"/>
    <w:rsid w:val="00A60303"/>
    <w:rsid w:val="00A61410"/>
    <w:rsid w:val="00A61D7B"/>
    <w:rsid w:val="00A6233E"/>
    <w:rsid w:val="00A62857"/>
    <w:rsid w:val="00A6378F"/>
    <w:rsid w:val="00A71847"/>
    <w:rsid w:val="00A80864"/>
    <w:rsid w:val="00A81C0E"/>
    <w:rsid w:val="00A81F33"/>
    <w:rsid w:val="00A83AD3"/>
    <w:rsid w:val="00A83D4D"/>
    <w:rsid w:val="00A84680"/>
    <w:rsid w:val="00A848E7"/>
    <w:rsid w:val="00A8514C"/>
    <w:rsid w:val="00A87929"/>
    <w:rsid w:val="00A94E8C"/>
    <w:rsid w:val="00A94F1F"/>
    <w:rsid w:val="00A9659C"/>
    <w:rsid w:val="00A97DE9"/>
    <w:rsid w:val="00AA1495"/>
    <w:rsid w:val="00AA4C0F"/>
    <w:rsid w:val="00AA5B8D"/>
    <w:rsid w:val="00AA6242"/>
    <w:rsid w:val="00AA7191"/>
    <w:rsid w:val="00AB1576"/>
    <w:rsid w:val="00AB43F0"/>
    <w:rsid w:val="00AB6D41"/>
    <w:rsid w:val="00AC2DFB"/>
    <w:rsid w:val="00AC2F03"/>
    <w:rsid w:val="00AC49A1"/>
    <w:rsid w:val="00AC5FF4"/>
    <w:rsid w:val="00AC60F6"/>
    <w:rsid w:val="00AD0ACB"/>
    <w:rsid w:val="00AD0FD8"/>
    <w:rsid w:val="00AD138E"/>
    <w:rsid w:val="00AD13BF"/>
    <w:rsid w:val="00AD42E0"/>
    <w:rsid w:val="00AD646F"/>
    <w:rsid w:val="00AD688A"/>
    <w:rsid w:val="00AD7F96"/>
    <w:rsid w:val="00AE060C"/>
    <w:rsid w:val="00AE3EE6"/>
    <w:rsid w:val="00AE4B2B"/>
    <w:rsid w:val="00AE6FAE"/>
    <w:rsid w:val="00AE76AA"/>
    <w:rsid w:val="00AF1D6A"/>
    <w:rsid w:val="00AF2914"/>
    <w:rsid w:val="00AF7B87"/>
    <w:rsid w:val="00B00553"/>
    <w:rsid w:val="00B02AAF"/>
    <w:rsid w:val="00B0303B"/>
    <w:rsid w:val="00B0456F"/>
    <w:rsid w:val="00B05481"/>
    <w:rsid w:val="00B07F7F"/>
    <w:rsid w:val="00B13148"/>
    <w:rsid w:val="00B13D0F"/>
    <w:rsid w:val="00B1437C"/>
    <w:rsid w:val="00B15657"/>
    <w:rsid w:val="00B165C9"/>
    <w:rsid w:val="00B20D9F"/>
    <w:rsid w:val="00B26869"/>
    <w:rsid w:val="00B27457"/>
    <w:rsid w:val="00B30607"/>
    <w:rsid w:val="00B33B63"/>
    <w:rsid w:val="00B33B7F"/>
    <w:rsid w:val="00B35C04"/>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3604"/>
    <w:rsid w:val="00B76F26"/>
    <w:rsid w:val="00B80E62"/>
    <w:rsid w:val="00B81BCF"/>
    <w:rsid w:val="00B86AFE"/>
    <w:rsid w:val="00B86CCA"/>
    <w:rsid w:val="00B90A2D"/>
    <w:rsid w:val="00B93C8B"/>
    <w:rsid w:val="00B94925"/>
    <w:rsid w:val="00B952B9"/>
    <w:rsid w:val="00B96A36"/>
    <w:rsid w:val="00B97509"/>
    <w:rsid w:val="00BA010C"/>
    <w:rsid w:val="00BA2B94"/>
    <w:rsid w:val="00BA5424"/>
    <w:rsid w:val="00BA5D52"/>
    <w:rsid w:val="00BB21E1"/>
    <w:rsid w:val="00BB333C"/>
    <w:rsid w:val="00BB52BF"/>
    <w:rsid w:val="00BB5657"/>
    <w:rsid w:val="00BB7B64"/>
    <w:rsid w:val="00BC2093"/>
    <w:rsid w:val="00BC268B"/>
    <w:rsid w:val="00BC3084"/>
    <w:rsid w:val="00BC40D8"/>
    <w:rsid w:val="00BC4A1F"/>
    <w:rsid w:val="00BC6185"/>
    <w:rsid w:val="00BD285A"/>
    <w:rsid w:val="00BD33B3"/>
    <w:rsid w:val="00BD43BE"/>
    <w:rsid w:val="00BD6037"/>
    <w:rsid w:val="00BD6C9F"/>
    <w:rsid w:val="00BD7BEE"/>
    <w:rsid w:val="00BE0C43"/>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D3A"/>
    <w:rsid w:val="00C63F07"/>
    <w:rsid w:val="00C64D43"/>
    <w:rsid w:val="00C65487"/>
    <w:rsid w:val="00C6693B"/>
    <w:rsid w:val="00C66D51"/>
    <w:rsid w:val="00C6756C"/>
    <w:rsid w:val="00C678F2"/>
    <w:rsid w:val="00C67930"/>
    <w:rsid w:val="00C7017A"/>
    <w:rsid w:val="00C714BE"/>
    <w:rsid w:val="00C72133"/>
    <w:rsid w:val="00C77CF8"/>
    <w:rsid w:val="00C8742C"/>
    <w:rsid w:val="00C9220A"/>
    <w:rsid w:val="00C92845"/>
    <w:rsid w:val="00C92DCC"/>
    <w:rsid w:val="00C93D1C"/>
    <w:rsid w:val="00CA178C"/>
    <w:rsid w:val="00CA19A6"/>
    <w:rsid w:val="00CA2A7A"/>
    <w:rsid w:val="00CA4491"/>
    <w:rsid w:val="00CA593B"/>
    <w:rsid w:val="00CA5B41"/>
    <w:rsid w:val="00CA5F06"/>
    <w:rsid w:val="00CA65E8"/>
    <w:rsid w:val="00CA72D9"/>
    <w:rsid w:val="00CB1FF6"/>
    <w:rsid w:val="00CB3B2E"/>
    <w:rsid w:val="00CB3E6D"/>
    <w:rsid w:val="00CB4AC4"/>
    <w:rsid w:val="00CB69AF"/>
    <w:rsid w:val="00CC1680"/>
    <w:rsid w:val="00CC3925"/>
    <w:rsid w:val="00CC3DB0"/>
    <w:rsid w:val="00CC4417"/>
    <w:rsid w:val="00CC493A"/>
    <w:rsid w:val="00CC4DFD"/>
    <w:rsid w:val="00CC4F5D"/>
    <w:rsid w:val="00CC5C6F"/>
    <w:rsid w:val="00CD149C"/>
    <w:rsid w:val="00CD20B9"/>
    <w:rsid w:val="00CD390D"/>
    <w:rsid w:val="00CD5299"/>
    <w:rsid w:val="00CD770B"/>
    <w:rsid w:val="00CE2C7E"/>
    <w:rsid w:val="00CE4854"/>
    <w:rsid w:val="00CE4B4B"/>
    <w:rsid w:val="00CE5266"/>
    <w:rsid w:val="00CE6362"/>
    <w:rsid w:val="00CE6841"/>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707E"/>
    <w:rsid w:val="00D573C8"/>
    <w:rsid w:val="00D57F93"/>
    <w:rsid w:val="00D606F0"/>
    <w:rsid w:val="00D61013"/>
    <w:rsid w:val="00D65831"/>
    <w:rsid w:val="00D65860"/>
    <w:rsid w:val="00D659AD"/>
    <w:rsid w:val="00D66239"/>
    <w:rsid w:val="00D70439"/>
    <w:rsid w:val="00D708D3"/>
    <w:rsid w:val="00D71393"/>
    <w:rsid w:val="00D73180"/>
    <w:rsid w:val="00D75891"/>
    <w:rsid w:val="00D75C81"/>
    <w:rsid w:val="00D80D77"/>
    <w:rsid w:val="00D81083"/>
    <w:rsid w:val="00D8154E"/>
    <w:rsid w:val="00D83800"/>
    <w:rsid w:val="00D85208"/>
    <w:rsid w:val="00D90518"/>
    <w:rsid w:val="00D9090F"/>
    <w:rsid w:val="00D922CD"/>
    <w:rsid w:val="00D941CC"/>
    <w:rsid w:val="00D948F9"/>
    <w:rsid w:val="00D973FB"/>
    <w:rsid w:val="00D97832"/>
    <w:rsid w:val="00DA07B3"/>
    <w:rsid w:val="00DA6DD3"/>
    <w:rsid w:val="00DB2BEE"/>
    <w:rsid w:val="00DB3D0D"/>
    <w:rsid w:val="00DB450A"/>
    <w:rsid w:val="00DB57F7"/>
    <w:rsid w:val="00DB5BEC"/>
    <w:rsid w:val="00DB6A8D"/>
    <w:rsid w:val="00DB705C"/>
    <w:rsid w:val="00DC0FC8"/>
    <w:rsid w:val="00DC1660"/>
    <w:rsid w:val="00DC6206"/>
    <w:rsid w:val="00DC634D"/>
    <w:rsid w:val="00DC7149"/>
    <w:rsid w:val="00DD6EA3"/>
    <w:rsid w:val="00DE10C5"/>
    <w:rsid w:val="00DE10F7"/>
    <w:rsid w:val="00DE34FF"/>
    <w:rsid w:val="00DE4105"/>
    <w:rsid w:val="00DE672C"/>
    <w:rsid w:val="00DE6D7A"/>
    <w:rsid w:val="00DE79D2"/>
    <w:rsid w:val="00DF215F"/>
    <w:rsid w:val="00DF270A"/>
    <w:rsid w:val="00DF29B5"/>
    <w:rsid w:val="00DF6FD5"/>
    <w:rsid w:val="00E05CBF"/>
    <w:rsid w:val="00E06646"/>
    <w:rsid w:val="00E0746A"/>
    <w:rsid w:val="00E077F7"/>
    <w:rsid w:val="00E100F5"/>
    <w:rsid w:val="00E12DFA"/>
    <w:rsid w:val="00E1347A"/>
    <w:rsid w:val="00E13A22"/>
    <w:rsid w:val="00E14290"/>
    <w:rsid w:val="00E15CDC"/>
    <w:rsid w:val="00E16F7E"/>
    <w:rsid w:val="00E17458"/>
    <w:rsid w:val="00E201FD"/>
    <w:rsid w:val="00E22C18"/>
    <w:rsid w:val="00E23169"/>
    <w:rsid w:val="00E23728"/>
    <w:rsid w:val="00E2384E"/>
    <w:rsid w:val="00E246CC"/>
    <w:rsid w:val="00E25E92"/>
    <w:rsid w:val="00E3059D"/>
    <w:rsid w:val="00E306E1"/>
    <w:rsid w:val="00E30AE9"/>
    <w:rsid w:val="00E31504"/>
    <w:rsid w:val="00E349B4"/>
    <w:rsid w:val="00E4006C"/>
    <w:rsid w:val="00E4113F"/>
    <w:rsid w:val="00E43E66"/>
    <w:rsid w:val="00E45C2D"/>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64A5C"/>
    <w:rsid w:val="00E672D7"/>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281E"/>
    <w:rsid w:val="00E929B3"/>
    <w:rsid w:val="00E92F90"/>
    <w:rsid w:val="00E93D14"/>
    <w:rsid w:val="00E95522"/>
    <w:rsid w:val="00E961FB"/>
    <w:rsid w:val="00E972A6"/>
    <w:rsid w:val="00EA1E6A"/>
    <w:rsid w:val="00EA36FD"/>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4839"/>
    <w:rsid w:val="00F43255"/>
    <w:rsid w:val="00F43CF7"/>
    <w:rsid w:val="00F442F3"/>
    <w:rsid w:val="00F44A19"/>
    <w:rsid w:val="00F4662E"/>
    <w:rsid w:val="00F46A29"/>
    <w:rsid w:val="00F51826"/>
    <w:rsid w:val="00F53BF4"/>
    <w:rsid w:val="00F53D37"/>
    <w:rsid w:val="00F55DB8"/>
    <w:rsid w:val="00F56029"/>
    <w:rsid w:val="00F57539"/>
    <w:rsid w:val="00F606DF"/>
    <w:rsid w:val="00F6411C"/>
    <w:rsid w:val="00F64DD3"/>
    <w:rsid w:val="00F6581C"/>
    <w:rsid w:val="00F66825"/>
    <w:rsid w:val="00F7382C"/>
    <w:rsid w:val="00F73983"/>
    <w:rsid w:val="00F74657"/>
    <w:rsid w:val="00F77A01"/>
    <w:rsid w:val="00F77E6A"/>
    <w:rsid w:val="00F82129"/>
    <w:rsid w:val="00F827CE"/>
    <w:rsid w:val="00F83D40"/>
    <w:rsid w:val="00F85CDF"/>
    <w:rsid w:val="00F86FB0"/>
    <w:rsid w:val="00F90C87"/>
    <w:rsid w:val="00F91061"/>
    <w:rsid w:val="00F959A3"/>
    <w:rsid w:val="00FA2064"/>
    <w:rsid w:val="00FA2E7D"/>
    <w:rsid w:val="00FA30D8"/>
    <w:rsid w:val="00FA4306"/>
    <w:rsid w:val="00FA4E69"/>
    <w:rsid w:val="00FA65D0"/>
    <w:rsid w:val="00FA7E69"/>
    <w:rsid w:val="00FB5B41"/>
    <w:rsid w:val="00FC13CE"/>
    <w:rsid w:val="00FC52E0"/>
    <w:rsid w:val="00FC6FBF"/>
    <w:rsid w:val="00FD16DD"/>
    <w:rsid w:val="00FD2252"/>
    <w:rsid w:val="00FD379C"/>
    <w:rsid w:val="00FD44FD"/>
    <w:rsid w:val="00FD6EDE"/>
    <w:rsid w:val="00FD7BCA"/>
    <w:rsid w:val="00FE0B2C"/>
    <w:rsid w:val="00FE0D34"/>
    <w:rsid w:val="00FE119D"/>
    <w:rsid w:val="00FE2289"/>
    <w:rsid w:val="00FE3EE2"/>
    <w:rsid w:val="00FE3F74"/>
    <w:rsid w:val="00FE40B8"/>
    <w:rsid w:val="00FE480D"/>
    <w:rsid w:val="00FE4F48"/>
    <w:rsid w:val="00FE59E9"/>
    <w:rsid w:val="00FE604A"/>
    <w:rsid w:val="00FE6747"/>
    <w:rsid w:val="00FE72E0"/>
    <w:rsid w:val="00FF1A55"/>
    <w:rsid w:val="00FF5F21"/>
    <w:rsid w:val="00FF6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8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3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customStyle="1" w:styleId="UnresolvedMention">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kvasar.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vas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kvasa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m@kvasar.cz" TargetMode="External"/><Relationship Id="rId4" Type="http://schemas.openxmlformats.org/officeDocument/2006/relationships/webSettings" Target="webSettings.xml"/><Relationship Id="rId9" Type="http://schemas.openxmlformats.org/officeDocument/2006/relationships/hyperlink" Target="mailto:perm@kvasar.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Smlouva-PERM3-mzdy - 2021</Template>
  <TotalTime>0</TotalTime>
  <Pages>1</Pages>
  <Words>5198</Words>
  <Characters>30675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LinksUpToDate>false</LinksUpToDate>
  <CharactersWithSpaces>35802</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
  <cp:keywords/>
  <cp:lastModifiedBy/>
  <cp:revision>1</cp:revision>
  <cp:lastPrinted>2013-02-24T15:00:00Z</cp:lastPrinted>
  <dcterms:created xsi:type="dcterms:W3CDTF">2024-10-14T09:07:00Z</dcterms:created>
  <dcterms:modified xsi:type="dcterms:W3CDTF">2024-10-14T09:11:00Z</dcterms:modified>
</cp:coreProperties>
</file>