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1074/2024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Mšenský potok - odstranění sedimentu v k.ú. Mšené-lázně</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884555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650000000000006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DINETZ s. r. o.</w:t>
      </w:r>
    </w:p>
    <w:p>
      <w:pPr>
        <w:pStyle w:val="Style2"/>
        <w:keepNext w:val="0"/>
        <w:keepLines w:val="0"/>
        <w:widowControl w:val="0"/>
        <w:shd w:val="clear" w:color="auto" w:fill="auto"/>
        <w:bidi w:val="0"/>
        <w:spacing w:before="0" w:after="0" w:line="240" w:lineRule="auto"/>
        <w:ind w:left="2340" w:right="0" w:firstLine="60"/>
        <w:jc w:val="both"/>
      </w:pPr>
      <w:r>
        <w:rPr>
          <w:color w:val="000000"/>
          <w:spacing w:val="0"/>
          <w:w w:val="100"/>
          <w:position w:val="0"/>
          <w:shd w:val="clear" w:color="auto" w:fill="auto"/>
          <w:lang w:val="cs-CZ" w:eastAsia="cs-CZ" w:bidi="cs-CZ"/>
        </w:rPr>
        <w:t>Černěves 89, 413 01 Roudnice nad Labem 27264068</w:t>
      </w:r>
    </w:p>
    <w:p>
      <w:pPr>
        <w:pStyle w:val="Style2"/>
        <w:keepNext w:val="0"/>
        <w:keepLines w:val="0"/>
        <w:widowControl w:val="0"/>
        <w:shd w:val="clear" w:color="auto" w:fill="auto"/>
        <w:bidi w:val="0"/>
        <w:spacing w:before="0" w:after="320" w:line="240" w:lineRule="auto"/>
        <w:ind w:left="2340" w:right="0" w:firstLine="60"/>
        <w:jc w:val="both"/>
      </w:pPr>
      <w:r>
        <w:rPr>
          <w:color w:val="000000"/>
          <w:spacing w:val="0"/>
          <w:w w:val="100"/>
          <w:position w:val="0"/>
          <w:shd w:val="clear" w:color="auto" w:fill="auto"/>
          <w:lang w:val="cs-CZ" w:eastAsia="cs-CZ" w:bidi="cs-CZ"/>
        </w:rPr>
        <w:t>CZ27264068</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Mšenský potok - odstranění sedimentu v k.ú. Mšené-lázně</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odstranění sedimentů z opevněného koryta vodního toku Mšenský potok v intravilánu obce Mšené-lázně (ř. km 6,897-7,107).</w:t>
      </w:r>
      <w:bookmarkEnd w:id="10"/>
      <w:bookmarkEnd w:id="7"/>
      <w:bookmarkEnd w:id="8"/>
    </w:p>
    <w:p>
      <w:pPr>
        <w:pStyle w:val="Style12"/>
        <w:keepNext/>
        <w:keepLines/>
        <w:widowControl w:val="0"/>
        <w:shd w:val="clear" w:color="auto" w:fill="auto"/>
        <w:bidi w:val="0"/>
        <w:spacing w:before="0" w:line="240" w:lineRule="auto"/>
        <w:ind w:right="0" w:firstLine="2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Jedná se o úsek od mostku v ul. Školní po silniční most v ul. Osvoboditelů. Úsek je dlouhý 210 m, šířka koryta 4,1 m, výška sedimentu se pohybuje od 10 do 50 cm. Předpokládané množství sedimentu k odtěžení je 180 m3. Jde o obdélníkový profil koryta opevněný kamennými zdmi na březích a kamennou dlažbou ve dně.</w:t>
      </w:r>
      <w:bookmarkEnd w:id="11"/>
      <w:bookmarkEnd w:id="12"/>
      <w:bookmarkEnd w:id="13"/>
    </w:p>
    <w:p>
      <w:pPr>
        <w:pStyle w:val="Style12"/>
        <w:keepNext/>
        <w:keepLines/>
        <w:widowControl w:val="0"/>
        <w:shd w:val="clear" w:color="auto" w:fill="auto"/>
        <w:bidi w:val="0"/>
        <w:spacing w:before="0" w:after="0" w:line="240" w:lineRule="auto"/>
        <w:ind w:left="0" w:right="0" w:firstLine="36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Jedná se o tyto práce:</w:t>
      </w:r>
      <w:bookmarkEnd w:id="14"/>
      <w:bookmarkEnd w:id="15"/>
      <w:bookmarkEnd w:id="16"/>
    </w:p>
    <w:p>
      <w:pPr>
        <w:pStyle w:val="Style12"/>
        <w:keepNext/>
        <w:keepLines/>
        <w:widowControl w:val="0"/>
        <w:shd w:val="clear" w:color="auto" w:fill="auto"/>
        <w:bidi w:val="0"/>
        <w:spacing w:before="0" w:after="0" w:line="230" w:lineRule="auto"/>
        <w:ind w:left="720" w:right="0"/>
        <w:jc w:val="both"/>
      </w:pPr>
      <w:bookmarkStart w:id="17" w:name="bookmark17"/>
      <w:bookmarkStart w:id="18" w:name="bookmark18"/>
      <w:bookmarkStart w:id="19" w:name="bookmark1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veškerých sedimentů z průtočného profilu vodního toku (celkový předpokládaný objem 180 m3)</w:t>
      </w:r>
      <w:bookmarkEnd w:id="17"/>
      <w:bookmarkEnd w:id="18"/>
      <w:bookmarkEnd w:id="19"/>
    </w:p>
    <w:p>
      <w:pPr>
        <w:pStyle w:val="Style12"/>
        <w:keepNext/>
        <w:keepLines/>
        <w:widowControl w:val="0"/>
        <w:shd w:val="clear" w:color="auto" w:fill="auto"/>
        <w:bidi w:val="0"/>
        <w:spacing w:before="0" w:after="0" w:line="230" w:lineRule="auto"/>
        <w:ind w:left="720" w:right="0"/>
        <w:jc w:val="both"/>
      </w:pPr>
      <w:bookmarkStart w:id="20" w:name="bookmark20"/>
      <w:bookmarkStart w:id="21" w:name="bookmark21"/>
      <w:bookmarkStart w:id="22" w:name="bookmark2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Naložení, odvoz a likvidace vytěžených sedimentů v souladu s příslušnými právními předpisy ČR</w:t>
      </w:r>
      <w:bookmarkEnd w:id="20"/>
      <w:bookmarkEnd w:id="21"/>
      <w:bookmarkEnd w:id="22"/>
    </w:p>
    <w:p>
      <w:pPr>
        <w:pStyle w:val="Style12"/>
        <w:keepNext/>
        <w:keepLines/>
        <w:widowControl w:val="0"/>
        <w:shd w:val="clear" w:color="auto" w:fill="auto"/>
        <w:bidi w:val="0"/>
        <w:spacing w:before="0" w:after="180" w:line="221" w:lineRule="auto"/>
        <w:ind w:left="0" w:right="0" w:firstLine="360"/>
        <w:jc w:val="both"/>
      </w:pPr>
      <w:bookmarkStart w:id="23" w:name="bookmark23"/>
      <w:bookmarkStart w:id="24" w:name="bookmark24"/>
      <w:bookmarkStart w:id="25" w:name="bookmark2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Ostatní práce a náklady spojené s prováděním zakázky</w:t>
      </w:r>
      <w:bookmarkEnd w:id="23"/>
      <w:bookmarkEnd w:id="24"/>
      <w:bookmarkEnd w:id="25"/>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(Situace viz příloha č. 2): Koryto vodního toku Mšenský potok v ř. km 6,897-7,107. Jedná se o tyto pozemky: p. p. č. …………….. v k. ú. Mšené lázně.</w:t>
      </w:r>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26"/>
      <w:bookmarkEnd w:id="27"/>
      <w:bookmarkEnd w:id="29"/>
    </w:p>
    <w:p>
      <w:pPr>
        <w:pStyle w:val="Style12"/>
        <w:keepNext/>
        <w:keepLines/>
        <w:widowControl w:val="0"/>
        <w:numPr>
          <w:ilvl w:val="0"/>
          <w:numId w:val="1"/>
        </w:numPr>
        <w:shd w:val="clear" w:color="auto" w:fill="auto"/>
        <w:tabs>
          <w:tab w:pos="381" w:val="left"/>
        </w:tabs>
        <w:bidi w:val="0"/>
        <w:spacing w:before="0" w:line="240" w:lineRule="auto"/>
        <w:ind w:left="0" w:right="0" w:firstLine="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Za předmět díla se dále považuje:</w:t>
      </w:r>
      <w:bookmarkEnd w:id="30"/>
      <w:bookmarkEnd w:id="31"/>
      <w:bookmarkEnd w:id="33"/>
    </w:p>
    <w:p>
      <w:pPr>
        <w:pStyle w:val="Style12"/>
        <w:keepNext/>
        <w:keepLines/>
        <w:widowControl w:val="0"/>
        <w:numPr>
          <w:ilvl w:val="0"/>
          <w:numId w:val="3"/>
        </w:numPr>
        <w:shd w:val="clear" w:color="auto" w:fill="auto"/>
        <w:tabs>
          <w:tab w:pos="776" w:val="left"/>
        </w:tabs>
        <w:bidi w:val="0"/>
        <w:spacing w:before="0" w:after="0" w:line="240" w:lineRule="auto"/>
        <w:ind w:left="720"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34"/>
      <w:bookmarkEnd w:id="35"/>
      <w:bookmarkEnd w:id="37"/>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ke vstupu a vjezdu na pozemky (mimo pozemků ve vlastnictví objednatele),</w:t>
      </w:r>
      <w:bookmarkEnd w:id="38"/>
      <w:bookmarkEnd w:id="39"/>
      <w:bookmarkEnd w:id="41"/>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42"/>
      <w:bookmarkEnd w:id="43"/>
      <w:bookmarkEnd w:id="45"/>
    </w:p>
    <w:p>
      <w:pPr>
        <w:pStyle w:val="Style12"/>
        <w:keepNext/>
        <w:keepLines/>
        <w:widowControl w:val="0"/>
        <w:numPr>
          <w:ilvl w:val="0"/>
          <w:numId w:val="3"/>
        </w:numPr>
        <w:shd w:val="clear" w:color="auto" w:fill="auto"/>
        <w:tabs>
          <w:tab w:pos="765" w:val="left"/>
        </w:tabs>
        <w:bidi w:val="0"/>
        <w:spacing w:before="0" w:after="0" w:line="240" w:lineRule="auto"/>
        <w:ind w:left="0" w:right="0" w:firstLine="36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povolení zvláštního užívání pozemní komunikace, bude-li potřeba,</w:t>
      </w:r>
      <w:bookmarkEnd w:id="46"/>
      <w:bookmarkEnd w:id="47"/>
      <w:bookmarkEnd w:id="49"/>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50"/>
      <w:bookmarkEnd w:id="51"/>
      <w:bookmarkEnd w:id="53"/>
    </w:p>
    <w:p>
      <w:pPr>
        <w:pStyle w:val="Style12"/>
        <w:keepNext/>
        <w:keepLines/>
        <w:widowControl w:val="0"/>
        <w:numPr>
          <w:ilvl w:val="0"/>
          <w:numId w:val="3"/>
        </w:numPr>
        <w:shd w:val="clear" w:color="auto" w:fill="auto"/>
        <w:tabs>
          <w:tab w:pos="765" w:val="left"/>
        </w:tabs>
        <w:bidi w:val="0"/>
        <w:spacing w:before="0" w:after="0" w:line="240" w:lineRule="auto"/>
        <w:ind w:left="0" w:right="0" w:firstLine="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zodpovídá za místo realizace díla i v době přerušení prací,</w:t>
      </w:r>
      <w:bookmarkEnd w:id="54"/>
      <w:bookmarkEnd w:id="55"/>
      <w:bookmarkEnd w:id="57"/>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8"/>
      <w:bookmarkEnd w:id="59"/>
      <w:bookmarkEnd w:id="61"/>
    </w:p>
    <w:p>
      <w:pPr>
        <w:pStyle w:val="Style12"/>
        <w:keepNext/>
        <w:keepLines/>
        <w:widowControl w:val="0"/>
        <w:numPr>
          <w:ilvl w:val="0"/>
          <w:numId w:val="3"/>
        </w:numPr>
        <w:shd w:val="clear" w:color="auto" w:fill="auto"/>
        <w:tabs>
          <w:tab w:pos="785" w:val="left"/>
        </w:tabs>
        <w:bidi w:val="0"/>
        <w:spacing w:before="0" w:after="0" w:line="240" w:lineRule="auto"/>
        <w:ind w:left="720"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62"/>
      <w:bookmarkEnd w:id="63"/>
      <w:bookmarkEnd w:id="65"/>
    </w:p>
    <w:p>
      <w:pPr>
        <w:pStyle w:val="Style12"/>
        <w:keepNext/>
        <w:keepLines/>
        <w:widowControl w:val="0"/>
        <w:numPr>
          <w:ilvl w:val="0"/>
          <w:numId w:val="3"/>
        </w:numPr>
        <w:shd w:val="clear" w:color="auto" w:fill="auto"/>
        <w:tabs>
          <w:tab w:pos="785" w:val="left"/>
        </w:tabs>
        <w:bidi w:val="0"/>
        <w:spacing w:before="0" w:line="240" w:lineRule="auto"/>
        <w:ind w:left="720"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66"/>
      <w:bookmarkEnd w:id="67"/>
      <w:bookmarkEnd w:id="69"/>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0"/>
      <w:bookmarkEnd w:id="71"/>
      <w:bookmarkEnd w:id="73"/>
    </w:p>
    <w:p>
      <w:pPr>
        <w:pStyle w:val="Style12"/>
        <w:keepNext/>
        <w:keepLines/>
        <w:widowControl w:val="0"/>
        <w:numPr>
          <w:ilvl w:val="0"/>
          <w:numId w:val="1"/>
        </w:numPr>
        <w:shd w:val="clear" w:color="auto" w:fill="auto"/>
        <w:tabs>
          <w:tab w:pos="381" w:val="left"/>
        </w:tabs>
        <w:bidi w:val="0"/>
        <w:spacing w:before="0" w:line="240" w:lineRule="auto"/>
        <w:ind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74"/>
      <w:bookmarkEnd w:id="75"/>
      <w:bookmarkEnd w:id="77"/>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78"/>
      <w:bookmarkEnd w:id="79"/>
      <w:bookmarkEnd w:id="8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Smluvní strany se dohodly na následujících lhůtách a podmínkách pro realizaci díla.</w:t>
      </w:r>
      <w:bookmarkEnd w:id="82"/>
      <w:bookmarkEnd w:id="83"/>
      <w:bookmarkEnd w:id="85"/>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86" w:name="bookmark86"/>
      <w:bookmarkEnd w:id="86"/>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87" w:name="bookmark87"/>
      <w:bookmarkEnd w:id="87"/>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88" w:name="bookmark88"/>
      <w:bookmarkEnd w:id="8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31.12.2024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9"/>
      <w:bookmarkEnd w:id="90"/>
      <w:bookmarkEnd w:id="92"/>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93"/>
      <w:bookmarkEnd w:id="94"/>
      <w:bookmarkEnd w:id="96"/>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00"/>
      <w:bookmarkEnd w:id="97"/>
      <w:bookmarkEnd w:id="9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101" w:name="bookmark101"/>
      <w:bookmarkEnd w:id="10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102" w:name="bookmark102"/>
      <w:bookmarkEnd w:id="10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103" w:name="bookmark103"/>
      <w:bookmarkEnd w:id="10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05" w:val="left"/>
        </w:tabs>
        <w:bidi w:val="0"/>
        <w:spacing w:before="0" w:line="240" w:lineRule="auto"/>
        <w:ind w:left="0" w:right="0" w:firstLine="300"/>
        <w:jc w:val="both"/>
      </w:pPr>
      <w:r>
        <w:rPr>
          <w:b/>
          <w:bCs/>
          <w:color w:val="000000"/>
          <w:spacing w:val="0"/>
          <w:w w:val="100"/>
          <w:position w:val="0"/>
          <w:shd w:val="clear" w:color="auto" w:fill="auto"/>
          <w:lang w:val="cs-CZ" w:eastAsia="cs-CZ" w:bidi="cs-CZ"/>
        </w:rPr>
        <w:t>Cena díla:</w:t>
        <w:tab/>
        <w:t>95.000,00 Kč bez DPH</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320" w:line="240" w:lineRule="auto"/>
        <w:ind w:left="300" w:right="0" w:hanging="300"/>
        <w:jc w:val="both"/>
      </w:pPr>
      <w:bookmarkStart w:id="104" w:name="bookmark104"/>
      <w:bookmarkEnd w:id="10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2" w:val="left"/>
        </w:tabs>
        <w:bidi w:val="0"/>
        <w:spacing w:before="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2" w:val="left"/>
        </w:tabs>
        <w:bidi w:val="0"/>
        <w:spacing w:before="0" w:after="0" w:line="240" w:lineRule="auto"/>
        <w:ind w:left="0" w:right="0" w:firstLine="0"/>
        <w:jc w:val="both"/>
      </w:pPr>
      <w:bookmarkStart w:id="106" w:name="bookmark106"/>
      <w:bookmarkEnd w:id="106"/>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2" w:val="left"/>
        </w:tabs>
        <w:bidi w:val="0"/>
        <w:spacing w:before="0" w:line="240" w:lineRule="auto"/>
        <w:ind w:left="0" w:right="0" w:firstLine="0"/>
        <w:jc w:val="both"/>
      </w:pPr>
      <w:bookmarkStart w:id="110" w:name="bookmark110"/>
      <w:bookmarkEnd w:id="11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2" w:val="left"/>
        </w:tabs>
        <w:bidi w:val="0"/>
        <w:spacing w:before="0" w:after="32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91"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91" w:val="left"/>
        </w:tabs>
        <w:bidi w:val="0"/>
        <w:spacing w:before="0" w:line="240" w:lineRule="auto"/>
        <w:ind w:left="0" w:right="0" w:firstLine="0"/>
        <w:jc w:val="both"/>
      </w:pPr>
      <w:bookmarkStart w:id="123" w:name="bookmark123"/>
      <w:bookmarkEnd w:id="123"/>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24" w:name="bookmark124"/>
      <w:bookmarkEnd w:id="12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25" w:name="bookmark125"/>
      <w:bookmarkEnd w:id="12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26" w:name="bookmark126"/>
      <w:bookmarkEnd w:id="12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91"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91"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6" w:val="left"/>
        </w:tabs>
        <w:bidi w:val="0"/>
        <w:spacing w:before="0" w:after="44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2"/>
      <w:bookmarkEnd w:id="133"/>
      <w:bookmarkEnd w:id="13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39"/>
      <w:bookmarkEnd w:id="140"/>
      <w:bookmarkEnd w:id="142"/>
    </w:p>
    <w:p>
      <w:pPr>
        <w:pStyle w:val="Style12"/>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bezdůvodném přerušení prací zhotovitelem, které trvá více než 14 dnů,</w:t>
      </w:r>
      <w:bookmarkEnd w:id="143"/>
      <w:bookmarkEnd w:id="144"/>
      <w:bookmarkEnd w:id="146"/>
    </w:p>
    <w:p>
      <w:pPr>
        <w:pStyle w:val="Style12"/>
        <w:keepNext/>
        <w:keepLines/>
        <w:widowControl w:val="0"/>
        <w:numPr>
          <w:ilvl w:val="0"/>
          <w:numId w:val="25"/>
        </w:numPr>
        <w:shd w:val="clear" w:color="auto" w:fill="auto"/>
        <w:tabs>
          <w:tab w:pos="1146" w:val="left"/>
        </w:tabs>
        <w:bidi w:val="0"/>
        <w:spacing w:before="0" w:line="240" w:lineRule="auto"/>
        <w:ind w:left="0" w:right="0" w:firstLine="80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neplněním povinností zhotovitele vést řádně zápisy do stavebního deníku.</w:t>
      </w:r>
      <w:bookmarkEnd w:id="147"/>
      <w:bookmarkEnd w:id="148"/>
      <w:bookmarkEnd w:id="150"/>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6" w:val="left"/>
        </w:tabs>
        <w:bidi w:val="0"/>
        <w:spacing w:before="0" w:line="240" w:lineRule="auto"/>
        <w:ind w:left="0" w:right="0" w:firstLine="0"/>
        <w:jc w:val="both"/>
      </w:pPr>
      <w:bookmarkStart w:id="155" w:name="bookmark155"/>
      <w:bookmarkEnd w:id="155"/>
      <w:r>
        <w:rPr>
          <w:color w:val="000000"/>
          <w:spacing w:val="0"/>
          <w:w w:val="100"/>
          <w:position w:val="0"/>
          <w:shd w:val="clear" w:color="auto" w:fill="auto"/>
          <w:lang w:val="cs-CZ" w:eastAsia="cs-CZ" w:bidi="cs-CZ"/>
        </w:rPr>
        <w:t xml:space="preserve">Smluvní strany se dále zavazují vždy jednat tak a přijmout taková opatření, aby nedošlo </w:t>
      </w:r>
      <w:r>
        <w:rPr>
          <w:color w:val="000000"/>
          <w:spacing w:val="0"/>
          <w:w w:val="100"/>
          <w:position w:val="0"/>
          <w:shd w:val="clear" w:color="auto" w:fill="auto"/>
          <w:lang w:val="cs-CZ" w:eastAsia="cs-CZ" w:bidi="cs-CZ"/>
        </w:rPr>
        <w:t>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56" w:name="bookmark156"/>
      <w:bookmarkEnd w:id="156"/>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52"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52" w:val="left"/>
        </w:tabs>
        <w:bidi w:val="0"/>
        <w:spacing w:before="0" w:line="240" w:lineRule="auto"/>
        <w:ind w:left="0" w:right="0" w:firstLine="0"/>
        <w:jc w:val="left"/>
      </w:pPr>
      <w:bookmarkStart w:id="158" w:name="bookmark158"/>
      <w:bookmarkEnd w:id="15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52" w:val="left"/>
        </w:tabs>
        <w:bidi w:val="0"/>
        <w:spacing w:before="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52"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52" w:val="left"/>
        </w:tabs>
        <w:bidi w:val="0"/>
        <w:spacing w:before="0" w:after="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both"/>
        <w:sectPr>
          <w:headerReference w:type="default" r:id="rId5"/>
          <w:footerReference w:type="default" r:id="rId6"/>
          <w:footnotePr>
            <w:pos w:val="pageBottom"/>
            <w:numFmt w:val="decimal"/>
            <w:numRestart w:val="continuous"/>
          </w:footnotePr>
          <w:pgSz w:w="11909" w:h="16838"/>
          <w:pgMar w:top="1080" w:left="1393" w:right="1386" w:bottom="1228"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166" w:left="1394" w:right="2335" w:bottom="116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5989955</wp:posOffset>
              </wp:positionH>
              <wp:positionV relativeFrom="page">
                <wp:posOffset>9968865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1.65000000000003pt;margin-top:784.95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5648325</wp:posOffset>
              </wp:positionH>
              <wp:positionV relativeFrom="page">
                <wp:posOffset>396240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4.75pt;margin-top:31.19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