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M L O U V Y O D Í L 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zhotovitele: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21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objednatele: 1345/2023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VT Lobezský potok – Sokolov – úprava toku - studie proveditelnosti (SP)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byla uzavřena mezi:</w:t>
      </w:r>
    </w:p>
    <w:p>
      <w:pPr>
        <w:widowControl w:val="0"/>
        <w:spacing w:line="1" w:lineRule="exact"/>
        <w:sectPr>
          <w:headerReference w:type="default" r:id="rId5"/>
          <w:footerReference w:type="default" r:id="rId6"/>
          <w:headerReference w:type="even" r:id="rId7"/>
          <w:footerReference w:type="even" r:id="rId8"/>
          <w:footnotePr>
            <w:pos w:val="pageBottom"/>
            <w:numFmt w:val="decimal"/>
            <w:numRestart w:val="continuous"/>
          </w:footnotePr>
          <w:pgSz w:w="11909" w:h="16838"/>
          <w:pgMar w:top="1286" w:left="1394" w:right="1384" w:bottom="1886" w:header="0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25400" distB="0" distL="0" distR="0" simplePos="0" relativeHeight="125829378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25400</wp:posOffset>
                </wp:positionV>
                <wp:extent cx="2441575" cy="119507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41575" cy="11950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Objednatel: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statutární orgán: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zástupce ve věcech smluvních: oprávněn jednat o věcech technických: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9.700000000000003pt;margin-top:2.pt;width:192.25pt;height:94.100000000000009pt;z-index:-125829375;mso-wrap-distance-left:0;mso-wrap-distance-top:2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statutární orgán: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zástupce ve věcech smluvních: oprávněn jednat o věcech technických: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5400" distB="481965" distL="0" distR="0" simplePos="0" relativeHeight="125829380" behindDoc="0" locked="0" layoutInCell="1" allowOverlap="1">
                <wp:simplePos x="0" y="0"/>
                <wp:positionH relativeFrom="page">
                  <wp:posOffset>3399790</wp:posOffset>
                </wp:positionH>
                <wp:positionV relativeFrom="paragraph">
                  <wp:posOffset>25400</wp:posOffset>
                </wp:positionV>
                <wp:extent cx="2225040" cy="71310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25040" cy="7131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Bezručova 4219, 430 03 Chomutov 70889988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CZ70889988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67.69999999999999pt;margin-top:2.pt;width:175.20000000000002pt;height:56.149999999999999pt;z-index:-125829373;mso-wrap-distance-left:0;mso-wrap-distance-top:2.pt;mso-wrap-distance-right:0;mso-wrap-distance-bottom:37.95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Bezručova 4219, 430 03 Chomutov 70889988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CZ70889988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45" w:lineRule="exact"/>
        <w:rPr>
          <w:sz w:val="12"/>
          <w:szCs w:val="12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86" w:left="0" w:right="0" w:bottom="188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zástupce objednatele: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Krajského soudu v Ústí nad Labem v oddílu A, vložce č. 13052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„objednatel“) na straně jedné 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technických: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77800" distB="0" distL="0" distR="0" simplePos="0" relativeHeight="125829382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177800</wp:posOffset>
                </wp:positionV>
                <wp:extent cx="1969135" cy="70993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69135" cy="709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 zástupce ve věcech smluvních: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69.700000000000003pt;margin-top:14.pt;width:155.05000000000001pt;height:55.899999999999999pt;z-index:-125829371;mso-wrap-distance-left:0;mso-wrap-distance-top:14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zástupce ve věcech smluvních: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77800" distB="158115" distL="0" distR="0" simplePos="0" relativeHeight="125829384" behindDoc="0" locked="0" layoutInCell="1" allowOverlap="1">
                <wp:simplePos x="0" y="0"/>
                <wp:positionH relativeFrom="page">
                  <wp:posOffset>3399790</wp:posOffset>
                </wp:positionH>
                <wp:positionV relativeFrom="paragraph">
                  <wp:posOffset>177800</wp:posOffset>
                </wp:positionV>
                <wp:extent cx="1920240" cy="551815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20240" cy="551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EnviHydro s.r.o.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Chotilsko 32, 262 03 Chotilsko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17485509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67.69999999999999pt;margin-top:14.pt;width:151.20000000000002pt;height:43.450000000000003pt;z-index:-125829369;mso-wrap-distance-left:0;mso-wrap-distance-top:14.pt;mso-wrap-distance-right:0;mso-wrap-distance-bottom:12.4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EnviHydro s.r.o.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Chotilsko 32, 262 03 Chotilsko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17485509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96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</w:t>
        <w:tab/>
        <w:t>C 372324 vedená u Městského soudu v Praze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Toto zmocnění trvá až do písemného odvolání.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 na straně druhé.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86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86" w:left="1394" w:right="1384" w:bottom="1886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257" w:lineRule="auto"/>
        <w:ind w:left="0" w:right="0" w:firstLine="61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Dodatek č. 2 k SoD 1345/2023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Tento dodatek je uzavírán z důvodu: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komplikací při zajištění informací o existenci a vlastnictví starých nevyužívaných inženýrských sítí na objektech, jejichž kompletní či částečné odstranění je žádoucí pro zkapacitnění koryta. Dalším důvodem k posunu termínu je časová náročnost při tvorbě hydraulického modelu toku a jeho okolí s následným prověřením možností úprav koryta pro jeho zkapacitnění. V průběhu projekčních prací byl model upravován a aktualizován za účelem nalezení optimálního návrhu protipovodňových opatření.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dodatkem se mění Čl. III. Termín plnění: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TERMÍNY PLNĚNÍ</w:t>
      </w:r>
      <w:bookmarkEnd w:id="0"/>
      <w:bookmarkEnd w:id="1"/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left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odkladu, nejpozději však do 10 týdnů po nabytí účinnosti smlouvy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dílčí termín - předání kompletní SP (2 x tištěné + 1 x elektronicky) po projednání na ZVV: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92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27.09.2024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5" w:name="bookmark5"/>
      <w:bookmarkEnd w:id="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SP (1 x tištěné + 1 x elektronicky): po schválení v investiční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969" w:val="left"/>
        </w:tabs>
        <w:bidi w:val="0"/>
        <w:spacing w:before="0" w:after="72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komisi (dále jen IK PŘ):</w:t>
        <w:tab/>
        <w:t>14 dní po schválení v investiční komisi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left"/>
      </w:pPr>
      <w:bookmarkStart w:id="6" w:name="bookmark6"/>
      <w:bookmarkEnd w:id="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odkladu, nejpozději však do 10 týdnů po nabytí účinnosti smlouvy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7" w:name="bookmark7"/>
      <w:bookmarkEnd w:id="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dílčí termín - předání kompletní SP (2 x tištěné + 1 x elektronicky) po projednání na ZVV: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710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29.11.2024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8" w:name="bookmark8"/>
      <w:bookmarkEnd w:id="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SP (1 x tištěné + 1 x elektronicky): po schválení v investiční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969" w:val="left"/>
        </w:tabs>
        <w:bidi w:val="0"/>
        <w:spacing w:before="0" w:after="72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komisi (dále jen IK PŘ):</w:t>
        <w:tab/>
        <w:t>14 dní po schválení v investiční komisi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Čl. III. smlouvy o dílo se nemění.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 DODATKU Č. 2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2" w:val="left"/>
        </w:tabs>
        <w:bidi w:val="0"/>
        <w:spacing w:before="0" w:after="720" w:line="240" w:lineRule="auto"/>
        <w:ind w:left="0" w:right="0" w:firstLine="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předmětné smlouvy zůstávají beze změn.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2" w:val="left"/>
        </w:tabs>
        <w:bidi w:val="0"/>
        <w:spacing w:before="0" w:after="0" w:line="240" w:lineRule="auto"/>
        <w:ind w:left="0" w:right="0" w:firstLine="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380"/>
        <w:jc w:val="both"/>
        <w:sectPr>
          <w:footnotePr>
            <w:pos w:val="pageBottom"/>
            <w:numFmt w:val="decimal"/>
            <w:numRestart w:val="continuous"/>
          </w:footnotePr>
          <w:pgSz w:w="11909" w:h="16838"/>
          <w:pgMar w:top="657" w:left="1394" w:right="1384" w:bottom="1417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 vyhotoven ve dvou vyhotoveních, z nichž každé má platnost originálu.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after="200" w:line="240" w:lineRule="auto"/>
        <w:ind w:left="0" w:right="0" w:firstLine="0"/>
        <w:jc w:val="both"/>
      </w:pPr>
      <w:bookmarkStart w:id="11" w:name="bookmark11"/>
      <w:bookmarkEnd w:id="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smlouvy za obchodní tajemství.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after="440" w:line="240" w:lineRule="auto"/>
        <w:ind w:left="440" w:right="0" w:hanging="440"/>
        <w:jc w:val="left"/>
      </w:pPr>
      <w:bookmarkStart w:id="12" w:name="bookmark12"/>
      <w:bookmarkEnd w:id="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a účinnosti zveřejněním v Registru smluv, pokud této účinnosti dle příslušných ustanovení smlouvy nenabude později.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  <w:sectPr>
          <w:footnotePr>
            <w:pos w:val="pageBottom"/>
            <w:numFmt w:val="decimal"/>
            <w:numRestart w:val="continuous"/>
          </w:footnotePr>
          <w:pgSz w:w="11909" w:h="16838"/>
          <w:pgMar w:top="1056" w:left="1394" w:right="1384" w:bottom="11150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12700</wp:posOffset>
                </wp:positionV>
                <wp:extent cx="1029970" cy="228600"/>
                <wp:wrapSquare wrapText="left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997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Chotilsku dne: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17.40000000000003pt;margin-top:1.pt;width:81.100000000000009pt;height:18.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Chotilsku dne: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dne: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2" w:after="9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56" w:left="0" w:right="0" w:bottom="1115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56" w:left="1821" w:right="2363" w:bottom="11150" w:header="0" w:footer="3" w:gutter="0"/>
          <w:cols w:num="2" w:space="133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…………………………………….</w:t>
      </w:r>
    </w:p>
    <w:p>
      <w:pPr>
        <w:widowControl w:val="0"/>
        <w:spacing w:before="82" w:after="8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56" w:left="0" w:right="0" w:bottom="1421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8" behindDoc="0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12700</wp:posOffset>
                </wp:positionV>
                <wp:extent cx="1264920" cy="548640"/>
                <wp:wrapSquare wrapText="bothSides"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64920" cy="548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jednatel společnosti EnviHydro s.r.o.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zhotovitele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17.40000000000003pt;margin-top:1.pt;width:99.600000000000009pt;height:43.200000000000003pt;z-index:-12582936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jednatel společnosti EnviHydro s.r.o.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zhotovitele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ekonomický ředitel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Povodí Ohře, státní podnik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objednatele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056" w:left="1394" w:right="5560" w:bottom="1421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9789795</wp:posOffset>
              </wp:positionV>
              <wp:extent cx="673735" cy="16446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71.69999999999999pt;margin-top:770.85000000000002pt;width:53.050000000000004pt;height:12.9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9789795</wp:posOffset>
              </wp:positionV>
              <wp:extent cx="673735" cy="16446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71.69999999999999pt;margin-top:770.85000000000002pt;width:53.050000000000004pt;height:12.95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4762500</wp:posOffset>
              </wp:positionH>
              <wp:positionV relativeFrom="page">
                <wp:posOffset>435610</wp:posOffset>
              </wp:positionV>
              <wp:extent cx="1901825" cy="18923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01825" cy="1892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Dodatek č. 2 k SoD 1345/2023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5.pt;margin-top:34.300000000000004pt;width:149.75pt;height:14.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Dodatek č. 2 k SoD 1345/2023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9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18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>S M L O U V A   O   D Í L O</dc:title>
  <dc:subject/>
  <dc:creator>RMiskovska</dc:creator>
  <cp:keywords/>
</cp:coreProperties>
</file>