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F0AF3" w14:textId="4DFB1B5E" w:rsidR="00C06F3A" w:rsidRPr="007C6695" w:rsidRDefault="00C06F3A" w:rsidP="00C06F3A">
      <w:pPr>
        <w:pStyle w:val="Nadpis1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  <w:r w:rsidRPr="007C6695">
        <w:rPr>
          <w:rFonts w:asciiTheme="minorHAnsi" w:eastAsia="HelveticaNeueLTW1G-Md" w:hAnsiTheme="minorHAnsi" w:cstheme="minorHAnsi"/>
          <w:kern w:val="0"/>
          <w:sz w:val="32"/>
          <w:szCs w:val="32"/>
        </w:rPr>
        <w:t xml:space="preserve">Neon™ NxT </w:t>
      </w:r>
      <w:r w:rsidRPr="007C6695">
        <w:rPr>
          <w:rFonts w:asciiTheme="minorHAnsi" w:hAnsiTheme="minorHAnsi" w:cstheme="minorHAnsi"/>
          <w:sz w:val="32"/>
          <w:szCs w:val="32"/>
        </w:rPr>
        <w:t>Transfection System</w:t>
      </w:r>
    </w:p>
    <w:p w14:paraId="18AE5AC1" w14:textId="331799A2" w:rsidR="003B5A6D" w:rsidRDefault="00C06F3A">
      <w:r w:rsidRPr="00C06F3A">
        <w:rPr>
          <w:noProof/>
          <w:lang w:val="cs-CZ" w:eastAsia="cs-CZ"/>
        </w:rPr>
        <w:drawing>
          <wp:inline distT="0" distB="0" distL="0" distR="0" wp14:anchorId="3FD5D861" wp14:editId="23E7335F">
            <wp:extent cx="5943600" cy="4272280"/>
            <wp:effectExtent l="0" t="0" r="0" b="0"/>
            <wp:docPr id="935602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B592" w14:textId="77777777" w:rsidR="00C06F3A" w:rsidRDefault="00C06F3A"/>
    <w:p w14:paraId="37BB531C" w14:textId="254D15E0" w:rsidR="00C06F3A" w:rsidRDefault="00C06F3A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6656D">
        <w:rPr>
          <w:rFonts w:asciiTheme="minorHAnsi" w:hAnsiTheme="minorHAnsi" w:cstheme="minorHAnsi"/>
          <w:sz w:val="28"/>
          <w:szCs w:val="28"/>
        </w:rPr>
        <w:t xml:space="preserve">Technická specifikace přístroje </w:t>
      </w:r>
      <w:r w:rsidRPr="0066656D">
        <w:rPr>
          <w:rFonts w:asciiTheme="minorHAnsi" w:hAnsiTheme="minorHAnsi" w:cstheme="minorHAnsi"/>
          <w:bCs w:val="0"/>
          <w:sz w:val="28"/>
          <w:szCs w:val="28"/>
        </w:rPr>
        <w:t>Neon™</w:t>
      </w:r>
      <w:r w:rsidRPr="0066656D">
        <w:rPr>
          <w:rFonts w:asciiTheme="minorHAnsi" w:eastAsia="HelveticaNeueLTW1G-Md" w:hAnsiTheme="minorHAnsi" w:cstheme="minorHAnsi"/>
          <w:kern w:val="0"/>
          <w:sz w:val="28"/>
          <w:szCs w:val="28"/>
        </w:rPr>
        <w:t xml:space="preserve"> NxT</w:t>
      </w:r>
      <w:r w:rsidRPr="0066656D">
        <w:rPr>
          <w:rFonts w:asciiTheme="minorHAnsi" w:hAnsiTheme="minorHAnsi" w:cstheme="minorHAnsi"/>
          <w:bCs w:val="0"/>
          <w:sz w:val="28"/>
          <w:szCs w:val="28"/>
        </w:rPr>
        <w:t xml:space="preserve"> </w:t>
      </w:r>
      <w:r w:rsidRPr="0066656D">
        <w:rPr>
          <w:rFonts w:asciiTheme="minorHAnsi" w:hAnsiTheme="minorHAnsi" w:cstheme="minorHAnsi"/>
          <w:sz w:val="28"/>
          <w:szCs w:val="28"/>
        </w:rPr>
        <w:t>Transfection System</w:t>
      </w:r>
    </w:p>
    <w:p w14:paraId="1AA259CB" w14:textId="77777777" w:rsidR="007C6695" w:rsidRPr="0066656D" w:rsidRDefault="007C6695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2D4E95EC" w14:textId="7EC001AA" w:rsidR="00DC0F95" w:rsidRPr="008D6A2E" w:rsidRDefault="00FE2142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Neon™ NxT Transfection System je stolním přístrojem, který k účinné tranfekci buněk využívá speciálních elektroporačních špiček</w:t>
      </w:r>
      <w:r w:rsidR="00287433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s</w:t>
      </w:r>
      <w:r w:rsidR="00544B7E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e zlatou</w:t>
      </w:r>
      <w:r w:rsidR="00287433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elektrodou</w:t>
      </w:r>
      <w:r w:rsidR="008E1B7E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. Neon™ NxT Transfection System je určen  k elektroporaci nukleových kyselin (DNA, RNA, siRNA) nebo proteinů do všech typů savčích buněk včetně primárních a imortalizovaných hematopoetických buněk, kmenových buněk a primárních buněk s vysokým procentem úspěšnosti přenosu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  <w:r w:rsidR="00425397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Pro</w:t>
      </w:r>
      <w:r w:rsidR="00A96DEB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více</w:t>
      </w:r>
      <w:r w:rsidR="00425397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než 150 buněčných liniíí </w:t>
      </w:r>
      <w:r w:rsidR="00763A08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již </w:t>
      </w:r>
      <w:r w:rsidR="00EC30AE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byly optimalizovány </w:t>
      </w:r>
      <w:r w:rsidR="007E5D3C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elektroporační </w:t>
      </w:r>
      <w:r w:rsidR="00EC30AE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protokoly</w:t>
      </w:r>
      <w:r w:rsidR="007E5D3C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FD1181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Neon™ NxT Transfection System umožňuje díky svým malým rozměrům také práci ve flow boxech.</w:t>
      </w:r>
    </w:p>
    <w:p w14:paraId="14A710AF" w14:textId="77777777" w:rsidR="00763A08" w:rsidRPr="008D6A2E" w:rsidRDefault="00763A08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696CADE2" w14:textId="3E826AA9" w:rsidR="003B7D4D" w:rsidRPr="008D6A2E" w:rsidRDefault="00DC0F95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Pomocí přístroje Neon™ </w:t>
      </w:r>
      <w:r w:rsidR="00F84700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je možná transfekce nižšího počtu buněk </w:t>
      </w:r>
      <w:r w:rsidR="0007464A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1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× 10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  <w:vertAlign w:val="superscript"/>
        </w:rPr>
        <w:t>4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tak také vyššího počtu buněk </w:t>
      </w:r>
      <w:r w:rsidR="0007464A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1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× 10</w:t>
      </w:r>
      <w:r w:rsidR="0007464A" w:rsidRPr="008D6A2E">
        <w:rPr>
          <w:rFonts w:asciiTheme="minorHAnsi" w:hAnsiTheme="minorHAnsi" w:cstheme="minorHAnsi"/>
          <w:b w:val="0"/>
          <w:bCs w:val="0"/>
          <w:sz w:val="22"/>
          <w:szCs w:val="22"/>
          <w:vertAlign w:val="superscript"/>
        </w:rPr>
        <w:t>7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v jedné elektroporační reakci. Podle počtu elektroporovaných buněk se volí elektroporační </w:t>
      </w:r>
      <w:r w:rsidR="00223B4A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špičky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o </w:t>
      </w:r>
      <w:r w:rsidR="007E5D3C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objemu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10 μl nebo 100 μl.</w:t>
      </w:r>
      <w:r w:rsidR="00D929B6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3B7D4D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Elektroporační špičky Neon™ </w:t>
      </w:r>
      <w:r w:rsidR="006847B9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="003B7D4D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je možné použít opakovaně, maximálně však 2x.</w:t>
      </w:r>
    </w:p>
    <w:p w14:paraId="66E59409" w14:textId="77777777" w:rsidR="007277CF" w:rsidRPr="008D6A2E" w:rsidRDefault="007277CF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462AA829" w14:textId="58947BE5" w:rsidR="0052627B" w:rsidRPr="008D6A2E" w:rsidRDefault="00AA6DAE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Narozdíl od elekrtoporátorů využívajících k elektroporaci standardní kyvety, přístroj Neon™ </w:t>
      </w:r>
      <w:r w:rsidR="00BF4AD1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Transfection System využívá unikátní elektroporační reakční komory tzv.  Neon™ </w:t>
      </w:r>
      <w:r w:rsidR="00497B4A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špičky, které</w:t>
      </w:r>
      <w:r w:rsidRPr="0066656D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t>umožňují vytvoření jednotného elektrického pole</w:t>
      </w:r>
      <w:r w:rsidR="00505E4E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udržování stabilního pH po dobu elektroporace, </w:t>
      </w:r>
      <w:r w:rsidR="0056130E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zanedbatelnou tvorbu tepla</w:t>
      </w:r>
      <w:r w:rsidR="005E0856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 nižsí tvorbu iontů.</w:t>
      </w:r>
      <w:r w:rsidR="00467832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52627B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Elektrody potažené zlatem vytvářejí rovnoměrnější elektrické pole a nižší gradient pH napříč buněčnými suspenzemi. Jedinečný design pomáhá udržovat fyziologické podmínky, takže buňky mají mnohem vyšší míru přežití po elektroporaci než buňky vystavené konvenční elektroporaci</w:t>
      </w:r>
      <w:r w:rsidR="00771E51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0A7033F7" w14:textId="77777777" w:rsidR="00AE3EE3" w:rsidRPr="008D6A2E" w:rsidRDefault="00AE3EE3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1B75317B" w14:textId="4203A306" w:rsidR="00E03DCC" w:rsidRPr="008D6A2E" w:rsidRDefault="00E16037" w:rsidP="007C669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D6A2E">
        <w:rPr>
          <w:rFonts w:asciiTheme="minorHAnsi" w:hAnsiTheme="minorHAnsi" w:cstheme="minorHAnsi"/>
          <w:sz w:val="22"/>
          <w:szCs w:val="22"/>
        </w:rPr>
        <w:t xml:space="preserve">Neon™ </w:t>
      </w:r>
      <w:r w:rsidR="00AC37A1" w:rsidRPr="008D6A2E">
        <w:rPr>
          <w:rFonts w:asciiTheme="minorHAnsi" w:hAnsiTheme="minorHAnsi" w:cstheme="minorHAnsi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sz w:val="22"/>
          <w:szCs w:val="22"/>
        </w:rPr>
        <w:t>Transfection System umožňuje navolení vlastních elektroporačních podmínek – napětí, délku pulsu, počet pulsů</w:t>
      </w:r>
      <w:r w:rsidR="00AC37A1" w:rsidRPr="008D6A2E">
        <w:rPr>
          <w:rFonts w:asciiTheme="minorHAnsi" w:hAnsiTheme="minorHAnsi" w:cstheme="minorHAnsi"/>
          <w:sz w:val="22"/>
          <w:szCs w:val="22"/>
        </w:rPr>
        <w:t>,</w:t>
      </w:r>
      <w:r w:rsidRPr="008D6A2E">
        <w:rPr>
          <w:rFonts w:asciiTheme="minorHAnsi" w:hAnsiTheme="minorHAnsi" w:cstheme="minorHAnsi"/>
          <w:sz w:val="22"/>
          <w:szCs w:val="22"/>
        </w:rPr>
        <w:t xml:space="preserve"> </w:t>
      </w:r>
      <w:r w:rsidR="00AC37A1" w:rsidRPr="008D6A2E">
        <w:rPr>
          <w:rFonts w:asciiTheme="minorHAnsi" w:hAnsiTheme="minorHAnsi" w:cstheme="minorHAnsi"/>
          <w:sz w:val="22"/>
          <w:szCs w:val="22"/>
        </w:rPr>
        <w:t xml:space="preserve">typ buněk, typ pufru, druh nákladu </w:t>
      </w:r>
      <w:r w:rsidRPr="008D6A2E">
        <w:rPr>
          <w:rFonts w:asciiTheme="minorHAnsi" w:hAnsiTheme="minorHAnsi" w:cstheme="minorHAnsi"/>
          <w:sz w:val="22"/>
          <w:szCs w:val="22"/>
        </w:rPr>
        <w:t xml:space="preserve">pro optimální elektroporaci právě elektroporovaných buněk. </w:t>
      </w:r>
    </w:p>
    <w:p w14:paraId="1BDDBF8F" w14:textId="77777777" w:rsidR="00DC5EBE" w:rsidRPr="008D6A2E" w:rsidRDefault="00DC5EBE" w:rsidP="007C669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213F7A7" w14:textId="233CB036" w:rsidR="00A845A8" w:rsidRPr="008D6A2E" w:rsidRDefault="008D3EBB" w:rsidP="00EF11B2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8D6A2E">
        <w:rPr>
          <w:rFonts w:asciiTheme="minorHAnsi" w:hAnsiTheme="minorHAnsi" w:cstheme="minorHAnsi"/>
          <w:color w:val="auto"/>
          <w:sz w:val="22"/>
          <w:szCs w:val="22"/>
        </w:rPr>
        <w:t>Přístroj je pro snadnou manipulaci a nastavení protokolů vybaven dotykov</w:t>
      </w:r>
      <w:r w:rsidR="009468BF"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ým </w:t>
      </w:r>
      <w:r w:rsidR="009468BF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>8-mi palcovým barevným displ</w:t>
      </w:r>
      <w:r w:rsidR="00964C1A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>ej</w:t>
      </w:r>
      <w:r w:rsidR="009468BF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>em</w:t>
      </w:r>
      <w:r w:rsidR="00194661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 xml:space="preserve">, 24 </w:t>
      </w:r>
      <w:r w:rsidR="002B6212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 xml:space="preserve">krokovým optimalizačním protokolem, </w:t>
      </w:r>
      <w:r w:rsidR="00FC7629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>15</w:t>
      </w:r>
      <w:r w:rsidR="002B6212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 xml:space="preserve">0 </w:t>
      </w:r>
      <w:r w:rsidR="00E52523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>předprogramovanými buněčně-specifickými protokoly</w:t>
      </w:r>
      <w:r w:rsidR="00194661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 xml:space="preserve"> </w:t>
      </w:r>
      <w:r w:rsidR="00B84F40" w:rsidRPr="008D6A2E">
        <w:rPr>
          <w:rFonts w:asciiTheme="minorHAnsi" w:eastAsia="HelveticaNeueLTW1G-Md" w:hAnsiTheme="minorHAnsi" w:cstheme="minorHAnsi"/>
          <w:color w:val="auto"/>
          <w:sz w:val="22"/>
          <w:szCs w:val="22"/>
        </w:rPr>
        <w:t xml:space="preserve"> </w:t>
      </w:r>
      <w:r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a umožňuje vytvoření </w:t>
      </w:r>
      <w:r w:rsidR="00194661"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 a uložení </w:t>
      </w:r>
      <w:r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až </w:t>
      </w:r>
      <w:r w:rsidR="009468BF" w:rsidRPr="008D6A2E">
        <w:rPr>
          <w:rFonts w:asciiTheme="minorHAnsi" w:hAnsiTheme="minorHAnsi" w:cstheme="minorHAnsi"/>
          <w:color w:val="auto"/>
          <w:sz w:val="22"/>
          <w:szCs w:val="22"/>
        </w:rPr>
        <w:t>10 000</w:t>
      </w:r>
      <w:r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 vlastních tranfekčních protokolů</w:t>
      </w:r>
      <w:r w:rsidR="00E13102"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 a</w:t>
      </w:r>
      <w:r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 jejich uložení do paměti přístroje</w:t>
      </w:r>
      <w:r w:rsidR="00D67F1C"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 a zabezpečení proti změně nastavení pomocí hesla</w:t>
      </w:r>
      <w:r w:rsidR="006B6CA4" w:rsidRPr="008D6A2E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EF11B2" w:rsidRPr="008D6A2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845A8" w:rsidRPr="008D6A2E">
        <w:rPr>
          <w:rFonts w:asciiTheme="minorHAnsi" w:hAnsiTheme="minorHAnsi" w:cstheme="minorHAnsi"/>
          <w:sz w:val="22"/>
          <w:szCs w:val="22"/>
        </w:rPr>
        <w:t>Přístroj se může připojit k internetu buď drátově nebo bezdrátově.</w:t>
      </w:r>
    </w:p>
    <w:p w14:paraId="6C5B4EA8" w14:textId="77777777" w:rsidR="00EF11B2" w:rsidRPr="008D6A2E" w:rsidRDefault="00EF11B2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0983E75A" w14:textId="14098868" w:rsidR="00771E51" w:rsidRPr="008D6A2E" w:rsidRDefault="00771E51" w:rsidP="007C669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D6A2E">
        <w:rPr>
          <w:rFonts w:asciiTheme="minorHAnsi" w:hAnsiTheme="minorHAnsi" w:cstheme="minorHAnsi"/>
          <w:sz w:val="22"/>
          <w:szCs w:val="22"/>
        </w:rPr>
        <w:t>Neon™ NxT Transfection System využívá jed</w:t>
      </w:r>
      <w:r w:rsidR="00070E8C" w:rsidRPr="008D6A2E">
        <w:rPr>
          <w:rFonts w:asciiTheme="minorHAnsi" w:hAnsiTheme="minorHAnsi" w:cstheme="minorHAnsi"/>
          <w:sz w:val="22"/>
          <w:szCs w:val="22"/>
        </w:rPr>
        <w:t>en</w:t>
      </w:r>
      <w:r w:rsidRPr="008D6A2E">
        <w:rPr>
          <w:rFonts w:asciiTheme="minorHAnsi" w:hAnsiTheme="minorHAnsi" w:cstheme="minorHAnsi"/>
          <w:sz w:val="22"/>
          <w:szCs w:val="22"/>
        </w:rPr>
        <w:t xml:space="preserve"> typ kitu, kompatibilního s různými typy savčích buněk včetně primárních a kmenových buněk a usnadňuje tak práci operatéra, který již nemusí stanovovat nejvhodnější pufrové složení pro daný typ buněk.</w:t>
      </w:r>
    </w:p>
    <w:p w14:paraId="7099EFAC" w14:textId="77777777" w:rsidR="00EF11B2" w:rsidRPr="00263D9B" w:rsidRDefault="00EF11B2" w:rsidP="007C669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0432B64" w14:textId="087D62FB" w:rsidR="008B2CA2" w:rsidRPr="008D6A2E" w:rsidRDefault="008B2CA2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Neon™ NxT Transfection System se skládá z Neon™ NxT Transfection Přístroje , Neon™ </w:t>
      </w:r>
      <w:r w:rsidR="00636D91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Pipetovací Stanice, Neon™ </w:t>
      </w:r>
      <w:r w:rsidR="00636D91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Pipety a Neon™ </w:t>
      </w:r>
      <w:r w:rsidR="00C4607A"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NxT </w:t>
      </w:r>
      <w:r w:rsidRPr="008D6A2E">
        <w:rPr>
          <w:rFonts w:asciiTheme="minorHAnsi" w:hAnsiTheme="minorHAnsi" w:cstheme="minorHAnsi"/>
          <w:b w:val="0"/>
          <w:bCs w:val="0"/>
          <w:sz w:val="22"/>
          <w:szCs w:val="22"/>
        </w:rPr>
        <w:t>Transfekčních kitů.</w:t>
      </w:r>
    </w:p>
    <w:p w14:paraId="18416EA7" w14:textId="77777777" w:rsidR="00EF11B2" w:rsidRPr="000B41CB" w:rsidRDefault="00EF11B2" w:rsidP="007C6695">
      <w:pPr>
        <w:pStyle w:val="Nadpis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151E51C" w14:textId="0432221C" w:rsidR="00256FE9" w:rsidRPr="000B41CB" w:rsidRDefault="00256FE9" w:rsidP="007C6695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0B41CB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Pr="000B41CB">
        <w:rPr>
          <w:rFonts w:asciiTheme="minorHAnsi" w:hAnsiTheme="minorHAnsi" w:cstheme="minorHAnsi"/>
          <w:b/>
          <w:bCs/>
          <w:sz w:val="22"/>
          <w:szCs w:val="22"/>
        </w:rPr>
        <w:t xml:space="preserve">Neon™ NxT </w:t>
      </w:r>
      <w:r w:rsidRPr="000B41CB">
        <w:rPr>
          <w:rFonts w:asciiTheme="minorHAnsi" w:hAnsiTheme="minorHAnsi" w:cstheme="minorHAnsi"/>
          <w:b/>
          <w:sz w:val="22"/>
          <w:szCs w:val="22"/>
        </w:rPr>
        <w:t>Transfection Přístroj</w:t>
      </w:r>
    </w:p>
    <w:p w14:paraId="6DCF58CF" w14:textId="582731D9" w:rsidR="00256FE9" w:rsidRPr="000B41CB" w:rsidRDefault="008D0AC3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256FE9" w:rsidRPr="000B41CB">
        <w:rPr>
          <w:rFonts w:asciiTheme="minorHAnsi" w:hAnsiTheme="minorHAnsi" w:cstheme="minorHAnsi"/>
          <w:sz w:val="22"/>
          <w:szCs w:val="22"/>
        </w:rPr>
        <w:t>ntuitivní a jednoduché uživatelské rozhraní</w:t>
      </w:r>
    </w:p>
    <w:p w14:paraId="468EDDEE" w14:textId="32140DE3" w:rsidR="00256FE9" w:rsidRPr="000B41CB" w:rsidRDefault="00256FE9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B41CB">
        <w:rPr>
          <w:rFonts w:asciiTheme="minorHAnsi" w:hAnsiTheme="minorHAnsi" w:cstheme="minorHAnsi"/>
          <w:sz w:val="22"/>
          <w:szCs w:val="22"/>
        </w:rPr>
        <w:t xml:space="preserve">8-mi palcová </w:t>
      </w:r>
      <w:r w:rsidR="000B41CB">
        <w:rPr>
          <w:rFonts w:asciiTheme="minorHAnsi" w:hAnsiTheme="minorHAnsi" w:cstheme="minorHAnsi"/>
          <w:sz w:val="22"/>
          <w:szCs w:val="22"/>
        </w:rPr>
        <w:t xml:space="preserve">barevná </w:t>
      </w:r>
      <w:r w:rsidRPr="000B41CB">
        <w:rPr>
          <w:rFonts w:asciiTheme="minorHAnsi" w:hAnsiTheme="minorHAnsi" w:cstheme="minorHAnsi"/>
          <w:sz w:val="22"/>
          <w:szCs w:val="22"/>
        </w:rPr>
        <w:t>dotyková obrazovka</w:t>
      </w:r>
    </w:p>
    <w:p w14:paraId="71E4E07B" w14:textId="119388FF" w:rsidR="00256FE9" w:rsidRPr="000B41CB" w:rsidRDefault="00256FE9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B41CB">
        <w:rPr>
          <w:rFonts w:asciiTheme="minorHAnsi" w:hAnsiTheme="minorHAnsi" w:cstheme="minorHAnsi"/>
          <w:sz w:val="22"/>
          <w:szCs w:val="22"/>
        </w:rPr>
        <w:t>Nastavitelné technické parametry elektroporační reakce – napětí, délka pulsu, počet pulsů</w:t>
      </w:r>
      <w:r w:rsidR="00BA0AC7" w:rsidRPr="000B41CB">
        <w:rPr>
          <w:rFonts w:asciiTheme="minorHAnsi" w:hAnsiTheme="minorHAnsi" w:cstheme="minorHAnsi"/>
          <w:sz w:val="22"/>
          <w:szCs w:val="22"/>
        </w:rPr>
        <w:t>, typ buněk,</w:t>
      </w:r>
      <w:r w:rsidR="00FC4FA4" w:rsidRPr="000B41CB">
        <w:rPr>
          <w:rFonts w:asciiTheme="minorHAnsi" w:hAnsiTheme="minorHAnsi" w:cstheme="minorHAnsi"/>
          <w:sz w:val="22"/>
          <w:szCs w:val="22"/>
        </w:rPr>
        <w:t xml:space="preserve"> typ</w:t>
      </w:r>
      <w:r w:rsidR="00BA0AC7" w:rsidRPr="000B41CB">
        <w:rPr>
          <w:rFonts w:asciiTheme="minorHAnsi" w:hAnsiTheme="minorHAnsi" w:cstheme="minorHAnsi"/>
          <w:sz w:val="22"/>
          <w:szCs w:val="22"/>
        </w:rPr>
        <w:t xml:space="preserve"> pufr</w:t>
      </w:r>
      <w:r w:rsidR="00FC4FA4" w:rsidRPr="000B41CB">
        <w:rPr>
          <w:rFonts w:asciiTheme="minorHAnsi" w:hAnsiTheme="minorHAnsi" w:cstheme="minorHAnsi"/>
          <w:sz w:val="22"/>
          <w:szCs w:val="22"/>
        </w:rPr>
        <w:t>u</w:t>
      </w:r>
      <w:r w:rsidR="00BA0AC7" w:rsidRPr="000B41CB">
        <w:rPr>
          <w:rFonts w:asciiTheme="minorHAnsi" w:hAnsiTheme="minorHAnsi" w:cstheme="minorHAnsi"/>
          <w:sz w:val="22"/>
          <w:szCs w:val="22"/>
        </w:rPr>
        <w:t xml:space="preserve">, </w:t>
      </w:r>
      <w:r w:rsidR="00FC4FA4" w:rsidRPr="000B41CB">
        <w:rPr>
          <w:rFonts w:asciiTheme="minorHAnsi" w:hAnsiTheme="minorHAnsi" w:cstheme="minorHAnsi"/>
          <w:sz w:val="22"/>
          <w:szCs w:val="22"/>
        </w:rPr>
        <w:t>druh</w:t>
      </w:r>
      <w:r w:rsidR="00313027" w:rsidRPr="000B41CB">
        <w:rPr>
          <w:rFonts w:asciiTheme="minorHAnsi" w:hAnsiTheme="minorHAnsi" w:cstheme="minorHAnsi"/>
          <w:sz w:val="22"/>
          <w:szCs w:val="22"/>
        </w:rPr>
        <w:t xml:space="preserve"> nákladu</w:t>
      </w:r>
    </w:p>
    <w:p w14:paraId="7484B389" w14:textId="773025A4" w:rsidR="00256FE9" w:rsidRPr="000B41CB" w:rsidRDefault="00256FE9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B41CB">
        <w:rPr>
          <w:rFonts w:asciiTheme="minorHAnsi" w:hAnsiTheme="minorHAnsi" w:cstheme="minorHAnsi"/>
          <w:sz w:val="22"/>
          <w:szCs w:val="22"/>
        </w:rPr>
        <w:t>Předprogramovaný 24 krokový optimalizační protokol</w:t>
      </w:r>
    </w:p>
    <w:p w14:paraId="53E72E19" w14:textId="43A7E219" w:rsidR="00574BA8" w:rsidRPr="000B41CB" w:rsidRDefault="00574BA8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B41CB">
        <w:rPr>
          <w:rFonts w:asciiTheme="minorHAnsi" w:hAnsiTheme="minorHAnsi" w:cstheme="minorHAnsi"/>
          <w:sz w:val="22"/>
          <w:szCs w:val="22"/>
        </w:rPr>
        <w:t xml:space="preserve">300 </w:t>
      </w:r>
      <w:r w:rsidR="00C81FE9">
        <w:rPr>
          <w:rFonts w:asciiTheme="minorHAnsi" w:hAnsiTheme="minorHAnsi" w:cstheme="minorHAnsi"/>
          <w:sz w:val="22"/>
          <w:szCs w:val="22"/>
        </w:rPr>
        <w:t>p</w:t>
      </w:r>
      <w:r w:rsidRPr="000B41CB">
        <w:rPr>
          <w:rFonts w:asciiTheme="minorHAnsi" w:hAnsiTheme="minorHAnsi" w:cstheme="minorHAnsi"/>
          <w:sz w:val="22"/>
          <w:szCs w:val="22"/>
        </w:rPr>
        <w:t>řednastavených buněčně specifických protokolů</w:t>
      </w:r>
    </w:p>
    <w:p w14:paraId="21E87B7E" w14:textId="6A39B24B" w:rsidR="00256FE9" w:rsidRPr="000B41CB" w:rsidRDefault="00256FE9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B41CB">
        <w:rPr>
          <w:rFonts w:asciiTheme="minorHAnsi" w:hAnsiTheme="minorHAnsi" w:cstheme="minorHAnsi"/>
          <w:sz w:val="22"/>
          <w:szCs w:val="22"/>
        </w:rPr>
        <w:t xml:space="preserve">Možnost nastavení a uložení </w:t>
      </w:r>
      <w:r w:rsidR="00574BA8" w:rsidRPr="000B41CB">
        <w:rPr>
          <w:rFonts w:asciiTheme="minorHAnsi" w:hAnsiTheme="minorHAnsi" w:cstheme="minorHAnsi"/>
          <w:sz w:val="22"/>
          <w:szCs w:val="22"/>
        </w:rPr>
        <w:t>10 000</w:t>
      </w:r>
      <w:r w:rsidRPr="000B41CB">
        <w:rPr>
          <w:rFonts w:asciiTheme="minorHAnsi" w:hAnsiTheme="minorHAnsi" w:cstheme="minorHAnsi"/>
          <w:sz w:val="22"/>
          <w:szCs w:val="22"/>
        </w:rPr>
        <w:t xml:space="preserve"> vlastních transfekčních protokolů</w:t>
      </w:r>
    </w:p>
    <w:p w14:paraId="745B4C08" w14:textId="77777777" w:rsidR="00283601" w:rsidRDefault="00283601" w:rsidP="007C6695">
      <w:pPr>
        <w:pStyle w:val="Default"/>
        <w:rPr>
          <w:rFonts w:ascii="Times New Roman" w:hAnsi="Times New Roman" w:cs="Times New Roman"/>
          <w:b/>
          <w:bCs/>
        </w:rPr>
      </w:pPr>
    </w:p>
    <w:p w14:paraId="2560365C" w14:textId="2456D525" w:rsidR="00283601" w:rsidRPr="00C81FE9" w:rsidRDefault="00283601" w:rsidP="007C6695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C81FE9">
        <w:rPr>
          <w:rFonts w:asciiTheme="minorHAnsi" w:hAnsiTheme="minorHAnsi" w:cstheme="minorHAnsi"/>
          <w:b/>
          <w:bCs/>
          <w:sz w:val="22"/>
          <w:szCs w:val="22"/>
        </w:rPr>
        <w:t>Neon™ NxT Pipetovací Stanice</w:t>
      </w:r>
    </w:p>
    <w:p w14:paraId="771225C2" w14:textId="49EA8373" w:rsidR="00283601" w:rsidRPr="00C81FE9" w:rsidRDefault="00283601" w:rsidP="007C6695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C81FE9">
        <w:rPr>
          <w:rFonts w:asciiTheme="minorHAnsi" w:hAnsiTheme="minorHAnsi" w:cstheme="minorHAnsi"/>
          <w:bCs/>
          <w:sz w:val="22"/>
          <w:szCs w:val="22"/>
        </w:rPr>
        <w:t>Během elektroporace ukotvuje Neon™ NxT Pipetu s pipetovací špičkou, která obsahuje buňky a nukleovou kyselinu</w:t>
      </w:r>
    </w:p>
    <w:p w14:paraId="0E3F887A" w14:textId="1F6BAD7F" w:rsidR="00283601" w:rsidRPr="00C81FE9" w:rsidRDefault="00283601" w:rsidP="007C6695">
      <w:pPr>
        <w:pStyle w:val="Default"/>
        <w:numPr>
          <w:ilvl w:val="0"/>
          <w:numId w:val="3"/>
        </w:numPr>
        <w:rPr>
          <w:rFonts w:asciiTheme="minorHAnsi" w:hAnsiTheme="minorHAnsi" w:cstheme="minorHAnsi"/>
          <w:bCs/>
          <w:sz w:val="22"/>
          <w:szCs w:val="22"/>
        </w:rPr>
      </w:pPr>
      <w:r w:rsidRPr="00C81FE9">
        <w:rPr>
          <w:rFonts w:asciiTheme="minorHAnsi" w:hAnsiTheme="minorHAnsi" w:cstheme="minorHAnsi"/>
          <w:sz w:val="22"/>
          <w:szCs w:val="22"/>
        </w:rPr>
        <w:t xml:space="preserve">Umožňuje průchod elektického pulsu skrz buňky v </w:t>
      </w:r>
      <w:r w:rsidRPr="00C81FE9">
        <w:rPr>
          <w:rFonts w:asciiTheme="minorHAnsi" w:hAnsiTheme="minorHAnsi" w:cstheme="minorHAnsi"/>
          <w:bCs/>
          <w:sz w:val="22"/>
          <w:szCs w:val="22"/>
        </w:rPr>
        <w:t>Neon™</w:t>
      </w:r>
      <w:r w:rsidR="00171838">
        <w:rPr>
          <w:rFonts w:asciiTheme="minorHAnsi" w:hAnsiTheme="minorHAnsi" w:cstheme="minorHAnsi"/>
          <w:bCs/>
          <w:sz w:val="22"/>
          <w:szCs w:val="22"/>
        </w:rPr>
        <w:t>NxT</w:t>
      </w:r>
      <w:r w:rsidRPr="00C81FE9">
        <w:rPr>
          <w:rFonts w:asciiTheme="minorHAnsi" w:hAnsiTheme="minorHAnsi" w:cstheme="minorHAnsi"/>
          <w:bCs/>
          <w:sz w:val="22"/>
          <w:szCs w:val="22"/>
        </w:rPr>
        <w:t xml:space="preserve"> pipetovací špičce</w:t>
      </w:r>
    </w:p>
    <w:p w14:paraId="03AC7151" w14:textId="45F7EFB9" w:rsidR="00771E51" w:rsidRPr="00C81FE9" w:rsidRDefault="00283601" w:rsidP="007C6695">
      <w:pPr>
        <w:pStyle w:val="Default"/>
        <w:numPr>
          <w:ilvl w:val="0"/>
          <w:numId w:val="3"/>
        </w:numPr>
        <w:rPr>
          <w:rFonts w:asciiTheme="minorHAnsi" w:hAnsiTheme="minorHAnsi" w:cstheme="minorHAnsi"/>
          <w:bCs/>
          <w:sz w:val="22"/>
          <w:szCs w:val="22"/>
        </w:rPr>
      </w:pPr>
      <w:r w:rsidRPr="00C81FE9">
        <w:rPr>
          <w:rFonts w:asciiTheme="minorHAnsi" w:hAnsiTheme="minorHAnsi" w:cstheme="minorHAnsi"/>
          <w:bCs/>
          <w:sz w:val="22"/>
          <w:szCs w:val="22"/>
        </w:rPr>
        <w:t>Navržena tak, aby eliminovala možnou expozici buněk elektrickým šokem</w:t>
      </w:r>
    </w:p>
    <w:p w14:paraId="5F46D117" w14:textId="77777777" w:rsidR="000A5B38" w:rsidRDefault="000A5B38" w:rsidP="007C6695">
      <w:pPr>
        <w:pStyle w:val="Default"/>
        <w:rPr>
          <w:rFonts w:ascii="Times New Roman" w:hAnsi="Times New Roman" w:cs="Times New Roman"/>
          <w:b/>
          <w:bCs/>
          <w:lang w:val="it-IT"/>
        </w:rPr>
      </w:pPr>
    </w:p>
    <w:p w14:paraId="3C7C5BBF" w14:textId="4CE007D3" w:rsidR="000A5B38" w:rsidRPr="008D352B" w:rsidRDefault="000A5B38" w:rsidP="007C6695">
      <w:pPr>
        <w:pStyle w:val="Default"/>
        <w:rPr>
          <w:rFonts w:asciiTheme="minorHAnsi" w:hAnsiTheme="minorHAnsi" w:cstheme="minorHAnsi"/>
          <w:b/>
          <w:bCs/>
          <w:sz w:val="22"/>
          <w:szCs w:val="22"/>
          <w:lang w:val="it-IT"/>
        </w:rPr>
      </w:pPr>
      <w:r w:rsidRPr="008D352B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Neon™ </w:t>
      </w:r>
      <w:r w:rsidR="00FD0D73" w:rsidRPr="008D352B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NxT </w:t>
      </w:r>
      <w:r w:rsidRPr="008D352B">
        <w:rPr>
          <w:rFonts w:asciiTheme="minorHAnsi" w:hAnsiTheme="minorHAnsi" w:cstheme="minorHAnsi"/>
          <w:b/>
          <w:bCs/>
          <w:sz w:val="22"/>
          <w:szCs w:val="22"/>
          <w:lang w:val="it-IT"/>
        </w:rPr>
        <w:t>Pipeta</w:t>
      </w:r>
    </w:p>
    <w:p w14:paraId="09D88622" w14:textId="25586777" w:rsidR="000A5B38" w:rsidRPr="008D352B" w:rsidRDefault="000A5B38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8D352B">
        <w:rPr>
          <w:rFonts w:asciiTheme="minorHAnsi" w:hAnsiTheme="minorHAnsi" w:cstheme="minorHAnsi"/>
          <w:bCs/>
          <w:sz w:val="22"/>
          <w:szCs w:val="22"/>
          <w:lang w:val="it-IT"/>
        </w:rPr>
        <w:t>Speciální elektronick</w:t>
      </w:r>
      <w:r w:rsidR="008D352B" w:rsidRPr="008D352B">
        <w:rPr>
          <w:rFonts w:asciiTheme="minorHAnsi" w:hAnsiTheme="minorHAnsi" w:cstheme="minorHAnsi"/>
          <w:bCs/>
          <w:sz w:val="22"/>
          <w:szCs w:val="22"/>
          <w:lang w:val="it-IT"/>
        </w:rPr>
        <w:t>á</w:t>
      </w:r>
      <w:r w:rsidRPr="008D352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 pipeta určená pro  Neon™  </w:t>
      </w:r>
      <w:r w:rsidR="00497B4A" w:rsidRPr="008D352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NxT </w:t>
      </w:r>
      <w:r w:rsidRPr="008D352B">
        <w:rPr>
          <w:rFonts w:asciiTheme="minorHAnsi" w:hAnsiTheme="minorHAnsi" w:cstheme="minorHAnsi"/>
          <w:bCs/>
          <w:sz w:val="22"/>
          <w:szCs w:val="22"/>
          <w:lang w:val="it-IT"/>
        </w:rPr>
        <w:t>pipetovací špičky se zlatou elektrodou</w:t>
      </w:r>
    </w:p>
    <w:p w14:paraId="529E6E5D" w14:textId="78A996CA" w:rsidR="000A5B38" w:rsidRPr="008D352B" w:rsidRDefault="000A5B38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8D352B">
        <w:rPr>
          <w:rFonts w:asciiTheme="minorHAnsi" w:hAnsiTheme="minorHAnsi" w:cstheme="minorHAnsi"/>
          <w:bCs/>
          <w:sz w:val="22"/>
          <w:szCs w:val="22"/>
          <w:lang w:val="it-IT"/>
        </w:rPr>
        <w:t>Před elektroporací se Neon™</w:t>
      </w:r>
      <w:r w:rsidR="00BD1C44" w:rsidRPr="008D352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 NxT</w:t>
      </w:r>
      <w:r w:rsidRPr="008D352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 pipeta vkládá do Neon™ </w:t>
      </w:r>
      <w:r w:rsidR="00BD1C44" w:rsidRPr="008D352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NxT </w:t>
      </w:r>
      <w:r w:rsidRPr="008D352B">
        <w:rPr>
          <w:rFonts w:asciiTheme="minorHAnsi" w:hAnsiTheme="minorHAnsi" w:cstheme="minorHAnsi"/>
          <w:bCs/>
          <w:sz w:val="22"/>
          <w:szCs w:val="22"/>
          <w:lang w:val="it-IT"/>
        </w:rPr>
        <w:t>Pipetovací Stanice</w:t>
      </w:r>
    </w:p>
    <w:p w14:paraId="22FCBF7A" w14:textId="2DF89BB4" w:rsidR="000A5B38" w:rsidRPr="008D352B" w:rsidRDefault="000A5B38" w:rsidP="007C6695">
      <w:pPr>
        <w:pStyle w:val="Default"/>
        <w:numPr>
          <w:ilvl w:val="0"/>
          <w:numId w:val="2"/>
        </w:numPr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8D352B">
        <w:rPr>
          <w:rFonts w:asciiTheme="minorHAnsi" w:hAnsiTheme="minorHAnsi" w:cstheme="minorHAnsi"/>
          <w:sz w:val="22"/>
          <w:szCs w:val="22"/>
          <w:lang w:val="it-IT"/>
        </w:rPr>
        <w:t xml:space="preserve">Neon™ </w:t>
      </w:r>
      <w:r w:rsidR="008D352B" w:rsidRPr="008D352B">
        <w:rPr>
          <w:rFonts w:asciiTheme="minorHAnsi" w:hAnsiTheme="minorHAnsi" w:cstheme="minorHAnsi"/>
          <w:sz w:val="22"/>
          <w:szCs w:val="22"/>
          <w:lang w:val="it-IT"/>
        </w:rPr>
        <w:t xml:space="preserve">NxT </w:t>
      </w:r>
      <w:r w:rsidRPr="008D352B">
        <w:rPr>
          <w:rFonts w:asciiTheme="minorHAnsi" w:hAnsiTheme="minorHAnsi" w:cstheme="minorHAnsi"/>
          <w:sz w:val="22"/>
          <w:szCs w:val="22"/>
          <w:lang w:val="it-IT"/>
        </w:rPr>
        <w:t xml:space="preserve">Pipetovací špička spolu s Neon™ </w:t>
      </w:r>
      <w:r w:rsidR="00BD1C44" w:rsidRPr="008D352B">
        <w:rPr>
          <w:rFonts w:asciiTheme="minorHAnsi" w:hAnsiTheme="minorHAnsi" w:cstheme="minorHAnsi"/>
          <w:sz w:val="22"/>
          <w:szCs w:val="22"/>
          <w:lang w:val="it-IT"/>
        </w:rPr>
        <w:t xml:space="preserve">NxT </w:t>
      </w:r>
      <w:r w:rsidRPr="008D352B">
        <w:rPr>
          <w:rFonts w:asciiTheme="minorHAnsi" w:hAnsiTheme="minorHAnsi" w:cstheme="minorHAnsi"/>
          <w:sz w:val="22"/>
          <w:szCs w:val="22"/>
          <w:lang w:val="it-IT"/>
        </w:rPr>
        <w:t>pipetou eliminují vícenásobné pipetování, protože Neon™ pipetovací špička slouží jako kyveta pro elektroporátor</w:t>
      </w:r>
    </w:p>
    <w:p w14:paraId="0FD2E2DF" w14:textId="10C16CFC" w:rsidR="0062042B" w:rsidRDefault="0062042B" w:rsidP="0062042B">
      <w:pPr>
        <w:pStyle w:val="Default"/>
        <w:spacing w:after="80"/>
        <w:rPr>
          <w:rFonts w:ascii="Times New Roman" w:hAnsi="Times New Roman" w:cs="Times New Roman"/>
          <w:bCs/>
          <w:lang w:val="it-IT"/>
        </w:rPr>
      </w:pPr>
      <w:r w:rsidRPr="0062042B">
        <w:rPr>
          <w:rFonts w:ascii="Times New Roman" w:hAnsi="Times New Roman" w:cs="Times New Roman"/>
          <w:bCs/>
          <w:noProof/>
          <w:lang w:val="cs-CZ" w:eastAsia="cs-CZ"/>
        </w:rPr>
        <w:lastRenderedPageBreak/>
        <w:drawing>
          <wp:inline distT="0" distB="0" distL="0" distR="0" wp14:anchorId="677EA96E" wp14:editId="1466A98C">
            <wp:extent cx="3459480" cy="2200913"/>
            <wp:effectExtent l="0" t="0" r="7620" b="8890"/>
            <wp:docPr id="954230454" name="Picture 1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30454" name="Picture 1" descr="A close-up of a devi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4592" cy="22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DDF1" w14:textId="77777777" w:rsidR="00FC6F93" w:rsidRDefault="00FC6F93" w:rsidP="0062042B">
      <w:pPr>
        <w:pStyle w:val="Default"/>
        <w:spacing w:after="80"/>
        <w:rPr>
          <w:rFonts w:ascii="Times New Roman" w:hAnsi="Times New Roman" w:cs="Times New Roman"/>
          <w:bCs/>
          <w:lang w:val="it-IT"/>
        </w:rPr>
      </w:pPr>
    </w:p>
    <w:p w14:paraId="725A3E08" w14:textId="69D04DC2" w:rsidR="00FC6F93" w:rsidRPr="00CC01D7" w:rsidRDefault="00FC6F93" w:rsidP="00FC6F93">
      <w:pPr>
        <w:pStyle w:val="Nadpis1"/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</w:pPr>
      <w:r w:rsidRPr="00CC01D7"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  <w:t>A - Neon™ NxT Pipetovací špička se zlatou elektrodou</w:t>
      </w:r>
    </w:p>
    <w:p w14:paraId="0B0AA3AF" w14:textId="04D4EE2D" w:rsidR="00FC6F93" w:rsidRPr="00CC01D7" w:rsidRDefault="00FC6F93" w:rsidP="00FC6F93">
      <w:pPr>
        <w:pStyle w:val="Nadpis1"/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</w:pPr>
      <w:r w:rsidRPr="00CC01D7"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  <w:t>B - Standardní elektroporační kyveta</w:t>
      </w:r>
    </w:p>
    <w:p w14:paraId="1CBB24E0" w14:textId="3A12BC2F" w:rsidR="00FC6F93" w:rsidRPr="00CC01D7" w:rsidRDefault="00E40007" w:rsidP="00871CC0">
      <w:pPr>
        <w:pStyle w:val="Nadpis1"/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</w:pPr>
      <w:r w:rsidRPr="00CC01D7"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  <w:t>C- Možnost navolení specifických transfekčních podmínek dle typu transfekovaných buněk</w:t>
      </w:r>
    </w:p>
    <w:p w14:paraId="0A5DF0FE" w14:textId="41832804" w:rsidR="0083661D" w:rsidRPr="00CC01D7" w:rsidRDefault="0083661D" w:rsidP="00871CC0">
      <w:pPr>
        <w:pStyle w:val="Nadpis1"/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</w:pPr>
      <w:r w:rsidRPr="00CC01D7"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  <w:t>C</w:t>
      </w:r>
    </w:p>
    <w:p w14:paraId="7A6E02C1" w14:textId="4D0F301C" w:rsidR="003B7D4D" w:rsidRDefault="00871CC0" w:rsidP="00FE2142">
      <w:pPr>
        <w:pStyle w:val="Nadpis1"/>
        <w:rPr>
          <w:b w:val="0"/>
          <w:bCs w:val="0"/>
          <w:sz w:val="24"/>
          <w:szCs w:val="24"/>
        </w:rPr>
      </w:pPr>
      <w:r w:rsidRPr="00871CC0">
        <w:rPr>
          <w:b w:val="0"/>
          <w:bCs w:val="0"/>
          <w:noProof/>
          <w:sz w:val="24"/>
          <w:szCs w:val="24"/>
          <w:lang w:val="cs-CZ" w:eastAsia="cs-CZ"/>
        </w:rPr>
        <w:drawing>
          <wp:inline distT="0" distB="0" distL="0" distR="0" wp14:anchorId="70A545D4" wp14:editId="12FB727A">
            <wp:extent cx="3855720" cy="2881080"/>
            <wp:effectExtent l="0" t="0" r="0" b="0"/>
            <wp:docPr id="246517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58" cy="28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433A" w14:textId="358E7297" w:rsidR="00F44E76" w:rsidRPr="00EF11B2" w:rsidRDefault="003024FA" w:rsidP="00FE2142">
      <w:pPr>
        <w:pStyle w:val="Nadpis1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F11B2">
        <w:rPr>
          <w:rFonts w:asciiTheme="minorHAnsi" w:hAnsiTheme="minorHAnsi" w:cstheme="minorHAnsi"/>
          <w:sz w:val="22"/>
          <w:szCs w:val="22"/>
        </w:rPr>
        <w:t>Časově úsporné nastavení d</w:t>
      </w:r>
      <w:r w:rsidR="00E74F35" w:rsidRPr="00EF11B2">
        <w:rPr>
          <w:rFonts w:asciiTheme="minorHAnsi" w:hAnsiTheme="minorHAnsi" w:cstheme="minorHAnsi"/>
          <w:sz w:val="22"/>
          <w:szCs w:val="22"/>
        </w:rPr>
        <w:t>estičky</w:t>
      </w:r>
    </w:p>
    <w:p w14:paraId="2446E3C1" w14:textId="3FCF8FD3" w:rsidR="0083661D" w:rsidRPr="00EF11B2" w:rsidRDefault="005B3380" w:rsidP="00FE2142">
      <w:pPr>
        <w:pStyle w:val="Nadpis1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F11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Intuitivní uživatelské rozhraní systému </w:t>
      </w:r>
      <w:r w:rsidR="00EE23C0" w:rsidRPr="00CC01D7">
        <w:rPr>
          <w:rFonts w:asciiTheme="minorHAnsi" w:hAnsiTheme="minorHAnsi" w:cstheme="minorHAnsi"/>
          <w:b w:val="0"/>
          <w:bCs w:val="0"/>
          <w:sz w:val="22"/>
          <w:szCs w:val="22"/>
          <w:lang w:val="it-IT"/>
        </w:rPr>
        <w:t>Neon™</w:t>
      </w:r>
      <w:r w:rsidRPr="00EF11B2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NxT Electroporation System poskytuje efektivní způsob nastavení vašich elektroporačních experimentů. Místo nastavování parametrů elektroporace mezi vzorky pomocí funkce Quick Start můžete předem nastavit celou destičku a sledovat průběh na obrazovce při elektroporaci každého ze vzorků.</w:t>
      </w:r>
    </w:p>
    <w:p w14:paraId="202B713D" w14:textId="77777777" w:rsidR="00BA1BE6" w:rsidRDefault="005B3380" w:rsidP="00BA1BE6">
      <w:pPr>
        <w:pStyle w:val="Nadpis1"/>
        <w:rPr>
          <w:b w:val="0"/>
          <w:bCs w:val="0"/>
          <w:sz w:val="24"/>
          <w:szCs w:val="24"/>
        </w:rPr>
      </w:pPr>
      <w:r w:rsidRPr="005B3380">
        <w:rPr>
          <w:b w:val="0"/>
          <w:bCs w:val="0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65DAAF5B" wp14:editId="45F40E9E">
            <wp:extent cx="4556760" cy="3416596"/>
            <wp:effectExtent l="0" t="0" r="0" b="0"/>
            <wp:docPr id="14581463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36" cy="34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CD83" w14:textId="77777777" w:rsidR="00BA1BE6" w:rsidRDefault="00BA1BE6" w:rsidP="00BA1BE6">
      <w:pPr>
        <w:pStyle w:val="Nadpis1"/>
        <w:rPr>
          <w:b w:val="0"/>
          <w:bCs w:val="0"/>
          <w:sz w:val="24"/>
          <w:szCs w:val="24"/>
        </w:rPr>
      </w:pPr>
    </w:p>
    <w:p w14:paraId="3BCA5E1E" w14:textId="3DA3FA4A" w:rsidR="00933400" w:rsidRPr="00BA1BE6" w:rsidRDefault="00933400" w:rsidP="00BA1BE6">
      <w:pPr>
        <w:pStyle w:val="Nadpis1"/>
        <w:rPr>
          <w:b w:val="0"/>
          <w:bCs w:val="0"/>
          <w:sz w:val="24"/>
          <w:szCs w:val="24"/>
        </w:rPr>
      </w:pPr>
      <w:r w:rsidRPr="000908D0">
        <w:rPr>
          <w:rFonts w:asciiTheme="minorHAnsi" w:hAnsiTheme="minorHAnsi" w:cstheme="minorHAnsi"/>
          <w:sz w:val="22"/>
          <w:szCs w:val="22"/>
          <w:lang w:val="it-IT"/>
        </w:rPr>
        <w:t xml:space="preserve">Specifikace přístroje </w:t>
      </w:r>
      <w:r w:rsidRPr="000908D0">
        <w:rPr>
          <w:rFonts w:asciiTheme="minorHAnsi" w:hAnsiTheme="minorHAnsi" w:cstheme="minorHAnsi"/>
          <w:bCs w:val="0"/>
          <w:sz w:val="22"/>
          <w:szCs w:val="22"/>
        </w:rPr>
        <w:t xml:space="preserve">Neon™ NxT </w:t>
      </w:r>
      <w:r w:rsidRPr="000908D0">
        <w:rPr>
          <w:rFonts w:asciiTheme="minorHAnsi" w:hAnsiTheme="minorHAnsi" w:cstheme="minorHAnsi"/>
          <w:sz w:val="22"/>
          <w:szCs w:val="22"/>
        </w:rPr>
        <w:t>Transfection System</w:t>
      </w:r>
    </w:p>
    <w:p w14:paraId="535DF443" w14:textId="77777777" w:rsidR="00004EE9" w:rsidRPr="000908D0" w:rsidRDefault="00004EE9" w:rsidP="00BC4C1A">
      <w:pPr>
        <w:pStyle w:val="Nadpis1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D89857B" w14:textId="77777777" w:rsidR="00933400" w:rsidRPr="000908D0" w:rsidRDefault="00933400" w:rsidP="00BC4C1A">
      <w:pPr>
        <w:spacing w:after="0" w:line="240" w:lineRule="auto"/>
        <w:rPr>
          <w:rFonts w:eastAsia="PalatinoLTStd-Roman" w:cstheme="minorHAnsi"/>
          <w:lang w:val="cs-CZ"/>
        </w:rPr>
      </w:pPr>
      <w:r w:rsidRPr="000908D0">
        <w:rPr>
          <w:rFonts w:eastAsia="PalatinoLTStd-Roman" w:cstheme="minorHAnsi"/>
          <w:lang w:val="cs-CZ"/>
        </w:rPr>
        <w:t xml:space="preserve">Typ přístroje: stolní přístroj </w:t>
      </w:r>
    </w:p>
    <w:p w14:paraId="37E1A84F" w14:textId="2304BCF5" w:rsidR="00184B16" w:rsidRPr="000908D0" w:rsidRDefault="00184B16" w:rsidP="00BC4C1A">
      <w:pPr>
        <w:spacing w:after="0" w:line="240" w:lineRule="auto"/>
        <w:rPr>
          <w:rFonts w:eastAsia="HelveticaNeueLTW1G-Lt" w:cstheme="minorHAnsi"/>
          <w:kern w:val="0"/>
        </w:rPr>
      </w:pPr>
      <w:r w:rsidRPr="000908D0">
        <w:rPr>
          <w:rFonts w:eastAsia="PalatinoLTStd-Roman" w:cstheme="minorHAnsi"/>
          <w:lang w:val="cs-CZ"/>
        </w:rPr>
        <w:t xml:space="preserve">Elektroporační objem: </w:t>
      </w:r>
      <w:r w:rsidRPr="000908D0">
        <w:rPr>
          <w:rFonts w:eastAsia="HelveticaNeueLTW1G-Lt" w:cstheme="minorHAnsi"/>
          <w:kern w:val="0"/>
        </w:rPr>
        <w:t>10 μL nebo 100 μL</w:t>
      </w:r>
    </w:p>
    <w:p w14:paraId="6E171BD3" w14:textId="1AB1D181" w:rsidR="005B6CF8" w:rsidRPr="000908D0" w:rsidRDefault="005B6CF8" w:rsidP="00BC4C1A">
      <w:pPr>
        <w:spacing w:after="0" w:line="240" w:lineRule="auto"/>
        <w:rPr>
          <w:rFonts w:eastAsia="HelveticaNeueLTW1G-Lt" w:cstheme="minorHAnsi"/>
          <w:kern w:val="0"/>
        </w:rPr>
      </w:pPr>
      <w:r w:rsidRPr="000908D0">
        <w:rPr>
          <w:rFonts w:eastAsia="HelveticaNeueLTW1G-Lt" w:cstheme="minorHAnsi"/>
          <w:kern w:val="0"/>
        </w:rPr>
        <w:t>Objem elektroporačního pufru: 2 ml</w:t>
      </w:r>
    </w:p>
    <w:p w14:paraId="0A1A8761" w14:textId="600A4607" w:rsidR="00F71955" w:rsidRPr="000908D0" w:rsidRDefault="00F71955" w:rsidP="00BC4C1A">
      <w:pPr>
        <w:spacing w:after="0" w:line="240" w:lineRule="auto"/>
        <w:rPr>
          <w:rFonts w:eastAsia="HelveticaNeueLTW1G-Md" w:cstheme="minorHAnsi"/>
          <w:kern w:val="0"/>
        </w:rPr>
      </w:pPr>
      <w:r w:rsidRPr="000908D0">
        <w:rPr>
          <w:rFonts w:eastAsia="HelveticaNeueLTW1G-Lt" w:cstheme="minorHAnsi"/>
          <w:kern w:val="0"/>
        </w:rPr>
        <w:t xml:space="preserve">Uchycení špičky: </w:t>
      </w:r>
      <w:r w:rsidR="002E4A4A" w:rsidRPr="000908D0">
        <w:rPr>
          <w:rFonts w:eastAsia="HelveticaNeueLTW1G-Md" w:cstheme="minorHAnsi"/>
          <w:kern w:val="0"/>
        </w:rPr>
        <w:t>ClipTip technologie</w:t>
      </w:r>
    </w:p>
    <w:p w14:paraId="3713A4E3" w14:textId="09ED49CD" w:rsidR="002E4A4A" w:rsidRPr="000908D0" w:rsidRDefault="002E4A4A" w:rsidP="00BC4C1A">
      <w:pPr>
        <w:spacing w:after="0" w:line="240" w:lineRule="auto"/>
        <w:rPr>
          <w:rFonts w:eastAsia="HelveticaNeueLTW1G-Md" w:cstheme="minorHAnsi"/>
          <w:kern w:val="0"/>
        </w:rPr>
      </w:pPr>
      <w:r w:rsidRPr="000908D0">
        <w:rPr>
          <w:rFonts w:eastAsia="HelveticaNeueLTW1G-Md" w:cstheme="minorHAnsi"/>
          <w:kern w:val="0"/>
        </w:rPr>
        <w:t>Elektroporační pulzy: 1-10</w:t>
      </w:r>
    </w:p>
    <w:p w14:paraId="21FF9DE0" w14:textId="2E2A0595" w:rsidR="009743ED" w:rsidRPr="000908D0" w:rsidRDefault="009743ED" w:rsidP="00BC4C1A">
      <w:pPr>
        <w:spacing w:after="0" w:line="240" w:lineRule="auto"/>
        <w:rPr>
          <w:rFonts w:cstheme="minorHAnsi"/>
          <w:lang w:val="cs-CZ"/>
        </w:rPr>
      </w:pPr>
      <w:r w:rsidRPr="000908D0">
        <w:rPr>
          <w:rFonts w:eastAsia="PalatinoLTStd-Roman" w:cstheme="minorHAnsi"/>
          <w:lang w:val="cs-CZ"/>
        </w:rPr>
        <w:t>Šířka pul</w:t>
      </w:r>
      <w:r w:rsidR="004475C7" w:rsidRPr="000908D0">
        <w:rPr>
          <w:rFonts w:eastAsia="PalatinoLTStd-Roman" w:cstheme="minorHAnsi"/>
          <w:lang w:val="cs-CZ"/>
        </w:rPr>
        <w:t>z</w:t>
      </w:r>
      <w:r w:rsidRPr="000908D0">
        <w:rPr>
          <w:rFonts w:eastAsia="PalatinoLTStd-Roman" w:cstheme="minorHAnsi"/>
          <w:lang w:val="cs-CZ"/>
        </w:rPr>
        <w:t xml:space="preserve">u: </w:t>
      </w:r>
      <w:r w:rsidRPr="000908D0">
        <w:rPr>
          <w:rFonts w:cstheme="minorHAnsi"/>
          <w:lang w:val="es-ES"/>
        </w:rPr>
        <w:t xml:space="preserve">1-100 ms </w:t>
      </w:r>
    </w:p>
    <w:p w14:paraId="7C4A81EC" w14:textId="16944993" w:rsidR="0007721E" w:rsidRPr="000908D0" w:rsidRDefault="0007721E" w:rsidP="00BC4C1A">
      <w:pPr>
        <w:spacing w:after="0" w:line="240" w:lineRule="auto"/>
        <w:rPr>
          <w:rFonts w:eastAsia="HelveticaNeueLTW1G-Lt" w:cstheme="minorHAnsi"/>
          <w:kern w:val="0"/>
        </w:rPr>
      </w:pPr>
      <w:r w:rsidRPr="000908D0">
        <w:rPr>
          <w:rFonts w:eastAsia="HelveticaNeueLTW1G-Md" w:cstheme="minorHAnsi"/>
          <w:kern w:val="0"/>
        </w:rPr>
        <w:t xml:space="preserve">Napětí pulzu: </w:t>
      </w:r>
      <w:r w:rsidR="006E5925" w:rsidRPr="000908D0">
        <w:rPr>
          <w:rFonts w:eastAsia="HelveticaNeueLTW1G-Lt" w:cstheme="minorHAnsi"/>
          <w:kern w:val="0"/>
        </w:rPr>
        <w:t>500–2,500 V</w:t>
      </w:r>
    </w:p>
    <w:p w14:paraId="0E3ADFBB" w14:textId="64728387" w:rsidR="00BB416E" w:rsidRPr="000908D0" w:rsidRDefault="00BB416E" w:rsidP="00BC4C1A">
      <w:pPr>
        <w:spacing w:after="0" w:line="240" w:lineRule="auto"/>
        <w:rPr>
          <w:rFonts w:eastAsia="HelveticaNeueLTW1G-Lt" w:cstheme="minorHAnsi"/>
          <w:kern w:val="0"/>
        </w:rPr>
      </w:pPr>
      <w:r w:rsidRPr="000908D0">
        <w:rPr>
          <w:rFonts w:eastAsia="HelveticaNeueLTW1G-Lt" w:cstheme="minorHAnsi"/>
          <w:kern w:val="0"/>
        </w:rPr>
        <w:t>Detekce oblouku: Ano</w:t>
      </w:r>
    </w:p>
    <w:p w14:paraId="052C8A61" w14:textId="1DE95D7E" w:rsidR="00BB416E" w:rsidRPr="000908D0" w:rsidRDefault="00BB416E" w:rsidP="00BC4C1A">
      <w:pPr>
        <w:spacing w:after="0" w:line="240" w:lineRule="auto"/>
        <w:rPr>
          <w:rFonts w:eastAsia="PalatinoLTStd-Roman" w:cstheme="minorHAnsi"/>
          <w:lang w:val="cs-CZ"/>
        </w:rPr>
      </w:pPr>
      <w:r w:rsidRPr="000908D0">
        <w:rPr>
          <w:rFonts w:eastAsia="HelveticaNeueLTW1G-Lt" w:cstheme="minorHAnsi"/>
          <w:kern w:val="0"/>
        </w:rPr>
        <w:t>Cloud conectivita: Ano</w:t>
      </w:r>
    </w:p>
    <w:p w14:paraId="7FD29EB0" w14:textId="3CF6AA37" w:rsidR="00933400" w:rsidRPr="000908D0" w:rsidRDefault="00933400" w:rsidP="00BC4C1A">
      <w:pPr>
        <w:spacing w:after="0" w:line="240" w:lineRule="auto"/>
        <w:rPr>
          <w:rFonts w:cstheme="minorHAnsi"/>
          <w:lang w:val="cs-CZ"/>
        </w:rPr>
      </w:pPr>
      <w:r w:rsidRPr="000908D0">
        <w:rPr>
          <w:rFonts w:eastAsia="PalatinoLTStd-Roman" w:cstheme="minorHAnsi"/>
          <w:lang w:val="cs-CZ"/>
        </w:rPr>
        <w:t xml:space="preserve">Vstupní výkon: </w:t>
      </w:r>
      <w:r w:rsidRPr="000908D0">
        <w:rPr>
          <w:rFonts w:cstheme="minorHAnsi"/>
          <w:lang w:val="cs-CZ"/>
        </w:rPr>
        <w:t xml:space="preserve">100–240 VAC, </w:t>
      </w:r>
      <w:r w:rsidR="00325258" w:rsidRPr="000908D0">
        <w:rPr>
          <w:rFonts w:eastAsia="HelveticaNeueLTW1G-Md" w:cstheme="minorHAnsi"/>
          <w:kern w:val="0"/>
        </w:rPr>
        <w:t>270 W</w:t>
      </w:r>
    </w:p>
    <w:p w14:paraId="12416915" w14:textId="4E20120C" w:rsidR="00933400" w:rsidRPr="000908D0" w:rsidRDefault="00933400" w:rsidP="00BC4C1A">
      <w:pPr>
        <w:spacing w:after="0" w:line="240" w:lineRule="auto"/>
        <w:rPr>
          <w:rFonts w:eastAsia="PalatinoLTStd-Roman" w:cstheme="minorHAnsi"/>
          <w:lang w:val="cs-CZ"/>
        </w:rPr>
      </w:pPr>
      <w:r w:rsidRPr="000908D0">
        <w:rPr>
          <w:rFonts w:eastAsia="PalatinoLTStd-Roman" w:cstheme="minorHAnsi"/>
          <w:lang w:val="cs-CZ"/>
        </w:rPr>
        <w:t>Rozměry přístroje: šířka 2</w:t>
      </w:r>
      <w:r w:rsidR="00F71799" w:rsidRPr="000908D0">
        <w:rPr>
          <w:rFonts w:eastAsia="PalatinoLTStd-Roman" w:cstheme="minorHAnsi"/>
          <w:lang w:val="cs-CZ"/>
        </w:rPr>
        <w:t>4</w:t>
      </w:r>
      <w:r w:rsidRPr="000908D0">
        <w:rPr>
          <w:rFonts w:eastAsia="PalatinoLTStd-Roman" w:cstheme="minorHAnsi"/>
          <w:lang w:val="cs-CZ"/>
        </w:rPr>
        <w:t xml:space="preserve"> cm, délka </w:t>
      </w:r>
      <w:r w:rsidR="009763EE" w:rsidRPr="000908D0">
        <w:rPr>
          <w:rFonts w:eastAsia="PalatinoLTStd-Roman" w:cstheme="minorHAnsi"/>
          <w:lang w:val="cs-CZ"/>
        </w:rPr>
        <w:t>25</w:t>
      </w:r>
      <w:r w:rsidRPr="000908D0">
        <w:rPr>
          <w:rFonts w:eastAsia="PalatinoLTStd-Roman" w:cstheme="minorHAnsi"/>
          <w:lang w:val="cs-CZ"/>
        </w:rPr>
        <w:t xml:space="preserve"> cm, výška </w:t>
      </w:r>
      <w:r w:rsidR="006363F3" w:rsidRPr="000908D0">
        <w:rPr>
          <w:rFonts w:eastAsia="PalatinoLTStd-Roman" w:cstheme="minorHAnsi"/>
          <w:lang w:val="cs-CZ"/>
        </w:rPr>
        <w:t>19</w:t>
      </w:r>
      <w:r w:rsidRPr="000908D0">
        <w:rPr>
          <w:rFonts w:eastAsia="PalatinoLTStd-Roman" w:cstheme="minorHAnsi"/>
          <w:lang w:val="cs-CZ"/>
        </w:rPr>
        <w:t xml:space="preserve"> cm</w:t>
      </w:r>
    </w:p>
    <w:p w14:paraId="4202D6CF" w14:textId="42347625" w:rsidR="00933400" w:rsidRPr="000908D0" w:rsidRDefault="00933400" w:rsidP="00BC4C1A">
      <w:pPr>
        <w:spacing w:after="0" w:line="240" w:lineRule="auto"/>
        <w:rPr>
          <w:rFonts w:eastAsia="PalatinoLTStd-Roman" w:cstheme="minorHAnsi"/>
          <w:lang w:val="cs-CZ"/>
        </w:rPr>
      </w:pPr>
      <w:r w:rsidRPr="000908D0">
        <w:rPr>
          <w:rFonts w:eastAsia="PalatinoLTStd-Roman" w:cstheme="minorHAnsi"/>
          <w:lang w:val="cs-CZ"/>
        </w:rPr>
        <w:t xml:space="preserve">Hmotnost: </w:t>
      </w:r>
      <w:r w:rsidR="000D4976" w:rsidRPr="000908D0">
        <w:rPr>
          <w:rFonts w:eastAsia="PalatinoLTStd-Roman" w:cstheme="minorHAnsi"/>
          <w:lang w:val="cs-CZ"/>
        </w:rPr>
        <w:t>5,4</w:t>
      </w:r>
      <w:r w:rsidRPr="000908D0">
        <w:rPr>
          <w:rFonts w:eastAsia="PalatinoLTStd-Roman" w:cstheme="minorHAnsi"/>
          <w:lang w:val="cs-CZ"/>
        </w:rPr>
        <w:t xml:space="preserve"> kg</w:t>
      </w:r>
    </w:p>
    <w:p w14:paraId="01F7885D" w14:textId="6A8FC04A" w:rsidR="00933400" w:rsidRDefault="00D16932" w:rsidP="00BC4C1A">
      <w:pPr>
        <w:spacing w:after="0" w:line="240" w:lineRule="auto"/>
        <w:rPr>
          <w:rFonts w:eastAsia="PalatinoLTStd-Roman" w:cstheme="minorHAnsi"/>
          <w:lang w:val="cs-CZ"/>
        </w:rPr>
      </w:pPr>
      <w:r w:rsidRPr="000908D0">
        <w:rPr>
          <w:rFonts w:eastAsia="PalatinoLTStd-Roman" w:cstheme="minorHAnsi"/>
          <w:lang w:val="cs-CZ"/>
        </w:rPr>
        <w:t>Dotykový disp</w:t>
      </w:r>
      <w:r w:rsidR="00CF4AC7" w:rsidRPr="000908D0">
        <w:rPr>
          <w:rFonts w:eastAsia="PalatinoLTStd-Roman" w:cstheme="minorHAnsi"/>
          <w:lang w:val="cs-CZ"/>
        </w:rPr>
        <w:t>l</w:t>
      </w:r>
      <w:r w:rsidR="00A169E3" w:rsidRPr="000908D0">
        <w:rPr>
          <w:rFonts w:eastAsia="PalatinoLTStd-Roman" w:cstheme="minorHAnsi"/>
          <w:lang w:val="cs-CZ"/>
        </w:rPr>
        <w:t>ej</w:t>
      </w:r>
      <w:r w:rsidR="00933400" w:rsidRPr="000908D0">
        <w:rPr>
          <w:rFonts w:eastAsia="PalatinoLTStd-Roman" w:cstheme="minorHAnsi"/>
          <w:lang w:val="cs-CZ"/>
        </w:rPr>
        <w:t xml:space="preserve">: </w:t>
      </w:r>
      <w:r w:rsidR="00751E22" w:rsidRPr="000908D0">
        <w:rPr>
          <w:rFonts w:eastAsia="PalatinoLTStd-Roman" w:cstheme="minorHAnsi"/>
          <w:lang w:val="cs-CZ"/>
        </w:rPr>
        <w:t>8-mi palcová dotyková obrazovka</w:t>
      </w:r>
    </w:p>
    <w:p w14:paraId="647F9562" w14:textId="77777777" w:rsidR="00BA1BE6" w:rsidRDefault="00BA1BE6" w:rsidP="00BC4C1A">
      <w:pPr>
        <w:spacing w:after="0" w:line="240" w:lineRule="auto"/>
        <w:rPr>
          <w:rFonts w:eastAsia="PalatinoLTStd-Roman" w:cstheme="minorHAnsi"/>
          <w:lang w:val="cs-CZ"/>
        </w:rPr>
      </w:pPr>
    </w:p>
    <w:p w14:paraId="4F3CBBBD" w14:textId="77777777" w:rsidR="00BA1BE6" w:rsidRDefault="00BA1BE6" w:rsidP="00BC4C1A">
      <w:pPr>
        <w:spacing w:after="0" w:line="240" w:lineRule="auto"/>
        <w:rPr>
          <w:rFonts w:cstheme="minorHAnsi"/>
          <w:lang w:val="cs-CZ"/>
        </w:rPr>
      </w:pPr>
    </w:p>
    <w:p w14:paraId="5DA92748" w14:textId="77777777" w:rsidR="00B905EC" w:rsidRDefault="00B905EC" w:rsidP="00BC4C1A">
      <w:pPr>
        <w:spacing w:after="0" w:line="240" w:lineRule="auto"/>
        <w:rPr>
          <w:rFonts w:cstheme="minorHAnsi"/>
          <w:lang w:val="cs-CZ"/>
        </w:rPr>
      </w:pPr>
    </w:p>
    <w:p w14:paraId="2940CBB1" w14:textId="77777777" w:rsidR="00B905EC" w:rsidRPr="000908D0" w:rsidRDefault="00B905EC" w:rsidP="00BC4C1A">
      <w:pPr>
        <w:spacing w:after="0" w:line="240" w:lineRule="auto"/>
        <w:rPr>
          <w:rFonts w:cstheme="minorHAnsi"/>
          <w:lang w:val="cs-CZ"/>
        </w:rPr>
      </w:pPr>
    </w:p>
    <w:p w14:paraId="46A86625" w14:textId="77777777" w:rsidR="000908D0" w:rsidRDefault="000908D0" w:rsidP="00FA3CB2">
      <w:pPr>
        <w:ind w:left="4820" w:hanging="4820"/>
        <w:rPr>
          <w:rFonts w:cs="Arial"/>
        </w:rPr>
      </w:pPr>
    </w:p>
    <w:p w14:paraId="7642A2D9" w14:textId="45636412" w:rsidR="00FA3CB2" w:rsidRPr="00BA1BE6" w:rsidRDefault="00FA3CB2" w:rsidP="00BA1BE6">
      <w:pPr>
        <w:spacing w:after="0"/>
      </w:pPr>
      <w:r w:rsidRPr="007C5F33">
        <w:rPr>
          <w:rFonts w:cs="Arial"/>
        </w:rPr>
        <w:t xml:space="preserve">V </w:t>
      </w:r>
      <w:r>
        <w:rPr>
          <w:rFonts w:cs="Arial"/>
        </w:rPr>
        <w:t>Praze</w:t>
      </w:r>
      <w:r w:rsidRPr="007C5F33">
        <w:rPr>
          <w:rFonts w:cs="Arial"/>
        </w:rPr>
        <w:t xml:space="preserve"> dne </w:t>
      </w:r>
      <w:r>
        <w:rPr>
          <w:rFonts w:cs="Arial"/>
        </w:rPr>
        <w:t>16.9.2024</w:t>
      </w:r>
      <w:r w:rsidRPr="007C5F33">
        <w:rPr>
          <w:rFonts w:cs="Arial"/>
          <w:i/>
          <w:iCs/>
        </w:rPr>
        <w:t xml:space="preserve">                                   </w:t>
      </w:r>
      <w:r w:rsidR="000908D0">
        <w:rPr>
          <w:rFonts w:cs="Arial"/>
          <w:i/>
          <w:iCs/>
        </w:rPr>
        <w:tab/>
      </w:r>
      <w:r w:rsidRPr="00BA1BE6">
        <w:t>……………………………………………………….</w:t>
      </w:r>
    </w:p>
    <w:p w14:paraId="756E5930" w14:textId="0ED637D2" w:rsidR="00FA3CB2" w:rsidRPr="00BA1BE6" w:rsidRDefault="00B905EC" w:rsidP="00BA1BE6">
      <w:pPr>
        <w:spacing w:after="0"/>
        <w:ind w:left="4320" w:firstLine="720"/>
      </w:pPr>
      <w:r>
        <w:t xml:space="preserve">     </w:t>
      </w:r>
      <w:r w:rsidR="00FA3CB2" w:rsidRPr="00BA1BE6">
        <w:t>Mgr. Jana Lev</w:t>
      </w:r>
    </w:p>
    <w:p w14:paraId="20C824AD" w14:textId="2236030C" w:rsidR="001A3165" w:rsidRPr="00B905EC" w:rsidRDefault="00FA3CB2" w:rsidP="00B905EC">
      <w:pPr>
        <w:spacing w:after="0"/>
        <w:ind w:left="3600"/>
      </w:pPr>
      <w:r w:rsidRPr="00BA1BE6">
        <w:t>obchodní zástupce</w:t>
      </w:r>
      <w:r w:rsidR="00BA1BE6">
        <w:t xml:space="preserve"> Life Technologies</w:t>
      </w:r>
      <w:r w:rsidRPr="00BA1BE6">
        <w:t>, pověřena plnou mocí</w:t>
      </w:r>
    </w:p>
    <w:sectPr w:rsidR="001A3165" w:rsidRPr="00B90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T Std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9" w:csb1="00000000"/>
  </w:font>
  <w:font w:name="HelveticaNeueLTW1G-Md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Palatino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LTW1G-L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E2D35"/>
    <w:multiLevelType w:val="hybridMultilevel"/>
    <w:tmpl w:val="FC248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8505B"/>
    <w:multiLevelType w:val="hybridMultilevel"/>
    <w:tmpl w:val="F6FA7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67FF8"/>
    <w:multiLevelType w:val="hybridMultilevel"/>
    <w:tmpl w:val="E3084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F30A1"/>
    <w:multiLevelType w:val="hybridMultilevel"/>
    <w:tmpl w:val="0E94C15C"/>
    <w:lvl w:ilvl="0" w:tplc="1D385B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34510"/>
    <w:multiLevelType w:val="hybridMultilevel"/>
    <w:tmpl w:val="AD924B1A"/>
    <w:lvl w:ilvl="0" w:tplc="1D385B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61E10"/>
    <w:multiLevelType w:val="hybridMultilevel"/>
    <w:tmpl w:val="FC88B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3A"/>
    <w:rsid w:val="00004EE9"/>
    <w:rsid w:val="00012305"/>
    <w:rsid w:val="000133E1"/>
    <w:rsid w:val="00045B98"/>
    <w:rsid w:val="00070E8C"/>
    <w:rsid w:val="0007464A"/>
    <w:rsid w:val="0007721E"/>
    <w:rsid w:val="000908D0"/>
    <w:rsid w:val="000917C5"/>
    <w:rsid w:val="000A5B38"/>
    <w:rsid w:val="000B41CB"/>
    <w:rsid w:val="000D4976"/>
    <w:rsid w:val="00100891"/>
    <w:rsid w:val="00120BD6"/>
    <w:rsid w:val="00171838"/>
    <w:rsid w:val="00184B16"/>
    <w:rsid w:val="00187807"/>
    <w:rsid w:val="00194661"/>
    <w:rsid w:val="001A1976"/>
    <w:rsid w:val="001A3165"/>
    <w:rsid w:val="001B0C17"/>
    <w:rsid w:val="001B7B54"/>
    <w:rsid w:val="001C3052"/>
    <w:rsid w:val="001D2141"/>
    <w:rsid w:val="00212272"/>
    <w:rsid w:val="00223B4A"/>
    <w:rsid w:val="00256FE9"/>
    <w:rsid w:val="002638DC"/>
    <w:rsid w:val="00263D9B"/>
    <w:rsid w:val="00275CD9"/>
    <w:rsid w:val="002834FA"/>
    <w:rsid w:val="00283601"/>
    <w:rsid w:val="00287433"/>
    <w:rsid w:val="002B6212"/>
    <w:rsid w:val="002D400A"/>
    <w:rsid w:val="002E1F19"/>
    <w:rsid w:val="002E4A4A"/>
    <w:rsid w:val="003024FA"/>
    <w:rsid w:val="00313027"/>
    <w:rsid w:val="00325258"/>
    <w:rsid w:val="0034771B"/>
    <w:rsid w:val="0035301E"/>
    <w:rsid w:val="003B553D"/>
    <w:rsid w:val="003B5A6D"/>
    <w:rsid w:val="003B7D4D"/>
    <w:rsid w:val="00405EAA"/>
    <w:rsid w:val="00425397"/>
    <w:rsid w:val="004475C7"/>
    <w:rsid w:val="0046272C"/>
    <w:rsid w:val="00467832"/>
    <w:rsid w:val="004700BE"/>
    <w:rsid w:val="00497B4A"/>
    <w:rsid w:val="004B6C7A"/>
    <w:rsid w:val="00505E4E"/>
    <w:rsid w:val="00505F01"/>
    <w:rsid w:val="0052627B"/>
    <w:rsid w:val="00540019"/>
    <w:rsid w:val="00544B7E"/>
    <w:rsid w:val="0055124D"/>
    <w:rsid w:val="0056130E"/>
    <w:rsid w:val="00574BA8"/>
    <w:rsid w:val="005B3380"/>
    <w:rsid w:val="005B6CF8"/>
    <w:rsid w:val="005C2305"/>
    <w:rsid w:val="005E001A"/>
    <w:rsid w:val="005E0856"/>
    <w:rsid w:val="0060628C"/>
    <w:rsid w:val="0062042B"/>
    <w:rsid w:val="006363F3"/>
    <w:rsid w:val="00636D91"/>
    <w:rsid w:val="00664E2F"/>
    <w:rsid w:val="0066656D"/>
    <w:rsid w:val="006847B9"/>
    <w:rsid w:val="006975A0"/>
    <w:rsid w:val="006A65F0"/>
    <w:rsid w:val="006B6CA4"/>
    <w:rsid w:val="006D67BE"/>
    <w:rsid w:val="006E5925"/>
    <w:rsid w:val="00715F35"/>
    <w:rsid w:val="007277CF"/>
    <w:rsid w:val="007434D0"/>
    <w:rsid w:val="00751E22"/>
    <w:rsid w:val="00763A08"/>
    <w:rsid w:val="00771E51"/>
    <w:rsid w:val="007A23D7"/>
    <w:rsid w:val="007C6695"/>
    <w:rsid w:val="007E5D3C"/>
    <w:rsid w:val="00812375"/>
    <w:rsid w:val="0083661D"/>
    <w:rsid w:val="008670A0"/>
    <w:rsid w:val="00871CC0"/>
    <w:rsid w:val="008922F7"/>
    <w:rsid w:val="008A5353"/>
    <w:rsid w:val="008B2CA2"/>
    <w:rsid w:val="008C6D0B"/>
    <w:rsid w:val="008D0AC3"/>
    <w:rsid w:val="008D352B"/>
    <w:rsid w:val="008D3EBB"/>
    <w:rsid w:val="008D6A2E"/>
    <w:rsid w:val="008E1B7E"/>
    <w:rsid w:val="0090287B"/>
    <w:rsid w:val="00933400"/>
    <w:rsid w:val="009468BF"/>
    <w:rsid w:val="0095247C"/>
    <w:rsid w:val="00964C1A"/>
    <w:rsid w:val="009743ED"/>
    <w:rsid w:val="009763EE"/>
    <w:rsid w:val="009A1707"/>
    <w:rsid w:val="009B34D3"/>
    <w:rsid w:val="009D40B2"/>
    <w:rsid w:val="00A169E3"/>
    <w:rsid w:val="00A43FC5"/>
    <w:rsid w:val="00A755A3"/>
    <w:rsid w:val="00A845A8"/>
    <w:rsid w:val="00A96DEB"/>
    <w:rsid w:val="00AA1500"/>
    <w:rsid w:val="00AA4D02"/>
    <w:rsid w:val="00AA560B"/>
    <w:rsid w:val="00AA6DAE"/>
    <w:rsid w:val="00AC37A1"/>
    <w:rsid w:val="00AC658B"/>
    <w:rsid w:val="00AD0282"/>
    <w:rsid w:val="00AE3EE3"/>
    <w:rsid w:val="00AE62B1"/>
    <w:rsid w:val="00B04218"/>
    <w:rsid w:val="00B046C1"/>
    <w:rsid w:val="00B04951"/>
    <w:rsid w:val="00B1199F"/>
    <w:rsid w:val="00B3616E"/>
    <w:rsid w:val="00B514B1"/>
    <w:rsid w:val="00B547EE"/>
    <w:rsid w:val="00B54B9A"/>
    <w:rsid w:val="00B62D64"/>
    <w:rsid w:val="00B62E4E"/>
    <w:rsid w:val="00B66CDF"/>
    <w:rsid w:val="00B84F40"/>
    <w:rsid w:val="00B905EC"/>
    <w:rsid w:val="00BA0AC7"/>
    <w:rsid w:val="00BA1BE6"/>
    <w:rsid w:val="00BB392F"/>
    <w:rsid w:val="00BB416E"/>
    <w:rsid w:val="00BC4C1A"/>
    <w:rsid w:val="00BD1C44"/>
    <w:rsid w:val="00BF20F2"/>
    <w:rsid w:val="00BF4AD1"/>
    <w:rsid w:val="00C06F3A"/>
    <w:rsid w:val="00C342CA"/>
    <w:rsid w:val="00C4607A"/>
    <w:rsid w:val="00C57B7F"/>
    <w:rsid w:val="00C81FE9"/>
    <w:rsid w:val="00CC01D7"/>
    <w:rsid w:val="00CF4AC7"/>
    <w:rsid w:val="00D16932"/>
    <w:rsid w:val="00D23AE1"/>
    <w:rsid w:val="00D25A5E"/>
    <w:rsid w:val="00D660FC"/>
    <w:rsid w:val="00D67F1C"/>
    <w:rsid w:val="00D8317B"/>
    <w:rsid w:val="00D850C2"/>
    <w:rsid w:val="00D929B6"/>
    <w:rsid w:val="00DC0F95"/>
    <w:rsid w:val="00DC3E3D"/>
    <w:rsid w:val="00DC4379"/>
    <w:rsid w:val="00DC5EBE"/>
    <w:rsid w:val="00DE2844"/>
    <w:rsid w:val="00E03DCC"/>
    <w:rsid w:val="00E13102"/>
    <w:rsid w:val="00E16037"/>
    <w:rsid w:val="00E40007"/>
    <w:rsid w:val="00E52523"/>
    <w:rsid w:val="00E74F35"/>
    <w:rsid w:val="00E907EF"/>
    <w:rsid w:val="00EB0154"/>
    <w:rsid w:val="00EB2394"/>
    <w:rsid w:val="00EC30AE"/>
    <w:rsid w:val="00ED52AA"/>
    <w:rsid w:val="00EE23C0"/>
    <w:rsid w:val="00EF11B2"/>
    <w:rsid w:val="00F348D1"/>
    <w:rsid w:val="00F44E76"/>
    <w:rsid w:val="00F71799"/>
    <w:rsid w:val="00F71955"/>
    <w:rsid w:val="00F84700"/>
    <w:rsid w:val="00FA3CB2"/>
    <w:rsid w:val="00FB0BCA"/>
    <w:rsid w:val="00FC0BEA"/>
    <w:rsid w:val="00FC4FA4"/>
    <w:rsid w:val="00FC6F93"/>
    <w:rsid w:val="00FC7629"/>
    <w:rsid w:val="00FD0D73"/>
    <w:rsid w:val="00FD1181"/>
    <w:rsid w:val="00FD32DB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196EB8"/>
  <w15:chartTrackingRefBased/>
  <w15:docId w15:val="{C8A1560C-C58B-4753-9C16-57795935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C06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F3A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Default">
    <w:name w:val="Default"/>
    <w:rsid w:val="003B7D4D"/>
    <w:pPr>
      <w:autoSpaceDE w:val="0"/>
      <w:autoSpaceDN w:val="0"/>
      <w:adjustRightInd w:val="0"/>
      <w:spacing w:after="0" w:line="240" w:lineRule="auto"/>
    </w:pPr>
    <w:rPr>
      <w:rFonts w:ascii="Palatino LT Std" w:eastAsia="Times New Roman" w:hAnsi="Palatino LT Std" w:cs="Palatino LT Std"/>
      <w:color w:val="000000"/>
      <w:kern w:val="0"/>
      <w:sz w:val="24"/>
      <w:szCs w:val="24"/>
      <w14:ligatures w14:val="none"/>
    </w:rPr>
  </w:style>
  <w:style w:type="paragraph" w:styleId="Odstavecseseznamem">
    <w:name w:val="List Paragraph"/>
    <w:basedOn w:val="Normln"/>
    <w:uiPriority w:val="34"/>
    <w:qFormat/>
    <w:rsid w:val="00715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Scientific, Inc.</Company>
  <LinksUpToDate>false</LinksUpToDate>
  <CharactersWithSpaces>4903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Lev, Jana</dc:creator>
  <cp:keywords/>
  <dc:description/>
  <cp:lastModifiedBy>jezkovas</cp:lastModifiedBy>
  <cp:revision>2</cp:revision>
  <dcterms:created xsi:type="dcterms:W3CDTF">2024-10-02T05:17:00Z</dcterms:created>
  <dcterms:modified xsi:type="dcterms:W3CDTF">2024-10-02T05:17:00Z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214a9ed7-37b0-4f0b-a1c5-9a1d5f40293c</vt:lpwstr>
  </property>
</Properties>
</file>