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F1C63" w14:textId="1145A3F9" w:rsidR="0082727C" w:rsidRPr="0014454D" w:rsidRDefault="0082727C" w:rsidP="00EC565D">
      <w:pPr>
        <w:pStyle w:val="Nadpis2"/>
        <w:jc w:val="center"/>
        <w:rPr>
          <w:rFonts w:asciiTheme="minorHAnsi" w:hAnsiTheme="minorHAnsi" w:cstheme="minorHAnsi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>Smlouva o poskytnutí pronájmu prostor</w:t>
      </w:r>
      <w:r w:rsidR="005806C8">
        <w:rPr>
          <w:rFonts w:asciiTheme="minorHAnsi" w:hAnsiTheme="minorHAnsi" w:cstheme="minorHAnsi"/>
        </w:rPr>
        <w:t xml:space="preserve"> č. </w:t>
      </w:r>
      <w:r w:rsidR="004038BA" w:rsidRPr="004038BA">
        <w:rPr>
          <w:rFonts w:asciiTheme="minorHAnsi" w:hAnsiTheme="minorHAnsi" w:cstheme="minorHAnsi"/>
        </w:rPr>
        <w:t>SM2400401</w:t>
      </w:r>
    </w:p>
    <w:p w14:paraId="5E90E060" w14:textId="77777777" w:rsidR="0082727C" w:rsidRPr="0014454D" w:rsidRDefault="0082727C" w:rsidP="0082727C">
      <w:pPr>
        <w:tabs>
          <w:tab w:val="left" w:pos="2835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76FCAE9E" w14:textId="508BE94D" w:rsidR="0082727C" w:rsidRPr="00CD5282" w:rsidRDefault="002C5EE5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0C4563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>Pronajímatel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56C3EB3E" w14:textId="04130E99" w:rsidR="0082727C" w:rsidRPr="00CD5282" w:rsidRDefault="00FD32CB" w:rsidP="008D0323">
      <w:pPr>
        <w:tabs>
          <w:tab w:val="left" w:pos="482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 xml:space="preserve">CCL CONFERENCE CZECHOSLOVAKIA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Ltd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. Spol. s.r.o.</w:t>
      </w:r>
      <w:r w:rsidR="00491E56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  <w:r w:rsidR="002C5EE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KORD </w:t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&amp; P</w:t>
      </w:r>
      <w:r w:rsidR="002C5EE5">
        <w:rPr>
          <w:rFonts w:asciiTheme="minorHAnsi" w:hAnsiTheme="minorHAnsi" w:cstheme="minorHAnsi"/>
          <w:b/>
          <w:snapToGrid w:val="0"/>
          <w:sz w:val="22"/>
          <w:szCs w:val="22"/>
        </w:rPr>
        <w:t>OKLAD</w:t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, s r.o.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35248F80" w14:textId="70347545" w:rsidR="0082727C" w:rsidRPr="00CD5282" w:rsidRDefault="00FD32CB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Na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zástřelu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108/11</w:t>
      </w:r>
      <w:r w:rsidR="00491E56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0C4563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</w:t>
      </w:r>
      <w:r w:rsidR="000C4563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  <w:t xml:space="preserve"> 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Zastoupený: </w:t>
      </w:r>
      <w:r w:rsidR="00CA4241">
        <w:rPr>
          <w:rFonts w:asciiTheme="minorHAnsi" w:hAnsiTheme="minorHAnsi" w:cstheme="minorHAnsi"/>
          <w:snapToGrid w:val="0"/>
          <w:sz w:val="22"/>
          <w:szCs w:val="22"/>
        </w:rPr>
        <w:t>Ing. Matěj Ostárek, obchodní ředitel</w:t>
      </w:r>
    </w:p>
    <w:p w14:paraId="56A20381" w14:textId="2281FF86" w:rsidR="0082727C" w:rsidRPr="00CD5282" w:rsidRDefault="00FD32CB" w:rsidP="008D0323">
      <w:pPr>
        <w:tabs>
          <w:tab w:val="left" w:pos="4820"/>
        </w:tabs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Praha 6,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Břevnov</w:t>
      </w:r>
      <w:proofErr w:type="spellEnd"/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0C4563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 </w:t>
      </w:r>
      <w:r w:rsidR="000C4563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Náměstí SNP 1, Ostrava-Zábřeh, 700 30</w:t>
      </w:r>
    </w:p>
    <w:p w14:paraId="206D5C2F" w14:textId="668C55B3" w:rsidR="0082727C" w:rsidRPr="00CD5282" w:rsidRDefault="0082727C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IČ</w:t>
      </w:r>
      <w:r w:rsidR="002C5EE5">
        <w:rPr>
          <w:rFonts w:asciiTheme="minorHAnsi" w:hAnsiTheme="minorHAnsi" w:cstheme="minorHAnsi"/>
          <w:sz w:val="22"/>
          <w:szCs w:val="22"/>
        </w:rPr>
        <w:t>O</w:t>
      </w:r>
      <w:r w:rsidRPr="00CD5282">
        <w:rPr>
          <w:rFonts w:asciiTheme="minorHAnsi" w:hAnsiTheme="minorHAnsi" w:cstheme="minorHAnsi"/>
          <w:sz w:val="22"/>
          <w:szCs w:val="22"/>
        </w:rPr>
        <w:t xml:space="preserve">: </w:t>
      </w:r>
      <w:r w:rsidR="00FD32CB">
        <w:rPr>
          <w:rFonts w:asciiTheme="minorHAnsi" w:hAnsiTheme="minorHAnsi" w:cstheme="minorHAnsi"/>
          <w:sz w:val="22"/>
          <w:szCs w:val="22"/>
        </w:rPr>
        <w:t>00677060</w:t>
      </w:r>
      <w:r w:rsidR="002C5EE5">
        <w:rPr>
          <w:rFonts w:asciiTheme="minorHAnsi" w:hAnsiTheme="minorHAnsi" w:cstheme="minorHAnsi"/>
          <w:color w:val="000000"/>
          <w:sz w:val="22"/>
          <w:szCs w:val="22"/>
          <w:lang w:val="sk-SK"/>
        </w:rPr>
        <w:t>, DIČ:</w:t>
      </w:r>
      <w:r w:rsidR="00566269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</w:t>
      </w:r>
      <w:r w:rsidR="00F7106D">
        <w:rPr>
          <w:rFonts w:asciiTheme="minorHAnsi" w:hAnsiTheme="minorHAnsi" w:cstheme="minorHAnsi"/>
          <w:color w:val="000000"/>
          <w:sz w:val="22"/>
          <w:szCs w:val="22"/>
          <w:lang w:val="sk-SK"/>
        </w:rPr>
        <w:t>CZ00677060</w:t>
      </w:r>
      <w:r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0C4563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IČ</w:t>
      </w:r>
      <w:r w:rsidR="002C5EE5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: 47973145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DIČ: CZ47973145</w:t>
      </w:r>
    </w:p>
    <w:p w14:paraId="1E763544" w14:textId="2A8C8365" w:rsidR="0082727C" w:rsidRPr="00CD5282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Tel: </w:t>
      </w:r>
      <w:proofErr w:type="spellStart"/>
      <w:r w:rsidR="000B206D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Pr="00CD5282">
        <w:rPr>
          <w:rFonts w:asciiTheme="minorHAnsi" w:hAnsiTheme="minorHAnsi" w:cstheme="minorHAnsi"/>
          <w:sz w:val="22"/>
          <w:szCs w:val="22"/>
        </w:rPr>
        <w:tab/>
      </w:r>
      <w:r w:rsidR="000C456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B206D">
        <w:rPr>
          <w:rFonts w:asciiTheme="minorHAnsi" w:hAnsiTheme="minorHAnsi" w:cstheme="minorHAnsi"/>
          <w:snapToGrid w:val="0"/>
          <w:sz w:val="22"/>
          <w:szCs w:val="22"/>
        </w:rPr>
        <w:t>xxxxxxxxxxxxxxxxxxxxxxxxxxxxxxx</w:t>
      </w:r>
      <w:proofErr w:type="spellEnd"/>
    </w:p>
    <w:p w14:paraId="37E64267" w14:textId="64C95CF0" w:rsidR="0082727C" w:rsidRPr="00CD5282" w:rsidRDefault="0082727C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Vyřizuje: </w:t>
      </w:r>
      <w:r w:rsidR="00FD32CB">
        <w:rPr>
          <w:rFonts w:asciiTheme="minorHAnsi" w:hAnsiTheme="minorHAnsi" w:cstheme="minorHAnsi"/>
          <w:snapToGrid w:val="0"/>
          <w:sz w:val="22"/>
          <w:szCs w:val="22"/>
        </w:rPr>
        <w:t xml:space="preserve">Veronika </w:t>
      </w:r>
      <w:proofErr w:type="spellStart"/>
      <w:r w:rsidR="00FD32CB">
        <w:rPr>
          <w:rFonts w:asciiTheme="minorHAnsi" w:hAnsiTheme="minorHAnsi" w:cstheme="minorHAnsi"/>
          <w:snapToGrid w:val="0"/>
          <w:sz w:val="22"/>
          <w:szCs w:val="22"/>
        </w:rPr>
        <w:t>Sidó</w:t>
      </w:r>
      <w:proofErr w:type="spellEnd"/>
      <w:r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0C4563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465A96" w:rsidRPr="00CD5282">
        <w:rPr>
          <w:rFonts w:asciiTheme="minorHAnsi" w:hAnsiTheme="minorHAnsi" w:cstheme="minorHAnsi"/>
          <w:color w:val="000000"/>
          <w:sz w:val="22"/>
          <w:szCs w:val="22"/>
        </w:rPr>
        <w:t>Krajský soud v</w:t>
      </w:r>
      <w:r w:rsidRPr="00CD5282">
        <w:rPr>
          <w:rFonts w:asciiTheme="minorHAnsi" w:hAnsiTheme="minorHAnsi" w:cstheme="minorHAnsi"/>
          <w:color w:val="000000"/>
          <w:sz w:val="22"/>
          <w:szCs w:val="22"/>
        </w:rPr>
        <w:t xml:space="preserve"> Ostravě, odd. C, </w:t>
      </w:r>
      <w:proofErr w:type="spellStart"/>
      <w:r w:rsidRPr="00CD5282">
        <w:rPr>
          <w:rFonts w:asciiTheme="minorHAnsi" w:hAnsiTheme="minorHAnsi" w:cstheme="minorHAnsi"/>
          <w:color w:val="000000"/>
          <w:sz w:val="22"/>
          <w:szCs w:val="22"/>
        </w:rPr>
        <w:t>vl</w:t>
      </w:r>
      <w:proofErr w:type="spellEnd"/>
      <w:r w:rsidRPr="00CD5282">
        <w:rPr>
          <w:rFonts w:asciiTheme="minorHAnsi" w:hAnsiTheme="minorHAnsi" w:cstheme="minorHAnsi"/>
          <w:color w:val="000000"/>
          <w:sz w:val="22"/>
          <w:szCs w:val="22"/>
        </w:rPr>
        <w:t>. 5281</w:t>
      </w:r>
    </w:p>
    <w:p w14:paraId="178E34F3" w14:textId="07143000" w:rsidR="0082727C" w:rsidRPr="00C55345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0C4563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Pr="00C55345">
        <w:rPr>
          <w:rFonts w:asciiTheme="minorHAnsi" w:hAnsiTheme="minorHAnsi" w:cstheme="minorHAnsi"/>
          <w:snapToGrid w:val="0"/>
          <w:sz w:val="22"/>
          <w:szCs w:val="22"/>
        </w:rPr>
        <w:t xml:space="preserve">Tel: </w:t>
      </w:r>
      <w:proofErr w:type="spellStart"/>
      <w:r w:rsidR="000B206D">
        <w:rPr>
          <w:rFonts w:asciiTheme="minorHAnsi" w:hAnsiTheme="minorHAnsi" w:cstheme="minorHAnsi"/>
          <w:snapToGrid w:val="0"/>
          <w:sz w:val="22"/>
          <w:szCs w:val="22"/>
        </w:rPr>
        <w:t>xxxxxxxxx</w:t>
      </w:r>
      <w:proofErr w:type="spellEnd"/>
    </w:p>
    <w:p w14:paraId="4592055A" w14:textId="6F9FCFCC" w:rsidR="0082727C" w:rsidRPr="00C55345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C55345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0C4563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55345">
        <w:rPr>
          <w:rFonts w:asciiTheme="minorHAnsi" w:hAnsiTheme="minorHAnsi" w:cstheme="minorHAnsi"/>
          <w:snapToGrid w:val="0"/>
          <w:sz w:val="22"/>
          <w:szCs w:val="22"/>
        </w:rPr>
        <w:t xml:space="preserve">Vyřizuje: </w:t>
      </w:r>
      <w:r w:rsidR="004038BA">
        <w:rPr>
          <w:rFonts w:asciiTheme="minorHAnsi" w:hAnsiTheme="minorHAnsi" w:cstheme="minorHAnsi"/>
          <w:snapToGrid w:val="0"/>
          <w:sz w:val="22"/>
          <w:szCs w:val="22"/>
        </w:rPr>
        <w:t>Ing. Petra Bordovská</w:t>
      </w:r>
    </w:p>
    <w:p w14:paraId="0DE41495" w14:textId="77777777" w:rsidR="0082727C" w:rsidRPr="00CD5282" w:rsidRDefault="0082727C" w:rsidP="0082727C">
      <w:pPr>
        <w:tabs>
          <w:tab w:val="left" w:pos="465"/>
          <w:tab w:val="left" w:pos="2268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1F6452A" w14:textId="15E7EE5B" w:rsidR="0082727C" w:rsidRPr="00CD5282" w:rsidRDefault="00465A96" w:rsidP="0082727C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I. </w:t>
      </w:r>
      <w:r w:rsidR="00D304CB">
        <w:rPr>
          <w:rFonts w:asciiTheme="minorHAnsi" w:hAnsiTheme="minorHAnsi" w:cstheme="minorHAnsi"/>
          <w:b w:val="0"/>
          <w:i w:val="0"/>
          <w:sz w:val="22"/>
          <w:szCs w:val="22"/>
        </w:rPr>
        <w:t>Detail akce</w:t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4EB830C8" w14:textId="051BF70B" w:rsidR="00A16012" w:rsidRPr="005806C8" w:rsidRDefault="00A16012" w:rsidP="008272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06C8">
        <w:rPr>
          <w:rFonts w:asciiTheme="minorHAnsi" w:hAnsiTheme="minorHAnsi" w:cstheme="minorHAnsi"/>
          <w:sz w:val="22"/>
          <w:szCs w:val="22"/>
        </w:rPr>
        <w:t xml:space="preserve">Objekt, kde se koná akce: </w:t>
      </w:r>
      <w:r w:rsidRPr="005806C8">
        <w:rPr>
          <w:rFonts w:asciiTheme="minorHAnsi" w:hAnsiTheme="minorHAnsi" w:cstheme="minorHAnsi"/>
          <w:b/>
          <w:bCs/>
          <w:sz w:val="22"/>
          <w:szCs w:val="22"/>
        </w:rPr>
        <w:t xml:space="preserve">Budova č.p. </w:t>
      </w:r>
      <w:r w:rsidR="00C365E2">
        <w:rPr>
          <w:rFonts w:asciiTheme="minorHAnsi" w:hAnsiTheme="minorHAnsi" w:cstheme="minorHAnsi"/>
          <w:b/>
          <w:bCs/>
          <w:sz w:val="22"/>
          <w:szCs w:val="22"/>
        </w:rPr>
        <w:t>675, Matěje Kopeckého 675/21</w:t>
      </w:r>
      <w:r w:rsidR="00854D64" w:rsidRPr="005806C8">
        <w:rPr>
          <w:rFonts w:asciiTheme="minorHAnsi" w:hAnsiTheme="minorHAnsi" w:cstheme="minorHAnsi"/>
          <w:b/>
          <w:bCs/>
          <w:sz w:val="22"/>
          <w:szCs w:val="22"/>
        </w:rPr>
        <w:t>, Ostrava-</w:t>
      </w:r>
      <w:r w:rsidR="00C365E2">
        <w:rPr>
          <w:rFonts w:asciiTheme="minorHAnsi" w:hAnsiTheme="minorHAnsi" w:cstheme="minorHAnsi"/>
          <w:b/>
          <w:bCs/>
          <w:sz w:val="22"/>
          <w:szCs w:val="22"/>
        </w:rPr>
        <w:t>Poruba</w:t>
      </w:r>
      <w:r w:rsidR="00854D64" w:rsidRPr="005806C8">
        <w:rPr>
          <w:rFonts w:asciiTheme="minorHAnsi" w:hAnsiTheme="minorHAnsi" w:cstheme="minorHAnsi"/>
          <w:b/>
          <w:bCs/>
          <w:sz w:val="22"/>
          <w:szCs w:val="22"/>
        </w:rPr>
        <w:t xml:space="preserve">, PSČ: </w:t>
      </w:r>
      <w:r w:rsidR="00C365E2">
        <w:rPr>
          <w:rFonts w:asciiTheme="minorHAnsi" w:hAnsiTheme="minorHAnsi" w:cstheme="minorHAnsi"/>
          <w:b/>
          <w:bCs/>
          <w:sz w:val="22"/>
          <w:szCs w:val="22"/>
        </w:rPr>
        <w:t>708 00</w:t>
      </w:r>
    </w:p>
    <w:p w14:paraId="48449F5E" w14:textId="1CAAF897" w:rsidR="00D304CB" w:rsidRPr="005806C8" w:rsidRDefault="00D304CB" w:rsidP="008272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06C8">
        <w:rPr>
          <w:rFonts w:asciiTheme="minorHAnsi" w:hAnsiTheme="minorHAnsi" w:cstheme="minorHAnsi"/>
          <w:sz w:val="22"/>
          <w:szCs w:val="22"/>
        </w:rPr>
        <w:t>Název akce:</w:t>
      </w:r>
      <w:r w:rsidR="00C55345" w:rsidRPr="005806C8">
        <w:rPr>
          <w:rFonts w:asciiTheme="minorHAnsi" w:hAnsiTheme="minorHAnsi" w:cstheme="minorHAnsi"/>
          <w:sz w:val="22"/>
          <w:szCs w:val="22"/>
        </w:rPr>
        <w:t xml:space="preserve"> </w:t>
      </w:r>
      <w:r w:rsidR="005806C8" w:rsidRPr="005806C8">
        <w:rPr>
          <w:rFonts w:asciiTheme="minorHAnsi" w:hAnsiTheme="minorHAnsi" w:cstheme="minorHAnsi"/>
          <w:sz w:val="22"/>
          <w:szCs w:val="22"/>
        </w:rPr>
        <w:tab/>
      </w:r>
      <w:r w:rsidR="005806C8" w:rsidRPr="005806C8">
        <w:rPr>
          <w:rFonts w:asciiTheme="minorHAnsi" w:hAnsiTheme="minorHAnsi" w:cstheme="minorHAnsi"/>
          <w:sz w:val="22"/>
          <w:szCs w:val="22"/>
        </w:rPr>
        <w:tab/>
      </w:r>
      <w:r w:rsidR="004038BA" w:rsidRPr="00165681">
        <w:rPr>
          <w:rFonts w:asciiTheme="minorHAnsi" w:hAnsiTheme="minorHAnsi" w:cstheme="minorHAnsi"/>
          <w:b/>
          <w:bCs/>
          <w:sz w:val="22"/>
          <w:szCs w:val="22"/>
        </w:rPr>
        <w:t>Obchodní divadlo</w:t>
      </w:r>
      <w:r w:rsidR="00165681">
        <w:rPr>
          <w:rFonts w:asciiTheme="minorHAnsi" w:hAnsiTheme="minorHAnsi" w:cstheme="minorHAnsi"/>
          <w:b/>
          <w:bCs/>
          <w:sz w:val="22"/>
          <w:szCs w:val="22"/>
        </w:rPr>
        <w:t xml:space="preserve"> pro Českou spořitelnu</w:t>
      </w:r>
    </w:p>
    <w:p w14:paraId="5FC8161A" w14:textId="5AE3CF79" w:rsidR="0082727C" w:rsidRPr="005806C8" w:rsidRDefault="0082727C" w:rsidP="008272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06C8">
        <w:rPr>
          <w:rFonts w:asciiTheme="minorHAnsi" w:hAnsiTheme="minorHAnsi" w:cstheme="minorHAnsi"/>
          <w:sz w:val="22"/>
          <w:szCs w:val="22"/>
        </w:rPr>
        <w:t xml:space="preserve">Časový rozvrh akce: </w:t>
      </w:r>
      <w:r w:rsidRPr="005806C8">
        <w:rPr>
          <w:rFonts w:asciiTheme="minorHAnsi" w:hAnsiTheme="minorHAnsi" w:cstheme="minorHAnsi"/>
          <w:sz w:val="22"/>
          <w:szCs w:val="22"/>
        </w:rPr>
        <w:tab/>
      </w:r>
      <w:r w:rsidR="00566269" w:rsidRPr="005806C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D32C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66269" w:rsidRPr="005806C8">
        <w:rPr>
          <w:rFonts w:asciiTheme="minorHAnsi" w:hAnsiTheme="minorHAnsi" w:cstheme="minorHAnsi"/>
          <w:b/>
          <w:bCs/>
          <w:sz w:val="22"/>
          <w:szCs w:val="22"/>
        </w:rPr>
        <w:t>:00 – 2</w:t>
      </w:r>
      <w:r w:rsidR="00FD32C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66269" w:rsidRPr="005806C8">
        <w:rPr>
          <w:rFonts w:asciiTheme="minorHAnsi" w:hAnsiTheme="minorHAnsi" w:cstheme="minorHAnsi"/>
          <w:b/>
          <w:bCs/>
          <w:sz w:val="22"/>
          <w:szCs w:val="22"/>
        </w:rPr>
        <w:t>:00 včetně přípravy</w:t>
      </w:r>
      <w:r w:rsidR="00002E81" w:rsidRPr="005806C8">
        <w:rPr>
          <w:rFonts w:asciiTheme="minorHAnsi" w:hAnsiTheme="minorHAnsi" w:cstheme="minorHAnsi"/>
          <w:b/>
          <w:bCs/>
          <w:sz w:val="22"/>
          <w:szCs w:val="22"/>
        </w:rPr>
        <w:t xml:space="preserve"> a vyklizení prostor</w:t>
      </w:r>
    </w:p>
    <w:p w14:paraId="1A04C5FB" w14:textId="4C949CC9" w:rsidR="0082727C" w:rsidRPr="005806C8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5806C8">
        <w:rPr>
          <w:rFonts w:asciiTheme="minorHAnsi" w:hAnsiTheme="minorHAnsi" w:cstheme="minorHAnsi"/>
          <w:sz w:val="22"/>
          <w:szCs w:val="22"/>
        </w:rPr>
        <w:t xml:space="preserve">Dne: </w:t>
      </w:r>
      <w:r w:rsidRPr="005806C8">
        <w:rPr>
          <w:rFonts w:asciiTheme="minorHAnsi" w:hAnsiTheme="minorHAnsi" w:cstheme="minorHAnsi"/>
          <w:sz w:val="22"/>
          <w:szCs w:val="22"/>
        </w:rPr>
        <w:tab/>
      </w:r>
      <w:r w:rsidR="00002E81" w:rsidRPr="005806C8">
        <w:rPr>
          <w:rFonts w:asciiTheme="minorHAnsi" w:hAnsiTheme="minorHAnsi" w:cstheme="minorHAnsi"/>
          <w:sz w:val="22"/>
          <w:szCs w:val="22"/>
        </w:rPr>
        <w:tab/>
      </w:r>
      <w:r w:rsidR="00002E81" w:rsidRPr="005806C8">
        <w:rPr>
          <w:rFonts w:asciiTheme="minorHAnsi" w:hAnsiTheme="minorHAnsi" w:cstheme="minorHAnsi"/>
          <w:sz w:val="22"/>
          <w:szCs w:val="22"/>
        </w:rPr>
        <w:tab/>
      </w:r>
      <w:r w:rsidR="004038BA">
        <w:rPr>
          <w:rFonts w:asciiTheme="minorHAnsi" w:hAnsiTheme="minorHAnsi" w:cstheme="minorHAnsi"/>
          <w:b/>
          <w:bCs/>
          <w:sz w:val="22"/>
          <w:szCs w:val="22"/>
        </w:rPr>
        <w:t>20.11.2024</w:t>
      </w:r>
      <w:r w:rsidRPr="005806C8">
        <w:rPr>
          <w:rFonts w:asciiTheme="minorHAnsi" w:hAnsiTheme="minorHAnsi" w:cstheme="minorHAnsi"/>
          <w:sz w:val="22"/>
          <w:szCs w:val="22"/>
        </w:rPr>
        <w:tab/>
      </w:r>
      <w:r w:rsidRPr="005806C8">
        <w:rPr>
          <w:rFonts w:asciiTheme="minorHAnsi" w:hAnsiTheme="minorHAnsi" w:cstheme="minorHAnsi"/>
          <w:sz w:val="22"/>
          <w:szCs w:val="22"/>
        </w:rPr>
        <w:tab/>
      </w:r>
    </w:p>
    <w:p w14:paraId="442BF331" w14:textId="4747F40C" w:rsidR="0082727C" w:rsidRPr="005806C8" w:rsidRDefault="0082727C" w:rsidP="0082727C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5806C8">
        <w:rPr>
          <w:rFonts w:asciiTheme="minorHAnsi" w:hAnsiTheme="minorHAnsi" w:cstheme="minorHAnsi"/>
          <w:sz w:val="22"/>
          <w:szCs w:val="22"/>
        </w:rPr>
        <w:t>Místnost:</w:t>
      </w:r>
      <w:r w:rsidR="00C55345" w:rsidRPr="005806C8">
        <w:rPr>
          <w:rFonts w:asciiTheme="minorHAnsi" w:hAnsiTheme="minorHAnsi" w:cstheme="minorHAnsi"/>
          <w:sz w:val="22"/>
          <w:szCs w:val="22"/>
        </w:rPr>
        <w:t xml:space="preserve"> </w:t>
      </w:r>
      <w:r w:rsidR="00002E81" w:rsidRPr="005806C8">
        <w:rPr>
          <w:rFonts w:asciiTheme="minorHAnsi" w:hAnsiTheme="minorHAnsi" w:cstheme="minorHAnsi"/>
          <w:sz w:val="22"/>
          <w:szCs w:val="22"/>
        </w:rPr>
        <w:tab/>
      </w:r>
      <w:r w:rsidR="00FD32CB">
        <w:rPr>
          <w:rFonts w:asciiTheme="minorHAnsi" w:hAnsiTheme="minorHAnsi" w:cstheme="minorHAnsi"/>
          <w:b/>
          <w:bCs/>
          <w:sz w:val="22"/>
          <w:szCs w:val="22"/>
        </w:rPr>
        <w:t>Divadelní sál, Divadelní šatn</w:t>
      </w:r>
      <w:r w:rsidR="004038BA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FD32CB">
        <w:rPr>
          <w:rFonts w:asciiTheme="minorHAnsi" w:hAnsiTheme="minorHAnsi" w:cstheme="minorHAnsi"/>
          <w:b/>
          <w:bCs/>
          <w:sz w:val="22"/>
          <w:szCs w:val="22"/>
        </w:rPr>
        <w:t xml:space="preserve">, Společenský sál, </w:t>
      </w:r>
      <w:r w:rsidR="004038BA">
        <w:rPr>
          <w:rFonts w:asciiTheme="minorHAnsi" w:hAnsiTheme="minorHAnsi" w:cstheme="minorHAnsi"/>
          <w:b/>
          <w:bCs/>
          <w:sz w:val="22"/>
          <w:szCs w:val="22"/>
        </w:rPr>
        <w:t xml:space="preserve">Společenské foyer, </w:t>
      </w:r>
      <w:r w:rsidR="00FD32CB">
        <w:rPr>
          <w:rFonts w:asciiTheme="minorHAnsi" w:hAnsiTheme="minorHAnsi" w:cstheme="minorHAnsi"/>
          <w:b/>
          <w:bCs/>
          <w:sz w:val="22"/>
          <w:szCs w:val="22"/>
        </w:rPr>
        <w:t>Šatn</w:t>
      </w:r>
      <w:r w:rsidR="004038BA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D32CB">
        <w:rPr>
          <w:rFonts w:asciiTheme="minorHAnsi" w:hAnsiTheme="minorHAnsi" w:cstheme="minorHAnsi"/>
          <w:b/>
          <w:bCs/>
          <w:sz w:val="22"/>
          <w:szCs w:val="22"/>
        </w:rPr>
        <w:t xml:space="preserve"> ve vstupním foyer</w:t>
      </w:r>
    </w:p>
    <w:p w14:paraId="651D83CD" w14:textId="510D6ED9" w:rsidR="0082727C" w:rsidRPr="005806C8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5806C8">
        <w:rPr>
          <w:rFonts w:asciiTheme="minorHAnsi" w:hAnsiTheme="minorHAnsi" w:cstheme="minorHAnsi"/>
          <w:sz w:val="22"/>
          <w:szCs w:val="22"/>
        </w:rPr>
        <w:t>Zpřístupnění místnosti:</w:t>
      </w:r>
      <w:r w:rsidR="00EC77EA" w:rsidRPr="005806C8">
        <w:rPr>
          <w:rFonts w:asciiTheme="minorHAnsi" w:hAnsiTheme="minorHAnsi" w:cstheme="minorHAnsi"/>
          <w:sz w:val="22"/>
          <w:szCs w:val="22"/>
        </w:rPr>
        <w:t xml:space="preserve"> </w:t>
      </w:r>
      <w:r w:rsidR="00002E81" w:rsidRPr="005806C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D32C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002E81" w:rsidRPr="005806C8">
        <w:rPr>
          <w:rFonts w:asciiTheme="minorHAnsi" w:hAnsiTheme="minorHAnsi" w:cstheme="minorHAnsi"/>
          <w:b/>
          <w:bCs/>
          <w:sz w:val="22"/>
          <w:szCs w:val="22"/>
        </w:rPr>
        <w:t>:00</w:t>
      </w:r>
    </w:p>
    <w:p w14:paraId="385649FB" w14:textId="77777777" w:rsidR="0082727C" w:rsidRPr="005806C8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160FB59" w14:textId="019E5C3A" w:rsidR="0082727C" w:rsidRPr="005806C8" w:rsidRDefault="00465A96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5806C8"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="0082727C" w:rsidRPr="005806C8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3CBAC2EF" w14:textId="77777777" w:rsidR="00470C71" w:rsidRPr="005806C8" w:rsidRDefault="00470C71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0976504" w14:textId="4190A801" w:rsidR="0082727C" w:rsidRPr="004038BA" w:rsidRDefault="005806C8" w:rsidP="004038BA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4038BA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82727C" w:rsidRPr="004038BA">
        <w:rPr>
          <w:rFonts w:asciiTheme="minorHAnsi" w:hAnsiTheme="minorHAnsi" w:cstheme="minorHAnsi"/>
          <w:snapToGrid w:val="0"/>
          <w:sz w:val="22"/>
          <w:szCs w:val="22"/>
        </w:rPr>
        <w:t xml:space="preserve">ronájem </w:t>
      </w:r>
      <w:r w:rsidR="00470C71" w:rsidRPr="004038BA">
        <w:rPr>
          <w:rFonts w:asciiTheme="minorHAnsi" w:hAnsiTheme="minorHAnsi" w:cstheme="minorHAnsi"/>
          <w:snapToGrid w:val="0"/>
          <w:sz w:val="22"/>
          <w:szCs w:val="22"/>
        </w:rPr>
        <w:t>prostorů</w:t>
      </w:r>
      <w:r w:rsidR="0082727C" w:rsidRPr="004038BA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C55345" w:rsidRPr="004038B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D32CB" w:rsidRPr="004038BA">
        <w:rPr>
          <w:rFonts w:asciiTheme="minorHAnsi" w:hAnsiTheme="minorHAnsi" w:cstheme="minorHAnsi"/>
          <w:b/>
          <w:bCs/>
          <w:sz w:val="22"/>
          <w:szCs w:val="22"/>
        </w:rPr>
        <w:t>Divadelní sál, Divadelní šatn</w:t>
      </w:r>
      <w:r w:rsidR="004038BA" w:rsidRPr="004038BA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FD32CB" w:rsidRPr="004038BA">
        <w:rPr>
          <w:rFonts w:asciiTheme="minorHAnsi" w:hAnsiTheme="minorHAnsi" w:cstheme="minorHAnsi"/>
          <w:b/>
          <w:bCs/>
          <w:sz w:val="22"/>
          <w:szCs w:val="22"/>
        </w:rPr>
        <w:t xml:space="preserve">, Společenský sál, </w:t>
      </w:r>
      <w:r w:rsidR="004038BA" w:rsidRPr="004038BA">
        <w:rPr>
          <w:rFonts w:asciiTheme="minorHAnsi" w:hAnsiTheme="minorHAnsi" w:cstheme="minorHAnsi"/>
          <w:b/>
          <w:bCs/>
          <w:sz w:val="22"/>
          <w:szCs w:val="22"/>
        </w:rPr>
        <w:t xml:space="preserve">Společenské foyer, </w:t>
      </w:r>
      <w:r w:rsidR="00FD32CB" w:rsidRPr="004038BA">
        <w:rPr>
          <w:rFonts w:asciiTheme="minorHAnsi" w:hAnsiTheme="minorHAnsi" w:cstheme="minorHAnsi"/>
          <w:b/>
          <w:bCs/>
          <w:sz w:val="22"/>
          <w:szCs w:val="22"/>
        </w:rPr>
        <w:t>Šatn</w:t>
      </w:r>
      <w:r w:rsidR="00915176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D32CB" w:rsidRPr="004038BA">
        <w:rPr>
          <w:rFonts w:asciiTheme="minorHAnsi" w:hAnsiTheme="minorHAnsi" w:cstheme="minorHAnsi"/>
          <w:b/>
          <w:bCs/>
          <w:sz w:val="22"/>
          <w:szCs w:val="22"/>
        </w:rPr>
        <w:t xml:space="preserve"> ve vstupním foyer</w:t>
      </w:r>
    </w:p>
    <w:p w14:paraId="1034E15E" w14:textId="36F2D75F" w:rsidR="00320A83" w:rsidRPr="004038BA" w:rsidRDefault="00470C71" w:rsidP="004038BA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5806C8">
        <w:rPr>
          <w:rFonts w:asciiTheme="minorHAnsi" w:hAnsiTheme="minorHAnsi" w:cstheme="minorHAnsi"/>
          <w:snapToGrid w:val="0"/>
          <w:sz w:val="22"/>
          <w:szCs w:val="22"/>
        </w:rPr>
        <w:t>Technické a personální</w:t>
      </w:r>
      <w:r w:rsidR="00CD25A4" w:rsidRPr="005806C8">
        <w:rPr>
          <w:rFonts w:asciiTheme="minorHAnsi" w:hAnsiTheme="minorHAnsi" w:cstheme="minorHAnsi"/>
          <w:snapToGrid w:val="0"/>
          <w:sz w:val="22"/>
          <w:szCs w:val="22"/>
        </w:rPr>
        <w:t xml:space="preserve"> zabezpečení</w:t>
      </w:r>
      <w:r w:rsidR="00A2194B" w:rsidRPr="005806C8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C55345" w:rsidRPr="005806C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A3BE2">
        <w:rPr>
          <w:rFonts w:asciiTheme="minorHAnsi" w:hAnsiTheme="minorHAnsi" w:cstheme="minorHAnsi"/>
          <w:snapToGrid w:val="0"/>
          <w:sz w:val="22"/>
          <w:szCs w:val="22"/>
        </w:rPr>
        <w:t>technické zabezpečení</w:t>
      </w:r>
      <w:r w:rsidR="004038B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gramStart"/>
      <w:r w:rsidR="004038BA">
        <w:rPr>
          <w:rFonts w:asciiTheme="minorHAnsi" w:hAnsiTheme="minorHAnsi" w:cstheme="minorHAnsi"/>
          <w:snapToGrid w:val="0"/>
          <w:sz w:val="22"/>
          <w:szCs w:val="22"/>
        </w:rPr>
        <w:t>akce - plné</w:t>
      </w:r>
      <w:proofErr w:type="gramEnd"/>
      <w:r w:rsidR="00FA3BE2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B40193" w:rsidRPr="005806C8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4038BA">
        <w:rPr>
          <w:rFonts w:asciiTheme="minorHAnsi" w:hAnsiTheme="minorHAnsi" w:cstheme="minorHAnsi"/>
          <w:snapToGrid w:val="0"/>
          <w:sz w:val="22"/>
          <w:szCs w:val="22"/>
        </w:rPr>
        <w:t xml:space="preserve"> osoby</w:t>
      </w:r>
      <w:r w:rsidR="00B40193" w:rsidRPr="005806C8">
        <w:rPr>
          <w:rFonts w:asciiTheme="minorHAnsi" w:hAnsiTheme="minorHAnsi" w:cstheme="minorHAnsi"/>
          <w:snapToGrid w:val="0"/>
          <w:sz w:val="22"/>
          <w:szCs w:val="22"/>
        </w:rPr>
        <w:t xml:space="preserve"> zvukař/osvětlovač</w:t>
      </w:r>
      <w:r w:rsidR="005E7FBA" w:rsidRPr="005806C8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FD32CB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4038BA">
        <w:rPr>
          <w:rFonts w:asciiTheme="minorHAnsi" w:hAnsiTheme="minorHAnsi" w:cstheme="minorHAnsi"/>
          <w:snapToGrid w:val="0"/>
          <w:sz w:val="22"/>
          <w:szCs w:val="22"/>
        </w:rPr>
        <w:t xml:space="preserve"> osoby šatna, 1 osoba uvaděčka, </w:t>
      </w:r>
      <w:r w:rsidR="00A0345C" w:rsidRPr="005806C8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4038BA">
        <w:rPr>
          <w:rFonts w:asciiTheme="minorHAnsi" w:hAnsiTheme="minorHAnsi" w:cstheme="minorHAnsi"/>
          <w:snapToGrid w:val="0"/>
          <w:sz w:val="22"/>
          <w:szCs w:val="22"/>
        </w:rPr>
        <w:t xml:space="preserve"> osoba</w:t>
      </w:r>
      <w:r w:rsidR="00A0345C" w:rsidRPr="005806C8">
        <w:rPr>
          <w:rFonts w:asciiTheme="minorHAnsi" w:hAnsiTheme="minorHAnsi" w:cstheme="minorHAnsi"/>
          <w:snapToGrid w:val="0"/>
          <w:sz w:val="22"/>
          <w:szCs w:val="22"/>
        </w:rPr>
        <w:t xml:space="preserve"> jevištní technik</w:t>
      </w:r>
      <w:r w:rsidR="004038BA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50D46D45" w14:textId="613391F1" w:rsidR="004038BA" w:rsidRPr="00320A83" w:rsidRDefault="004038BA" w:rsidP="004038BA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>Služby restaurace dle zadání nájemce: dle objednávky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nebo skutečné spotřeby, pokud spotřeba převýší objednávku.</w:t>
      </w:r>
    </w:p>
    <w:p w14:paraId="1A518772" w14:textId="051A5AE8" w:rsidR="00FD32CB" w:rsidRPr="00FD32CB" w:rsidRDefault="00FD32CB" w:rsidP="004038BA">
      <w:pPr>
        <w:pStyle w:val="Odstavecseseznamem"/>
        <w:rPr>
          <w:rFonts w:asciiTheme="minorHAnsi" w:hAnsiTheme="minorHAnsi" w:cstheme="minorHAnsi"/>
          <w:snapToGrid w:val="0"/>
          <w:sz w:val="22"/>
          <w:szCs w:val="22"/>
        </w:rPr>
      </w:pPr>
    </w:p>
    <w:p w14:paraId="03B5546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5E73C384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1A207F77" w14:textId="55FD3CFB" w:rsidR="0082727C" w:rsidRPr="00CA21EF" w:rsidRDefault="0082727C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566269">
        <w:rPr>
          <w:rFonts w:asciiTheme="minorHAnsi" w:hAnsiTheme="minorHAnsi" w:cstheme="minorHAnsi"/>
          <w:snapToGrid w:val="0"/>
          <w:sz w:val="22"/>
          <w:szCs w:val="22"/>
        </w:rPr>
        <w:t>prostor za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úhradu </w:t>
      </w:r>
      <w:proofErr w:type="spellStart"/>
      <w:r w:rsidR="000B206D">
        <w:rPr>
          <w:rFonts w:asciiTheme="minorHAnsi" w:hAnsiTheme="minorHAnsi" w:cstheme="minorHAnsi"/>
          <w:b/>
          <w:bCs/>
          <w:snapToGrid w:val="0"/>
          <w:sz w:val="22"/>
          <w:szCs w:val="22"/>
        </w:rPr>
        <w:t>xxx</w:t>
      </w:r>
      <w:proofErr w:type="spellEnd"/>
      <w:r w:rsidR="00566269" w:rsidRPr="005806C8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Kč</w:t>
      </w:r>
      <w:r w:rsidR="00EC77EA" w:rsidRPr="005806C8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CD25A4" w:rsidRPr="005806C8">
        <w:rPr>
          <w:rFonts w:asciiTheme="minorHAnsi" w:hAnsiTheme="minorHAnsi" w:cstheme="minorHAnsi"/>
          <w:b/>
          <w:bCs/>
          <w:snapToGrid w:val="0"/>
          <w:sz w:val="22"/>
          <w:szCs w:val="22"/>
        </w:rPr>
        <w:t>plus</w:t>
      </w:r>
      <w:r w:rsidR="00EC77EA" w:rsidRPr="005806C8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704C08" w:rsidRPr="005806C8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daň z přidané hodnoty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v zákonné výši (dále je</w:t>
      </w:r>
      <w:r w:rsidR="00A30143" w:rsidRPr="00CA21EF">
        <w:rPr>
          <w:rFonts w:asciiTheme="minorHAnsi" w:hAnsiTheme="minorHAnsi" w:cstheme="minorHAnsi"/>
          <w:snapToGrid w:val="0"/>
          <w:sz w:val="22"/>
          <w:szCs w:val="22"/>
        </w:rPr>
        <w:t>n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„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>DPH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>“)</w:t>
      </w:r>
      <w:r w:rsidR="00465A96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6BC6A9E8" w14:textId="70957C27" w:rsidR="00EC77EA" w:rsidRPr="00CA21EF" w:rsidRDefault="00EC77EA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>Technické a personální za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>bezpečení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70C71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viz požadavky 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>dle nabídky</w:t>
      </w:r>
      <w:r w:rsidR="00470C71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="000B206D">
        <w:rPr>
          <w:rFonts w:asciiTheme="minorHAnsi" w:hAnsiTheme="minorHAnsi" w:cstheme="minorHAnsi"/>
          <w:b/>
          <w:bCs/>
          <w:snapToGrid w:val="0"/>
          <w:sz w:val="22"/>
          <w:szCs w:val="22"/>
        </w:rPr>
        <w:t>xxx</w:t>
      </w:r>
      <w:proofErr w:type="spellEnd"/>
      <w:r w:rsidRPr="005806C8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Kč </w:t>
      </w:r>
      <w:r w:rsidR="00CD25A4" w:rsidRPr="005806C8">
        <w:rPr>
          <w:rFonts w:asciiTheme="minorHAnsi" w:hAnsiTheme="minorHAnsi" w:cstheme="minorHAnsi"/>
          <w:b/>
          <w:bCs/>
          <w:snapToGrid w:val="0"/>
          <w:sz w:val="22"/>
          <w:szCs w:val="22"/>
        </w:rPr>
        <w:t>plus</w:t>
      </w:r>
      <w:r w:rsidRPr="005806C8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DPH</w:t>
      </w:r>
      <w:r w:rsidR="00CD5282" w:rsidRPr="00CA21EF">
        <w:rPr>
          <w:rFonts w:asciiTheme="minorHAnsi" w:hAnsiTheme="minorHAnsi" w:cstheme="minorHAnsi"/>
          <w:snapToGrid w:val="0"/>
          <w:sz w:val="22"/>
          <w:szCs w:val="22"/>
        </w:rPr>
        <w:t>. Cena je předběžná, účtovat se bude dle skutečně čerpaných služeb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v nabídce</w:t>
      </w:r>
      <w:r w:rsidR="00CD5282" w:rsidRPr="00CA21EF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CC5062" w:rsidRPr="00CA21EF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Pokud je termín akce, kdy mají být poskytnuty tyto služby, vzdálen více než </w:t>
      </w:r>
      <w:r w:rsidR="00CA4241" w:rsidRPr="00CA21EF">
        <w:rPr>
          <w:rFonts w:asciiTheme="minorHAnsi" w:hAnsiTheme="minorHAnsi" w:cstheme="minorHAnsi"/>
          <w:snapToGrid w:val="0"/>
          <w:sz w:val="22"/>
          <w:szCs w:val="22"/>
        </w:rPr>
        <w:t>tři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měsíc</w:t>
      </w:r>
      <w:r w:rsidR="00CA4241" w:rsidRPr="00CA21EF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od uzavření této smlouvy, mohou být ceny těchto služeb upraveny dle aktuálního ceníku pronajímatele. Na nové ceny těchto služeb pronajímatel upozorní nájemce před jejich čerpáním.    </w:t>
      </w:r>
    </w:p>
    <w:p w14:paraId="2E644967" w14:textId="3165E3E7" w:rsidR="00CD5282" w:rsidRPr="00CA21EF" w:rsidRDefault="00CD5282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dle 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samostatné objednávky a 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>skutečné spotřeby</w:t>
      </w:r>
      <w:r w:rsidR="00CA21EF" w:rsidRPr="00CA21EF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3F711388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700711C2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5A413902" w14:textId="3A9B51B0" w:rsidR="0082727C" w:rsidRPr="00165681" w:rsidRDefault="00CC5062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Nájemce</w:t>
      </w:r>
      <w:r w:rsidR="0082727C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se zavazuje k úhradě celkové ceny po ukončení akce na základě faktury vystavené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pronajímatelem</w:t>
      </w:r>
      <w:r w:rsidR="0082727C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v termínu splatnosti</w:t>
      </w:r>
      <w:r w:rsidR="00EC77EA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do </w:t>
      </w:r>
      <w:proofErr w:type="gramStart"/>
      <w:r w:rsidR="00EC77EA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14ti</w:t>
      </w:r>
      <w:proofErr w:type="gramEnd"/>
      <w:r w:rsidR="00EC77EA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dnů od obdržení faktury.</w:t>
      </w:r>
      <w:r w:rsidR="002051D0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Nájemce se zavazuje zaplatit </w:t>
      </w:r>
      <w:r w:rsidR="002051D0" w:rsidRPr="0016568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pronajímateli </w:t>
      </w:r>
      <w:r w:rsidR="002051D0" w:rsidRPr="00165681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zálohu ve výši </w:t>
      </w:r>
      <w:r w:rsidR="000B206D">
        <w:rPr>
          <w:rFonts w:asciiTheme="minorHAnsi" w:hAnsiTheme="minorHAnsi" w:cstheme="minorHAnsi"/>
          <w:b/>
          <w:bCs/>
          <w:snapToGrid w:val="0"/>
          <w:sz w:val="22"/>
          <w:szCs w:val="22"/>
        </w:rPr>
        <w:t>xxx</w:t>
      </w:r>
      <w:r w:rsidR="002051D0" w:rsidRPr="00165681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Kč, a to nejpozději do</w:t>
      </w:r>
      <w:r w:rsidR="005E7FBA" w:rsidRPr="00165681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165681" w:rsidRPr="00165681">
        <w:rPr>
          <w:rFonts w:asciiTheme="minorHAnsi" w:hAnsiTheme="minorHAnsi" w:cstheme="minorHAnsi"/>
          <w:b/>
          <w:bCs/>
          <w:snapToGrid w:val="0"/>
          <w:sz w:val="22"/>
          <w:szCs w:val="22"/>
        </w:rPr>
        <w:t>6.9.2024.</w:t>
      </w:r>
    </w:p>
    <w:p w14:paraId="1334F38C" w14:textId="3903515C" w:rsidR="0082727C" w:rsidRDefault="0082727C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Při ne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0,5</w:t>
      </w:r>
      <w:r w:rsidR="00F710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den prodlení. </w:t>
      </w:r>
    </w:p>
    <w:p w14:paraId="5F301F65" w14:textId="77777777" w:rsidR="004038BA" w:rsidRPr="00CD5282" w:rsidRDefault="004038BA" w:rsidP="004038BA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lastRenderedPageBreak/>
        <w:t>Při ne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</w:t>
      </w:r>
      <w:proofErr w:type="gramStart"/>
      <w:r w:rsidRPr="00CD5282">
        <w:rPr>
          <w:rFonts w:asciiTheme="minorHAnsi" w:hAnsiTheme="minorHAnsi" w:cstheme="minorHAnsi"/>
          <w:snapToGrid w:val="0"/>
          <w:sz w:val="22"/>
          <w:szCs w:val="22"/>
        </w:rPr>
        <w:t>0,5%</w:t>
      </w:r>
      <w:proofErr w:type="gramEnd"/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z dlužné částky za každý den prodlení. </w:t>
      </w:r>
    </w:p>
    <w:p w14:paraId="56861A8E" w14:textId="77777777" w:rsidR="004038BA" w:rsidRPr="00CD5282" w:rsidRDefault="004038BA" w:rsidP="004038BA">
      <w:pPr>
        <w:ind w:left="360"/>
        <w:rPr>
          <w:rFonts w:asciiTheme="minorHAnsi" w:hAnsiTheme="minorHAnsi" w:cstheme="minorHAnsi"/>
          <w:snapToGrid w:val="0"/>
          <w:sz w:val="22"/>
          <w:szCs w:val="22"/>
        </w:rPr>
      </w:pPr>
    </w:p>
    <w:p w14:paraId="716FF1F6" w14:textId="23C3E48F" w:rsidR="0082727C" w:rsidRDefault="0082727C" w:rsidP="0082727C">
      <w:pPr>
        <w:rPr>
          <w:rFonts w:asciiTheme="minorHAnsi" w:hAnsiTheme="minorHAnsi" w:cstheme="minorHAnsi"/>
          <w:sz w:val="22"/>
          <w:szCs w:val="22"/>
        </w:rPr>
      </w:pPr>
    </w:p>
    <w:p w14:paraId="71196BD8" w14:textId="77777777" w:rsidR="00CA21EF" w:rsidRDefault="00CA21EF" w:rsidP="0082727C">
      <w:pPr>
        <w:rPr>
          <w:rFonts w:asciiTheme="minorHAnsi" w:hAnsiTheme="minorHAnsi" w:cstheme="minorHAnsi"/>
          <w:sz w:val="22"/>
          <w:szCs w:val="22"/>
        </w:rPr>
      </w:pPr>
    </w:p>
    <w:p w14:paraId="6EA25BBB" w14:textId="2C7A764E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5A60E64" w14:textId="5B01D44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 Ceny sjednané v</w:t>
      </w:r>
      <w:r w:rsidR="003563FC">
        <w:rPr>
          <w:rFonts w:asciiTheme="minorHAnsi" w:hAnsiTheme="minorHAnsi" w:cstheme="minorHAnsi"/>
          <w:sz w:val="22"/>
          <w:szCs w:val="22"/>
        </w:rPr>
        <w:t xml:space="preserve"> článku III. odstavci 2. a 3.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 w:rsidR="003563FC"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 w:rsidR="003563FC"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2E82FD1A" w14:textId="400ACF6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 w:rsidR="00704C08"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 w:rsidR="00704C08"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 w:rsidR="00704C08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FA0D32A" w14:textId="0B09565E" w:rsidR="00C67D36" w:rsidRPr="00C53A7F" w:rsidRDefault="00C67D36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8B2A82">
        <w:rPr>
          <w:rFonts w:asciiTheme="minorHAnsi" w:hAnsiTheme="minorHAnsi" w:cstheme="minorHAnsi"/>
          <w:sz w:val="22"/>
          <w:szCs w:val="22"/>
        </w:rPr>
        <w:t>70</w:t>
      </w:r>
      <w:r w:rsidR="006B6D45">
        <w:rPr>
          <w:rFonts w:asciiTheme="minorHAnsi" w:hAnsiTheme="minorHAnsi" w:cstheme="minorHAnsi"/>
          <w:sz w:val="22"/>
          <w:szCs w:val="22"/>
        </w:rPr>
        <w:t>-31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15</w:t>
      </w:r>
      <w:r w:rsidR="005806C8">
        <w:rPr>
          <w:rFonts w:asciiTheme="minorHAnsi" w:hAnsiTheme="minorHAnsi" w:cstheme="minorHAnsi"/>
          <w:sz w:val="22"/>
          <w:szCs w:val="22"/>
        </w:rPr>
        <w:t xml:space="preserve"> </w:t>
      </w:r>
      <w:r w:rsidR="00C53A7F"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5F08E125" w14:textId="0042F8F1" w:rsidR="00C53A7F" w:rsidRDefault="00C53A7F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 w:rsidR="00704C08">
        <w:rPr>
          <w:rFonts w:asciiTheme="minorHAnsi" w:hAnsiTheme="minorHAnsi" w:cstheme="minorHAnsi"/>
          <w:sz w:val="22"/>
          <w:szCs w:val="22"/>
        </w:rPr>
        <w:t xml:space="preserve"> akce </w:t>
      </w:r>
      <w:r w:rsidR="008B2A82">
        <w:rPr>
          <w:rFonts w:asciiTheme="minorHAnsi" w:hAnsiTheme="minorHAnsi" w:cstheme="minorHAnsi"/>
          <w:sz w:val="22"/>
          <w:szCs w:val="22"/>
        </w:rPr>
        <w:t>30</w:t>
      </w:r>
      <w:r w:rsidR="006B6D45">
        <w:rPr>
          <w:rFonts w:asciiTheme="minorHAnsi" w:hAnsiTheme="minorHAnsi" w:cstheme="minorHAnsi"/>
          <w:sz w:val="22"/>
          <w:szCs w:val="22"/>
        </w:rPr>
        <w:t>-15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30</w:t>
      </w:r>
      <w:r w:rsidR="005806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>článku</w:t>
      </w:r>
      <w:r>
        <w:rPr>
          <w:rFonts w:asciiTheme="minorHAnsi" w:hAnsiTheme="minorHAnsi" w:cstheme="minorHAnsi"/>
          <w:sz w:val="22"/>
          <w:szCs w:val="22"/>
        </w:rPr>
        <w:t xml:space="preserve"> 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7D0E1D6D" w14:textId="43601E69" w:rsidR="00C53A7F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6B6D45">
        <w:rPr>
          <w:rFonts w:asciiTheme="minorHAnsi" w:hAnsiTheme="minorHAnsi" w:cstheme="minorHAnsi"/>
          <w:sz w:val="22"/>
          <w:szCs w:val="22"/>
        </w:rPr>
        <w:t>14-4</w:t>
      </w:r>
      <w:r w:rsidR="00C53A7F">
        <w:rPr>
          <w:rFonts w:asciiTheme="minorHAnsi" w:hAnsiTheme="minorHAnsi" w:cstheme="minorHAnsi"/>
          <w:sz w:val="22"/>
          <w:szCs w:val="22"/>
        </w:rPr>
        <w:t xml:space="preserve"> dn</w:t>
      </w:r>
      <w:r w:rsidR="006B6D45">
        <w:rPr>
          <w:rFonts w:asciiTheme="minorHAnsi" w:hAnsiTheme="minorHAnsi" w:cstheme="minorHAnsi"/>
          <w:sz w:val="22"/>
          <w:szCs w:val="22"/>
        </w:rPr>
        <w:t>y</w:t>
      </w:r>
      <w:r w:rsidRPr="00C53A7F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 xml:space="preserve">50 % </w:t>
      </w:r>
      <w:r w:rsidR="00C53A7F">
        <w:rPr>
          <w:rFonts w:asciiTheme="minorHAnsi" w:hAnsiTheme="minorHAnsi" w:cstheme="minorHAnsi"/>
          <w:sz w:val="22"/>
          <w:szCs w:val="22"/>
        </w:rPr>
        <w:t xml:space="preserve">z </w:t>
      </w:r>
      <w:r w:rsidRPr="00C53A7F">
        <w:rPr>
          <w:rFonts w:asciiTheme="minorHAnsi" w:hAnsiTheme="minorHAnsi" w:cstheme="minorHAnsi"/>
          <w:sz w:val="22"/>
          <w:szCs w:val="22"/>
        </w:rPr>
        <w:t xml:space="preserve">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</w:t>
      </w:r>
      <w:r w:rsidR="00682BAF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682BAF">
        <w:rPr>
          <w:rFonts w:asciiTheme="minorHAnsi" w:hAnsiTheme="minorHAnsi" w:cstheme="minorHAnsi"/>
          <w:sz w:val="22"/>
          <w:szCs w:val="22"/>
        </w:rPr>
        <w:t>2.</w:t>
      </w:r>
      <w:r w:rsidR="00C53A7F" w:rsidRPr="00C53A7F">
        <w:rPr>
          <w:rFonts w:asciiTheme="minorHAnsi" w:hAnsiTheme="minorHAnsi" w:cstheme="minorHAnsi"/>
          <w:sz w:val="22"/>
          <w:szCs w:val="22"/>
        </w:rPr>
        <w:tab/>
      </w:r>
    </w:p>
    <w:p w14:paraId="683A34EC" w14:textId="2454F026" w:rsidR="0082727C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6B6D45">
        <w:rPr>
          <w:rFonts w:asciiTheme="minorHAnsi" w:hAnsiTheme="minorHAnsi" w:cstheme="minorHAnsi"/>
          <w:sz w:val="22"/>
          <w:szCs w:val="22"/>
        </w:rPr>
        <w:t>3-0 dnů před</w:t>
      </w:r>
      <w:r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="00C53A7F">
        <w:rPr>
          <w:rFonts w:asciiTheme="minorHAnsi" w:hAnsiTheme="minorHAnsi" w:cstheme="minorHAnsi"/>
          <w:sz w:val="22"/>
          <w:szCs w:val="22"/>
        </w:rPr>
        <w:t>termín</w:t>
      </w:r>
      <w:r w:rsidR="006B6D45">
        <w:rPr>
          <w:rFonts w:asciiTheme="minorHAnsi" w:hAnsiTheme="minorHAnsi" w:cstheme="minorHAnsi"/>
          <w:sz w:val="22"/>
          <w:szCs w:val="22"/>
        </w:rPr>
        <w:t>em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</w:t>
      </w:r>
      <w:r w:rsidR="005806C8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%</w:t>
      </w:r>
      <w:r w:rsidR="00C53A7F">
        <w:rPr>
          <w:rFonts w:asciiTheme="minorHAnsi" w:hAnsiTheme="minorHAnsi" w:cstheme="minorHAnsi"/>
          <w:sz w:val="22"/>
          <w:szCs w:val="22"/>
        </w:rPr>
        <w:t xml:space="preserve"> ceny </w:t>
      </w:r>
      <w:r w:rsidR="00DD1720">
        <w:rPr>
          <w:rFonts w:asciiTheme="minorHAnsi" w:hAnsiTheme="minorHAnsi" w:cstheme="minorHAnsi"/>
          <w:sz w:val="22"/>
          <w:szCs w:val="22"/>
        </w:rPr>
        <w:t xml:space="preserve">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odstavce </w:t>
      </w:r>
      <w:r w:rsidR="00C53A7F">
        <w:rPr>
          <w:rFonts w:asciiTheme="minorHAnsi" w:hAnsiTheme="minorHAnsi" w:cstheme="minorHAnsi"/>
          <w:sz w:val="22"/>
          <w:szCs w:val="22"/>
        </w:rPr>
        <w:t xml:space="preserve">1., 2. </w:t>
      </w:r>
      <w:r w:rsidR="00704C08">
        <w:rPr>
          <w:rFonts w:asciiTheme="minorHAnsi" w:hAnsiTheme="minorHAnsi" w:cstheme="minorHAnsi"/>
          <w:sz w:val="22"/>
          <w:szCs w:val="22"/>
        </w:rPr>
        <w:t>a</w:t>
      </w:r>
      <w:r w:rsidR="00C53A7F">
        <w:rPr>
          <w:rFonts w:asciiTheme="minorHAnsi" w:hAnsiTheme="minorHAnsi" w:cstheme="minorHAnsi"/>
          <w:sz w:val="22"/>
          <w:szCs w:val="22"/>
        </w:rPr>
        <w:t xml:space="preserve"> 3.</w:t>
      </w:r>
    </w:p>
    <w:p w14:paraId="3A43B8E0" w14:textId="69670149" w:rsidR="00C67C69" w:rsidRDefault="007B1A46" w:rsidP="00CA21E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pronajímatelem</w:t>
      </w:r>
      <w:r w:rsidR="0082727C" w:rsidRPr="00CD5282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A0BE7" w14:textId="698D96EE" w:rsidR="00704C08" w:rsidRPr="000D40D3" w:rsidRDefault="00704C08" w:rsidP="00CA21E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t>Pokud nájemce objednané služby nevyužije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(tedy aniž by se akce uskutečnila</w:t>
      </w:r>
      <w:r w:rsidR="005806C8">
        <w:rPr>
          <w:rFonts w:asciiTheme="minorHAnsi" w:hAnsiTheme="minorHAnsi" w:cstheme="minorHAnsi"/>
          <w:sz w:val="22"/>
          <w:szCs w:val="22"/>
        </w:rPr>
        <w:t>,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a aniž by ji nájemce písemně zrušil), je nájemce povinen zaplatit pronajímateli jako vzniklou újmu částku ve výši 100% ceny dle článku III. odstavce 1., 2. a 3.   </w:t>
      </w:r>
    </w:p>
    <w:p w14:paraId="5AC7A78F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250B5B90" w14:textId="5BD1EA97" w:rsidR="008C6E45" w:rsidRPr="00770BFC" w:rsidRDefault="008C6E45" w:rsidP="008C6E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autorskému, INTEGRAMU či jiným subjektům, vůči nimž takovou povinnost má a těmto uhradit příslušné poplatky. 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>ostatní obecně závazné právní předpisy</w:t>
      </w:r>
      <w:r w:rsidRPr="00770BFC">
        <w:rPr>
          <w:rFonts w:asciiTheme="minorHAnsi" w:hAnsiTheme="minorHAnsi" w:cstheme="minorHAnsi"/>
          <w:sz w:val="22"/>
          <w:szCs w:val="22"/>
        </w:rPr>
        <w:t>.</w:t>
      </w:r>
    </w:p>
    <w:p w14:paraId="3FC458E3" w14:textId="1F217FB2" w:rsidR="008C6E45" w:rsidRPr="00770BFC" w:rsidRDefault="008C6E45" w:rsidP="008C6E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 na pronajatých prostorech či jiném majetku pronajímatele</w:t>
      </w:r>
      <w:r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6A92D16E" w14:textId="77777777" w:rsidR="008C6E45" w:rsidRPr="00770BFC" w:rsidRDefault="008C6E45" w:rsidP="008C6E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1D79686B" w14:textId="77777777" w:rsidR="008C6E45" w:rsidRPr="00770BFC" w:rsidRDefault="008C6E45" w:rsidP="008C6E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>
        <w:rPr>
          <w:rFonts w:asciiTheme="minorHAnsi" w:hAnsiTheme="minorHAnsi" w:cstheme="minorHAnsi"/>
          <w:sz w:val="22"/>
          <w:szCs w:val="22"/>
        </w:rPr>
        <w:t xml:space="preserve">Všeobecnými obchodními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</w:t>
      </w:r>
      <w:proofErr w:type="gramEnd"/>
      <w:r w:rsidRPr="00770BFC">
        <w:rPr>
          <w:rFonts w:asciiTheme="minorHAnsi" w:hAnsiTheme="minorHAnsi" w:cstheme="minorHAnsi"/>
          <w:sz w:val="22"/>
          <w:szCs w:val="22"/>
        </w:rPr>
        <w:t xml:space="preserve"> řádem společnosti AKORD &amp; POKLAD, s.r.o.</w:t>
      </w:r>
      <w:r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55A78339" w14:textId="77777777" w:rsidR="008C6E45" w:rsidRPr="00CD5282" w:rsidRDefault="008C6E45" w:rsidP="008C6E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61FDF2" w14:textId="77777777" w:rsidR="008C6E45" w:rsidRPr="00CD5282" w:rsidRDefault="008C6E45" w:rsidP="008C6E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. .</w:t>
      </w:r>
      <w:proofErr w:type="gramEnd"/>
      <w:r w:rsidRPr="00CD52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57F765" w14:textId="77777777" w:rsidR="008C6E45" w:rsidRDefault="008C6E45" w:rsidP="008C6E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Pr="00CD5282">
        <w:rPr>
          <w:rFonts w:asciiTheme="minorHAnsi" w:hAnsiTheme="minorHAnsi" w:cstheme="minorHAnsi"/>
          <w:sz w:val="22"/>
          <w:szCs w:val="22"/>
        </w:rPr>
        <w:t>.</w:t>
      </w:r>
    </w:p>
    <w:p w14:paraId="71BAA64B" w14:textId="77777777" w:rsidR="008C6E45" w:rsidRPr="00854D64" w:rsidRDefault="008C6E45" w:rsidP="008C6E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lastRenderedPageBreak/>
        <w:t xml:space="preserve"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</w:t>
      </w:r>
      <w:proofErr w:type="spellStart"/>
      <w:r w:rsidRPr="000D40D3">
        <w:rPr>
          <w:sz w:val="22"/>
          <w:szCs w:val="22"/>
        </w:rPr>
        <w:t>ust</w:t>
      </w:r>
      <w:proofErr w:type="spellEnd"/>
      <w:r w:rsidRPr="000D40D3">
        <w:rPr>
          <w:sz w:val="22"/>
          <w:szCs w:val="22"/>
        </w:rPr>
        <w:t>. § 1793 a násl. občanského zákoníku.</w:t>
      </w:r>
    </w:p>
    <w:p w14:paraId="208A8BD3" w14:textId="77777777" w:rsidR="008C6E45" w:rsidRPr="00CD5282" w:rsidRDefault="008C6E45" w:rsidP="008C6E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7E22EBCD" w14:textId="77777777" w:rsidR="008C6E45" w:rsidRPr="00CD5282" w:rsidRDefault="008C6E45" w:rsidP="008C6E4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Nedílnou součástí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Pr="00CD5282">
        <w:rPr>
          <w:rFonts w:asciiTheme="minorHAnsi" w:hAnsiTheme="minorHAnsi" w:cstheme="minorHAnsi"/>
          <w:sz w:val="22"/>
          <w:szCs w:val="22"/>
        </w:rPr>
        <w:t xml:space="preserve">smlouvy 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jsou :</w:t>
      </w:r>
      <w:proofErr w:type="gramEnd"/>
    </w:p>
    <w:p w14:paraId="1CBD029F" w14:textId="77777777" w:rsidR="008C6E45" w:rsidRPr="00CD5282" w:rsidRDefault="008C6E45" w:rsidP="008C6E4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Všeobecné </w:t>
      </w:r>
      <w:r>
        <w:rPr>
          <w:rFonts w:asciiTheme="minorHAnsi" w:hAnsiTheme="minorHAnsi" w:cstheme="minorHAnsi"/>
          <w:sz w:val="22"/>
          <w:szCs w:val="22"/>
        </w:rPr>
        <w:t xml:space="preserve">obchodní 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podmínky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CD5282">
        <w:rPr>
          <w:rFonts w:asciiTheme="minorHAnsi" w:hAnsiTheme="minorHAnsi" w:cstheme="minorHAnsi"/>
          <w:sz w:val="22"/>
          <w:szCs w:val="22"/>
        </w:rPr>
        <w:t>nájemní</w:t>
      </w:r>
      <w:proofErr w:type="gramEnd"/>
      <w:r w:rsidRPr="00CD5282">
        <w:rPr>
          <w:rFonts w:asciiTheme="minorHAnsi" w:hAnsiTheme="minorHAnsi" w:cstheme="minorHAnsi"/>
          <w:sz w:val="22"/>
          <w:szCs w:val="22"/>
        </w:rPr>
        <w:t xml:space="preserve"> řád </w:t>
      </w:r>
      <w:r>
        <w:rPr>
          <w:rFonts w:asciiTheme="minorHAnsi" w:hAnsiTheme="minorHAnsi" w:cstheme="minorHAnsi"/>
          <w:sz w:val="22"/>
          <w:szCs w:val="22"/>
        </w:rPr>
        <w:t>AKORD &amp;POKLAD, s.r.o.</w:t>
      </w:r>
    </w:p>
    <w:p w14:paraId="02A844DC" w14:textId="77777777" w:rsidR="0072220F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D8704F6" w14:textId="149C3523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V Ostravě dne</w:t>
      </w:r>
      <w:r w:rsidR="00C5534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65681">
        <w:rPr>
          <w:rFonts w:asciiTheme="minorHAnsi" w:hAnsiTheme="minorHAnsi" w:cstheme="minorHAnsi"/>
          <w:snapToGrid w:val="0"/>
          <w:sz w:val="22"/>
          <w:szCs w:val="22"/>
        </w:rPr>
        <w:t>14.6.2024</w:t>
      </w:r>
    </w:p>
    <w:p w14:paraId="3FD64E6C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B8B653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DB6E2F8" w14:textId="73D2AF03" w:rsidR="0082727C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490F19C" w14:textId="77777777" w:rsidR="0072220F" w:rsidRPr="00CD5282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C2E24D3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11479F9A" w14:textId="53B9B78D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nájemce: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pronajímatele</w:t>
      </w:r>
      <w:bookmarkEnd w:id="0"/>
      <w:bookmarkEnd w:id="1"/>
      <w:r w:rsidR="0072220F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03C28E9F" w14:textId="12C0AAC4" w:rsidR="00146030" w:rsidRPr="008C6E45" w:rsidRDefault="00D43CA7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t xml:space="preserve">             </w:t>
      </w:r>
      <w:r w:rsidR="005438FB" w:rsidRPr="00D43CA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Milan Šimáček</w:t>
      </w:r>
      <w:r w:rsidR="008C6E45" w:rsidRPr="00D43CA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8C6E45" w:rsidRPr="00D43CA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8C6E45" w:rsidRPr="00D43CA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8C6E45" w:rsidRPr="00D43CA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8C6E45" w:rsidRPr="00D43CA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D43CA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D43CA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         </w:t>
      </w:r>
      <w:r w:rsidR="008C6E45" w:rsidRPr="008C6E4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Ing. Matěj Ostárek</w:t>
      </w:r>
    </w:p>
    <w:p w14:paraId="3B5F4AE8" w14:textId="59FDA829" w:rsidR="008C6E45" w:rsidRPr="008C6E45" w:rsidRDefault="008C6E45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8C6E4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D43CA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jednatel</w:t>
      </w:r>
      <w:r w:rsidRPr="008C6E4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8C6E4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8C6E4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8C6E4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8C6E4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D43CA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           </w:t>
      </w:r>
      <w:r w:rsidRPr="008C6E4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obchodní ředitel</w:t>
      </w:r>
    </w:p>
    <w:sectPr w:rsidR="008C6E45" w:rsidRPr="008C6E45" w:rsidSect="00BF44E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2552E" w14:textId="77777777" w:rsidR="00192D97" w:rsidRDefault="00192D97" w:rsidP="0082727C">
      <w:r>
        <w:separator/>
      </w:r>
    </w:p>
  </w:endnote>
  <w:endnote w:type="continuationSeparator" w:id="0">
    <w:p w14:paraId="3FE6B8E3" w14:textId="77777777" w:rsidR="00192D97" w:rsidRDefault="00192D97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4803D" w14:textId="77777777" w:rsidR="00192D97" w:rsidRDefault="00192D97" w:rsidP="0082727C">
      <w:r>
        <w:separator/>
      </w:r>
    </w:p>
  </w:footnote>
  <w:footnote w:type="continuationSeparator" w:id="0">
    <w:p w14:paraId="07ADFE37" w14:textId="77777777" w:rsidR="00192D97" w:rsidRDefault="00192D97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62225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154261">
    <w:abstractNumId w:val="4"/>
  </w:num>
  <w:num w:numId="2" w16cid:durableId="173031471">
    <w:abstractNumId w:val="7"/>
  </w:num>
  <w:num w:numId="3" w16cid:durableId="104353667">
    <w:abstractNumId w:val="0"/>
  </w:num>
  <w:num w:numId="4" w16cid:durableId="1918318243">
    <w:abstractNumId w:val="2"/>
  </w:num>
  <w:num w:numId="5" w16cid:durableId="246574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9450705">
    <w:abstractNumId w:val="1"/>
  </w:num>
  <w:num w:numId="7" w16cid:durableId="975797940">
    <w:abstractNumId w:val="11"/>
  </w:num>
  <w:num w:numId="8" w16cid:durableId="757793215">
    <w:abstractNumId w:val="8"/>
  </w:num>
  <w:num w:numId="9" w16cid:durableId="1514999369">
    <w:abstractNumId w:val="9"/>
  </w:num>
  <w:num w:numId="10" w16cid:durableId="438305992">
    <w:abstractNumId w:val="6"/>
  </w:num>
  <w:num w:numId="11" w16cid:durableId="270283884">
    <w:abstractNumId w:val="3"/>
  </w:num>
  <w:num w:numId="12" w16cid:durableId="272982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2E81"/>
    <w:rsid w:val="00005452"/>
    <w:rsid w:val="0003088B"/>
    <w:rsid w:val="000B206D"/>
    <w:rsid w:val="000B22D6"/>
    <w:rsid w:val="000C4563"/>
    <w:rsid w:val="000D0A6A"/>
    <w:rsid w:val="000D40D3"/>
    <w:rsid w:val="000E433F"/>
    <w:rsid w:val="001053D0"/>
    <w:rsid w:val="00115CD6"/>
    <w:rsid w:val="00125489"/>
    <w:rsid w:val="00133404"/>
    <w:rsid w:val="00143A18"/>
    <w:rsid w:val="00146030"/>
    <w:rsid w:val="00154970"/>
    <w:rsid w:val="00165681"/>
    <w:rsid w:val="00171E53"/>
    <w:rsid w:val="00192D97"/>
    <w:rsid w:val="0019516D"/>
    <w:rsid w:val="001A6C41"/>
    <w:rsid w:val="001D5485"/>
    <w:rsid w:val="001E3ACE"/>
    <w:rsid w:val="0020487B"/>
    <w:rsid w:val="002051D0"/>
    <w:rsid w:val="0022306E"/>
    <w:rsid w:val="00240F88"/>
    <w:rsid w:val="00255091"/>
    <w:rsid w:val="002A16B9"/>
    <w:rsid w:val="002A2AEF"/>
    <w:rsid w:val="002A33E9"/>
    <w:rsid w:val="002C5EE5"/>
    <w:rsid w:val="002E5FFC"/>
    <w:rsid w:val="002F5376"/>
    <w:rsid w:val="003134A1"/>
    <w:rsid w:val="0031451E"/>
    <w:rsid w:val="00320A83"/>
    <w:rsid w:val="00355AFD"/>
    <w:rsid w:val="003563FC"/>
    <w:rsid w:val="00375257"/>
    <w:rsid w:val="003E05A8"/>
    <w:rsid w:val="003E7420"/>
    <w:rsid w:val="004038BA"/>
    <w:rsid w:val="004040DB"/>
    <w:rsid w:val="00465A96"/>
    <w:rsid w:val="00470C71"/>
    <w:rsid w:val="00491E56"/>
    <w:rsid w:val="00495954"/>
    <w:rsid w:val="004A0622"/>
    <w:rsid w:val="004A7673"/>
    <w:rsid w:val="004B5458"/>
    <w:rsid w:val="004C10B2"/>
    <w:rsid w:val="004E46F2"/>
    <w:rsid w:val="004F5050"/>
    <w:rsid w:val="00520C05"/>
    <w:rsid w:val="005438FB"/>
    <w:rsid w:val="00552900"/>
    <w:rsid w:val="00566269"/>
    <w:rsid w:val="005806C8"/>
    <w:rsid w:val="005C3D33"/>
    <w:rsid w:val="005E7FBA"/>
    <w:rsid w:val="005F24AB"/>
    <w:rsid w:val="00671D02"/>
    <w:rsid w:val="00682BAF"/>
    <w:rsid w:val="006B6D45"/>
    <w:rsid w:val="00704C08"/>
    <w:rsid w:val="0072220F"/>
    <w:rsid w:val="00732B03"/>
    <w:rsid w:val="00736F72"/>
    <w:rsid w:val="00770BFC"/>
    <w:rsid w:val="00797388"/>
    <w:rsid w:val="007B1A46"/>
    <w:rsid w:val="007C2098"/>
    <w:rsid w:val="0082727C"/>
    <w:rsid w:val="00846B3F"/>
    <w:rsid w:val="00854D64"/>
    <w:rsid w:val="00875ED4"/>
    <w:rsid w:val="008B2A82"/>
    <w:rsid w:val="008C6E45"/>
    <w:rsid w:val="008D0323"/>
    <w:rsid w:val="008D55A3"/>
    <w:rsid w:val="008E527D"/>
    <w:rsid w:val="008F694A"/>
    <w:rsid w:val="008F73B3"/>
    <w:rsid w:val="00915176"/>
    <w:rsid w:val="009B2DC8"/>
    <w:rsid w:val="00A0345C"/>
    <w:rsid w:val="00A16012"/>
    <w:rsid w:val="00A2194B"/>
    <w:rsid w:val="00A22C89"/>
    <w:rsid w:val="00A30143"/>
    <w:rsid w:val="00B40193"/>
    <w:rsid w:val="00BB3AA5"/>
    <w:rsid w:val="00BC12F6"/>
    <w:rsid w:val="00BF3767"/>
    <w:rsid w:val="00C03F84"/>
    <w:rsid w:val="00C365E2"/>
    <w:rsid w:val="00C53A7F"/>
    <w:rsid w:val="00C55345"/>
    <w:rsid w:val="00C62015"/>
    <w:rsid w:val="00C67C69"/>
    <w:rsid w:val="00C67D36"/>
    <w:rsid w:val="00C71D25"/>
    <w:rsid w:val="00C758B7"/>
    <w:rsid w:val="00CA21EF"/>
    <w:rsid w:val="00CA4241"/>
    <w:rsid w:val="00CC5062"/>
    <w:rsid w:val="00CD25A4"/>
    <w:rsid w:val="00CD5282"/>
    <w:rsid w:val="00D304CB"/>
    <w:rsid w:val="00D34F77"/>
    <w:rsid w:val="00D43CA7"/>
    <w:rsid w:val="00D709AD"/>
    <w:rsid w:val="00DC73D7"/>
    <w:rsid w:val="00DD1720"/>
    <w:rsid w:val="00DD6E7B"/>
    <w:rsid w:val="00E043EB"/>
    <w:rsid w:val="00EC565D"/>
    <w:rsid w:val="00EC77EA"/>
    <w:rsid w:val="00ED48E1"/>
    <w:rsid w:val="00F7106D"/>
    <w:rsid w:val="00F94236"/>
    <w:rsid w:val="00FA3BE2"/>
    <w:rsid w:val="00F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F0CEC17D-E392-4562-B6B0-C0268A7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2</cp:revision>
  <cp:lastPrinted>2022-12-06T07:11:00Z</cp:lastPrinted>
  <dcterms:created xsi:type="dcterms:W3CDTF">2024-10-09T06:38:00Z</dcterms:created>
  <dcterms:modified xsi:type="dcterms:W3CDTF">2024-10-09T06:38:00Z</dcterms:modified>
</cp:coreProperties>
</file>