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DODATEK č. 2</w:t>
      </w:r>
      <w:bookmarkEnd w:id="0"/>
      <w:bookmarkEnd w:id="1"/>
      <w:bookmarkEnd w:id="2"/>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ke smlouvě č. 712/2023 o výkonu činnosti koordinátora BOZP</w:t>
        <w:br/>
        <w:t>při realizaci stavby</w:t>
      </w:r>
    </w:p>
    <w:p>
      <w:pPr>
        <w:pStyle w:val="Style10"/>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„VD Zaječice, sdružený objekt - celková rekonstrukce SV, sanace</w:t>
        <w:br/>
        <w:t>bezpečnostního přelivu a odpadní chodby SV”</w:t>
      </w:r>
    </w:p>
    <w:tbl>
      <w:tblPr>
        <w:tblOverlap w:val="never"/>
        <w:jc w:val="center"/>
        <w:tblLayout w:type="fixed"/>
      </w:tblPr>
      <w:tblGrid>
        <w:gridCol w:w="3542"/>
        <w:gridCol w:w="5285"/>
      </w:tblGrid>
      <w:tr>
        <w:trPr>
          <w:trHeight w:val="65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Smluvní strany</w:t>
            </w:r>
          </w:p>
        </w:tc>
      </w:tr>
      <w:tr>
        <w:trPr>
          <w:trHeight w:val="1771"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se sídlem: statutární orgán: zastoupený ve věcech smluvních: zástupce ve věcech technických technický dozor investora:</w:t>
            </w:r>
          </w:p>
        </w:tc>
        <w:tc>
          <w:tcPr>
            <w:tcBorders/>
            <w:shd w:val="clear" w:color="auto" w:fill="FFFFFF"/>
            <w:vAlign w:val="top"/>
          </w:tcPr>
          <w:p>
            <w:pPr>
              <w:pStyle w:val="Style15"/>
              <w:keepNext w:val="0"/>
              <w:keepLines w:val="0"/>
              <w:widowControl w:val="0"/>
              <w:shd w:val="clear" w:color="auto" w:fill="auto"/>
              <w:bidi w:val="0"/>
              <w:spacing w:before="380" w:after="0" w:line="240" w:lineRule="auto"/>
              <w:ind w:left="0" w:right="0" w:firstLine="720"/>
              <w:jc w:val="left"/>
            </w:pPr>
            <w:r>
              <w:rPr>
                <w:color w:val="000000"/>
                <w:spacing w:val="0"/>
                <w:w w:val="100"/>
                <w:position w:val="0"/>
                <w:shd w:val="clear" w:color="auto" w:fill="auto"/>
                <w:lang w:val="cs-CZ" w:eastAsia="cs-CZ" w:bidi="cs-CZ"/>
              </w:rPr>
              <w:t>Bezručova 4219, 430 03 Chomutov</w:t>
            </w:r>
          </w:p>
        </w:tc>
      </w:tr>
      <w:tr>
        <w:trPr>
          <w:trHeight w:val="97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w:t>
            </w:r>
          </w:p>
        </w:tc>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70889988</w:t>
            </w:r>
          </w:p>
          <w:p>
            <w:pPr>
              <w:pStyle w:val="Style15"/>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CZ70889988</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zapsán v obchodním rejstříku u Krajského soudu v Ústí nad Labem, oddíl A, vložka 13052 </w:t>
      </w:r>
      <w:r>
        <w:rPr>
          <w:i/>
          <w:iCs/>
          <w:color w:val="000000"/>
          <w:spacing w:val="0"/>
          <w:w w:val="100"/>
          <w:position w:val="0"/>
          <w:shd w:val="clear" w:color="auto" w:fill="auto"/>
          <w:lang w:val="cs-CZ" w:eastAsia="cs-CZ" w:bidi="cs-CZ"/>
        </w:rPr>
        <w:t>(dále jen objednatel)</w:t>
      </w:r>
    </w:p>
    <w:p>
      <w:pPr>
        <w:widowControl w:val="0"/>
        <w:spacing w:after="1439" w:line="1" w:lineRule="exact"/>
      </w:pPr>
    </w:p>
    <w:p>
      <w:pPr>
        <w:pStyle w:val="Style18"/>
        <w:keepNext/>
        <w:keepLines/>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Ing. Zdeňka Janoščíková</w:t>
      </w:r>
      <w:bookmarkEnd w:id="3"/>
      <w:bookmarkEnd w:id="4"/>
      <w:bookmarkEnd w:id="5"/>
    </w:p>
    <w:p>
      <w:pPr>
        <w:pStyle w:val="Style2"/>
        <w:keepNext w:val="0"/>
        <w:keepLines w:val="0"/>
        <w:widowControl w:val="0"/>
        <w:shd w:val="clear" w:color="auto" w:fill="auto"/>
        <w:tabs>
          <w:tab w:pos="4197" w:val="left"/>
        </w:tabs>
        <w:bidi w:val="0"/>
        <w:spacing w:before="0" w:after="0" w:line="240" w:lineRule="auto"/>
        <w:ind w:left="0" w:right="0" w:firstLine="0"/>
        <w:jc w:val="left"/>
      </w:pPr>
      <w:r>
        <w:rPr>
          <w:color w:val="000000"/>
          <w:spacing w:val="0"/>
          <w:w w:val="100"/>
          <w:position w:val="0"/>
          <w:shd w:val="clear" w:color="auto" w:fill="auto"/>
          <w:lang w:val="cs-CZ" w:eastAsia="cs-CZ" w:bidi="cs-CZ"/>
        </w:rPr>
        <w:t>adresa:</w:t>
        <w:tab/>
        <w:t>Stromovka 4709, 430 01 Chomutov</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koordinátor BOZP na staveništi:</w:t>
      </w:r>
    </w:p>
    <w:p>
      <w:pPr>
        <w:pStyle w:val="Style2"/>
        <w:keepNext w:val="0"/>
        <w:keepLines w:val="0"/>
        <w:widowControl w:val="0"/>
        <w:shd w:val="clear" w:color="auto" w:fill="auto"/>
        <w:tabs>
          <w:tab w:pos="4197"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13311743</w:t>
      </w:r>
    </w:p>
    <w:p>
      <w:pPr>
        <w:pStyle w:val="Style2"/>
        <w:keepNext w:val="0"/>
        <w:keepLines w:val="0"/>
        <w:widowControl w:val="0"/>
        <w:shd w:val="clear" w:color="auto" w:fill="auto"/>
        <w:tabs>
          <w:tab w:pos="4197"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CZ5953171235</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držitel živnostenského oprávnění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zapsán v ŽR u Magistrátu města Chomutov, ev. č. 350302-23267</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(dále jen koordinátor)</w:t>
      </w:r>
    </w:p>
    <w:p>
      <w:pPr>
        <w:pStyle w:val="Style18"/>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2.</w:t>
      </w:r>
      <w:bookmarkEnd w:id="6"/>
      <w:bookmarkEnd w:id="7"/>
      <w:bookmarkEnd w:id="8"/>
    </w:p>
    <w:p>
      <w:pPr>
        <w:pStyle w:val="Style18"/>
        <w:keepNext/>
        <w:keepLines/>
        <w:widowControl w:val="0"/>
        <w:shd w:val="clear" w:color="auto" w:fill="auto"/>
        <w:bidi w:val="0"/>
        <w:spacing w:before="0" w:after="180" w:line="240" w:lineRule="auto"/>
        <w:ind w:left="0" w:right="0" w:firstLine="0"/>
        <w:jc w:val="center"/>
      </w:pPr>
      <w:bookmarkStart w:id="6" w:name="bookmark6"/>
      <w:bookmarkStart w:id="7" w:name="bookmark7"/>
      <w:bookmarkStart w:id="9" w:name="bookmark9"/>
      <w:r>
        <w:rPr>
          <w:color w:val="000000"/>
          <w:spacing w:val="0"/>
          <w:w w:val="100"/>
          <w:position w:val="0"/>
          <w:shd w:val="clear" w:color="auto" w:fill="auto"/>
          <w:lang w:val="cs-CZ" w:eastAsia="cs-CZ" w:bidi="cs-CZ"/>
        </w:rPr>
        <w:t>Předmět dodatku</w:t>
      </w:r>
      <w:bookmarkEnd w:id="6"/>
      <w:bookmarkEnd w:id="7"/>
      <w:bookmarkEnd w:id="9"/>
    </w:p>
    <w:p>
      <w:pPr>
        <w:pStyle w:val="Style2"/>
        <w:keepNext w:val="0"/>
        <w:keepLines w:val="0"/>
        <w:widowControl w:val="0"/>
        <w:shd w:val="clear" w:color="auto" w:fill="auto"/>
        <w:bidi w:val="0"/>
        <w:spacing w:before="0" w:after="500" w:line="240" w:lineRule="auto"/>
        <w:ind w:left="0" w:right="0" w:firstLine="0"/>
        <w:jc w:val="both"/>
      </w:pPr>
      <w:r>
        <w:rPr>
          <w:color w:val="000000"/>
          <w:spacing w:val="0"/>
          <w:w w:val="100"/>
          <w:position w:val="0"/>
          <w:shd w:val="clear" w:color="auto" w:fill="auto"/>
          <w:lang w:val="cs-CZ" w:eastAsia="cs-CZ" w:bidi="cs-CZ"/>
        </w:rPr>
        <w:t>Předmětem tohoto dodatku je změna maximální ceny díla uvedené v čl. 6. odst. 6.1. smlouvy o výkonu činnosti koordinátora BOZP při realizaci stavby č. 712/2023 z důvodu úpravy délky realizace stavby dle skutečného provedení stavby, a to z původně plánovaných 54 týdnů na plánovaných 66 týdnů, tedy o 12 týdnů. Původní maximální limit ceny ve výši 101 200,- Kč bez DPH je nyní vyčerpán.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Původní znění: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Maximální cena činí: 101 200,- Kč bez DPH.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Nové znění:</w:t>
      </w:r>
    </w:p>
    <w:p>
      <w:pPr>
        <w:pStyle w:val="Style2"/>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Maximální cena činí: 122 800,- Kč bez DPH.</w:t>
      </w:r>
    </w:p>
    <w:p>
      <w:pPr>
        <w:pStyle w:val="Style18"/>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12" w:name="bookmark12"/>
      <w:r>
        <w:rPr>
          <w:color w:val="000000"/>
          <w:spacing w:val="0"/>
          <w:w w:val="100"/>
          <w:position w:val="0"/>
          <w:shd w:val="clear" w:color="auto" w:fill="auto"/>
          <w:lang w:val="cs-CZ" w:eastAsia="cs-CZ" w:bidi="cs-CZ"/>
        </w:rPr>
        <w:t>3.</w:t>
        <w:br/>
        <w:t>Závěrečná ujednání</w:t>
      </w:r>
      <w:bookmarkEnd w:id="10"/>
      <w:bookmarkEnd w:id="11"/>
      <w:bookmarkEnd w:id="12"/>
    </w:p>
    <w:p>
      <w:pPr>
        <w:pStyle w:val="Style2"/>
        <w:keepNext w:val="0"/>
        <w:keepLines w:val="0"/>
        <w:widowControl w:val="0"/>
        <w:shd w:val="clear" w:color="auto" w:fill="auto"/>
        <w:bidi w:val="0"/>
        <w:spacing w:before="0" w:line="259" w:lineRule="auto"/>
        <w:ind w:left="0" w:right="0" w:firstLine="0"/>
        <w:jc w:val="both"/>
      </w:pPr>
      <w:r>
        <w:rPr>
          <w:color w:val="000000"/>
          <w:spacing w:val="0"/>
          <w:w w:val="100"/>
          <w:position w:val="0"/>
          <w:shd w:val="clear" w:color="auto" w:fill="auto"/>
          <w:lang w:val="cs-CZ" w:eastAsia="cs-CZ" w:bidi="cs-CZ"/>
        </w:rPr>
        <w:t>Tento dodatek č. 2 je nedílnou součástí smlouvy o výkonu činnosti koordinátora BOZP při realizaci stavby č. 712/2023 ze dne 02.06.2023. Ostatní ustanovení smlouvy se nemění.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Tento dodatek ke smlouvě nabývá platnosti dnem jeho podpisu poslední ze smluvních stran a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dodatku a metadat v registru smluv zajistí Povodí Ohře, státní podnik, který má právo tento dodatek zveřejnit rovněž v pochybnostech o tom, zda tento dodatek zveřejnění podléhá či nikoliv.</w:t>
      </w:r>
    </w:p>
    <w:p>
      <w:pPr>
        <w:pStyle w:val="Style2"/>
        <w:keepNext w:val="0"/>
        <w:keepLines w:val="0"/>
        <w:widowControl w:val="0"/>
        <w:shd w:val="clear" w:color="auto" w:fill="auto"/>
        <w:bidi w:val="0"/>
        <w:spacing w:before="0" w:after="0" w:line="240" w:lineRule="auto"/>
        <w:ind w:left="0" w:right="0" w:firstLine="0"/>
        <w:jc w:val="both"/>
        <w:sectPr>
          <w:headerReference w:type="default" r:id="rId5"/>
          <w:footerReference w:type="default" r:id="rId6"/>
          <w:footnotePr>
            <w:pos w:val="pageBottom"/>
            <w:numFmt w:val="decimal"/>
            <w:numRestart w:val="continuous"/>
          </w:footnotePr>
          <w:pgSz w:w="11909" w:h="16838"/>
          <w:pgMar w:top="1617" w:left="1394" w:right="1389" w:bottom="1516"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4036695</wp:posOffset>
                </wp:positionH>
                <wp:positionV relativeFrom="paragraph">
                  <wp:posOffset>12700</wp:posOffset>
                </wp:positionV>
                <wp:extent cx="1151890" cy="389890"/>
                <wp:wrapSquare wrapText="left"/>
                <wp:docPr id="5" name="Shape 5"/>
                <a:graphic xmlns:a="http://schemas.openxmlformats.org/drawingml/2006/main">
                  <a:graphicData uri="http://schemas.microsoft.com/office/word/2010/wordprocessingShape">
                    <wps:wsp>
                      <wps:cNvSpPr txBox="1"/>
                      <wps:spPr>
                        <a:xfrm>
                          <a:ext cx="1151890"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za koordinátora</w:t>
                            </w:r>
                          </w:p>
                        </w:txbxContent>
                      </wps:txbx>
                      <wps:bodyPr lIns="0" tIns="0" rIns="0" bIns="0">
                        <a:noAutoFit/>
                      </wps:bodyPr>
                    </wps:wsp>
                  </a:graphicData>
                </a:graphic>
              </wp:anchor>
            </w:drawing>
          </mc:Choice>
          <mc:Fallback>
            <w:pict>
              <v:shape id="_x0000_s1031" type="#_x0000_t202" style="position:absolute;margin-left:317.85000000000002pt;margin-top:1.pt;width:90.700000000000003pt;height:30.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za koordinátora</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 za objednatele</w:t>
      </w:r>
    </w:p>
    <w:p>
      <w:pPr>
        <w:widowControl w:val="0"/>
        <w:spacing w:line="240" w:lineRule="exact"/>
        <w:rPr>
          <w:sz w:val="19"/>
          <w:szCs w:val="19"/>
        </w:rPr>
      </w:pPr>
    </w:p>
    <w:p>
      <w:pPr>
        <w:widowControl w:val="0"/>
        <w:spacing w:line="240" w:lineRule="exact"/>
        <w:rPr>
          <w:sz w:val="19"/>
          <w:szCs w:val="19"/>
        </w:rPr>
      </w:pPr>
    </w:p>
    <w:p>
      <w:pPr>
        <w:widowControl w:val="0"/>
        <w:spacing w:before="113" w:after="11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17" w:left="0" w:right="0" w:bottom="1617"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ekonomický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koordinátor BOZP</w:t>
      </w:r>
    </w:p>
    <w:sectPr>
      <w:footnotePr>
        <w:pos w:val="pageBottom"/>
        <w:numFmt w:val="decimal"/>
        <w:numRestart w:val="continuous"/>
      </w:footnotePr>
      <w:type w:val="continuous"/>
      <w:pgSz w:w="11909" w:h="16838"/>
      <w:pgMar w:top="1617" w:left="1394" w:right="2796" w:bottom="1617" w:header="0" w:footer="3" w:gutter="0"/>
      <w:cols w:num="2" w:space="2208"/>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3332480</wp:posOffset>
              </wp:positionH>
              <wp:positionV relativeFrom="page">
                <wp:posOffset>10100945</wp:posOffset>
              </wp:positionV>
              <wp:extent cx="899160" cy="152400"/>
              <wp:wrapNone/>
              <wp:docPr id="3" name="Shape 3"/>
              <a:graphic xmlns:a="http://schemas.openxmlformats.org/drawingml/2006/main">
                <a:graphicData uri="http://schemas.microsoft.com/office/word/2010/wordprocessingShape">
                  <wps:wsp>
                    <wps:cNvSpPr txBox="1"/>
                    <wps:spPr>
                      <a:xfrm>
                        <a:ext cx="899160" cy="1524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z w:val="18"/>
                                <w:szCs w:val="18"/>
                                <w:shd w:val="clear" w:color="auto" w:fill="auto"/>
                                <w:lang w:val="cs-CZ" w:eastAsia="cs-CZ" w:bidi="cs-CZ"/>
                              </w:rPr>
                              <w:t>#</w:t>
                            </w:r>
                          </w:fldSimple>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 (celkem 2)</w:t>
                          </w:r>
                        </w:p>
                      </w:txbxContent>
                    </wps:txbx>
                    <wps:bodyPr wrap="none" lIns="0" tIns="0" rIns="0" bIns="0">
                      <a:spAutoFit/>
                    </wps:bodyPr>
                  </wps:wsp>
                </a:graphicData>
              </a:graphic>
            </wp:anchor>
          </w:drawing>
        </mc:Choice>
        <mc:Fallback>
          <w:pict>
            <v:shape id="_x0000_s1029" type="#_x0000_t202" style="position:absolute;margin-left:262.39999999999998pt;margin-top:795.35000000000002pt;width:70.799999999999997pt;height:12.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z w:val="18"/>
                          <w:szCs w:val="18"/>
                          <w:shd w:val="clear" w:color="auto" w:fill="auto"/>
                          <w:lang w:val="cs-CZ" w:eastAsia="cs-CZ" w:bidi="cs-CZ"/>
                        </w:rPr>
                        <w:t>#</w:t>
                      </w:r>
                    </w:fldSimple>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 (celkem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5304790</wp:posOffset>
              </wp:positionH>
              <wp:positionV relativeFrom="page">
                <wp:posOffset>438785</wp:posOffset>
              </wp:positionV>
              <wp:extent cx="1356360" cy="155575"/>
              <wp:wrapNone/>
              <wp:docPr id="1" name="Shape 1"/>
              <a:graphic xmlns:a="http://schemas.openxmlformats.org/drawingml/2006/main">
                <a:graphicData uri="http://schemas.microsoft.com/office/word/2010/wordprocessingShape">
                  <wps:wsp>
                    <wps:cNvSpPr txBox="1"/>
                    <wps:spPr>
                      <a:xfrm>
                        <a:ext cx="1356360" cy="1555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Akce č. 202 712 a 502 660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7.69999999999999pt;margin-top:34.550000000000004pt;width:106.8pt;height:12.25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Akce č. 202 712 a 502 660</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32"/>
      <w:szCs w:val="3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8"/>
      <w:szCs w:val="28"/>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before="120" w:after="280"/>
      <w:jc w:val="center"/>
      <w:outlineLvl w:val="0"/>
    </w:pPr>
    <w:rPr>
      <w:rFonts w:ascii="Arial" w:eastAsia="Arial" w:hAnsi="Arial" w:cs="Arial"/>
      <w:b/>
      <w:bCs/>
      <w:i w:val="0"/>
      <w:iCs w:val="0"/>
      <w:smallCaps w:val="0"/>
      <w:strike w:val="0"/>
      <w:sz w:val="32"/>
      <w:szCs w:val="3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350"/>
      <w:jc w:val="center"/>
    </w:pPr>
    <w:rPr>
      <w:rFonts w:ascii="Arial" w:eastAsia="Arial" w:hAnsi="Arial" w:cs="Arial"/>
      <w:b/>
      <w:bCs/>
      <w:i w:val="0"/>
      <w:iCs w:val="0"/>
      <w:smallCaps w:val="0"/>
      <w:strike w:val="0"/>
      <w:sz w:val="28"/>
      <w:szCs w:val="28"/>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190"/>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ZAJIŠTĚNÍ PODMÍNEK PRO REALIZACI STAVBY A BUDOUCÍM MAJEKOPRÁVNÍM VYPOŘÁDÁNÍ</dc:title>
  <dc:subject/>
  <dc:creator>Sykora</dc:creator>
  <cp:keywords/>
</cp:coreProperties>
</file>