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erReference w:type="default" r:id="rId5"/>
          <w:footnotePr>
            <w:pos w:val="pageBottom"/>
            <w:numFmt w:val="decimal"/>
            <w:numRestart w:val="continuous"/>
          </w:footnotePr>
          <w:pgSz w:w="11909" w:h="16838"/>
          <w:pgMar w:top="499" w:left="3" w:right="3" w:bottom="941" w:header="0" w:footer="3" w:gutter="0"/>
          <w:pgNumType w:start="1"/>
          <w:cols w:space="720"/>
          <w:noEndnote/>
          <w:rtlGutter w:val="0"/>
          <w:docGrid w:linePitch="360"/>
        </w:sectPr>
      </w:pPr>
    </w:p>
    <w:p>
      <w:pPr>
        <w:pStyle w:val="Style6"/>
        <w:keepNext w:val="0"/>
        <w:keepLines w:val="0"/>
        <w:framePr w:w="1176" w:h="331" w:wrap="none" w:vAnchor="text" w:hAnchor="page" w:x="219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w:t>
      </w:r>
    </w:p>
    <w:p>
      <w:pPr>
        <w:widowControl w:val="0"/>
        <w:spacing w:after="330" w:line="1" w:lineRule="exact"/>
      </w:pPr>
      <w:r>
        <w:drawing>
          <wp:anchor distT="0" distB="0" distL="0" distR="0" simplePos="0" relativeHeight="62914692" behindDoc="1" locked="0" layoutInCell="1" allowOverlap="1">
            <wp:simplePos x="0" y="0"/>
            <wp:positionH relativeFrom="margin">
              <wp:posOffset>635</wp:posOffset>
            </wp:positionH>
            <wp:positionV relativeFrom="margin">
              <wp:posOffset>0</wp:posOffset>
            </wp:positionV>
            <wp:extent cx="7559040" cy="826643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7559040" cy="8266430"/>
                    </a:xfrm>
                    <a:prstGeom prst="rect"/>
                  </pic:spPr>
                </pic:pic>
              </a:graphicData>
            </a:graphic>
          </wp:anchor>
        </w:drawing>
      </w:r>
    </w:p>
    <w:p>
      <w:pPr>
        <w:widowControl w:val="0"/>
        <w:spacing w:line="1" w:lineRule="exact"/>
        <w:sectPr>
          <w:footnotePr>
            <w:pos w:val="pageBottom"/>
            <w:numFmt w:val="decimal"/>
            <w:numRestart w:val="continuous"/>
          </w:footnotePr>
          <w:type w:val="continuous"/>
          <w:pgSz w:w="11909" w:h="16838"/>
          <w:pgMar w:top="499" w:left="3" w:right="3" w:bottom="941" w:header="71" w:footer="3" w:gutter="0"/>
          <w:cols w:space="720"/>
          <w:noEndnote/>
          <w:rtlGutter w:val="0"/>
          <w:docGrid w:linePitch="360"/>
        </w:sectPr>
      </w:pPr>
    </w:p>
    <w:p>
      <w:pPr>
        <w:widowControl w:val="0"/>
        <w:spacing w:line="1" w:lineRule="exact"/>
      </w:pPr>
      <w:r>
        <mc:AlternateContent>
          <mc:Choice Requires="wps">
            <w:drawing>
              <wp:anchor distT="0" distB="149225" distL="114300" distR="126365" simplePos="0" relativeHeight="125829378" behindDoc="0" locked="0" layoutInCell="1" allowOverlap="1">
                <wp:simplePos x="0" y="0"/>
                <wp:positionH relativeFrom="page">
                  <wp:posOffset>5259705</wp:posOffset>
                </wp:positionH>
                <wp:positionV relativeFrom="paragraph">
                  <wp:posOffset>12700</wp:posOffset>
                </wp:positionV>
                <wp:extent cx="1356360" cy="362585"/>
                <wp:wrapTopAndBottom/>
                <wp:docPr id="5" name="Shape 5"/>
                <a:graphic xmlns:a="http://schemas.openxmlformats.org/drawingml/2006/main">
                  <a:graphicData uri="http://schemas.microsoft.com/office/word/2010/wordprocessingShape">
                    <wps:wsp>
                      <wps:cNvSpPr txBox="1"/>
                      <wps:spPr>
                        <a:xfrm>
                          <a:ext cx="1356360" cy="36258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Objednávka</w:t>
                            </w:r>
                          </w:p>
                        </w:txbxContent>
                      </wps:txbx>
                      <wps:bodyPr wrap="none" lIns="0" tIns="0" rIns="0" bIns="0">
                        <a:noAutoFit/>
                      </wps:bodyPr>
                    </wps:wsp>
                  </a:graphicData>
                </a:graphic>
              </wp:anchor>
            </w:drawing>
          </mc:Choice>
          <mc:Fallback>
            <w:pict>
              <v:shape id="_x0000_s1031" type="#_x0000_t202" style="position:absolute;margin-left:414.15000000000003pt;margin-top:1.pt;width:106.8pt;height:28.550000000000001pt;z-index:-125829375;mso-wrap-distance-left:9.pt;mso-wrap-distance-right:9.9500000000000011pt;mso-wrap-distance-bottom:11.75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Objednávka</w:t>
                      </w:r>
                    </w:p>
                  </w:txbxContent>
                </v:textbox>
                <w10:wrap type="topAndBottom" anchorx="page"/>
              </v:shape>
            </w:pict>
          </mc:Fallback>
        </mc:AlternateContent>
      </w:r>
      <w:r>
        <mc:AlternateContent>
          <mc:Choice Requires="wps">
            <w:drawing>
              <wp:anchor distT="298450" distB="0" distL="364490" distR="113665" simplePos="0" relativeHeight="125829380" behindDoc="0" locked="0" layoutInCell="1" allowOverlap="1">
                <wp:simplePos x="0" y="0"/>
                <wp:positionH relativeFrom="page">
                  <wp:posOffset>5509895</wp:posOffset>
                </wp:positionH>
                <wp:positionV relativeFrom="paragraph">
                  <wp:posOffset>311150</wp:posOffset>
                </wp:positionV>
                <wp:extent cx="1118870" cy="213360"/>
                <wp:wrapTopAndBottom/>
                <wp:docPr id="7" name="Shape 7"/>
                <a:graphic xmlns:a="http://schemas.openxmlformats.org/drawingml/2006/main">
                  <a:graphicData uri="http://schemas.microsoft.com/office/word/2010/wordprocessingShape">
                    <wps:wsp>
                      <wps:cNvSpPr txBox="1"/>
                      <wps:spPr>
                        <a:xfrm>
                          <a:ext cx="1118870" cy="21336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102/2024/280</w:t>
                            </w:r>
                          </w:p>
                        </w:txbxContent>
                      </wps:txbx>
                      <wps:bodyPr wrap="none" lIns="0" tIns="0" rIns="0" bIns="0">
                        <a:noAutoFit/>
                      </wps:bodyPr>
                    </wps:wsp>
                  </a:graphicData>
                </a:graphic>
              </wp:anchor>
            </w:drawing>
          </mc:Choice>
          <mc:Fallback>
            <w:pict>
              <v:shape id="_x0000_s1033" type="#_x0000_t202" style="position:absolute;margin-left:433.85000000000002pt;margin-top:24.5pt;width:88.100000000000009pt;height:16.800000000000001pt;z-index:-125829373;mso-wrap-distance-left:28.699999999999999pt;mso-wrap-distance-top:23.5pt;mso-wrap-distance-right:8.950000000000001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color w:val="000000"/>
                          <w:spacing w:val="0"/>
                          <w:w w:val="100"/>
                          <w:position w:val="0"/>
                          <w:sz w:val="19"/>
                          <w:szCs w:val="19"/>
                          <w:shd w:val="clear" w:color="auto" w:fill="auto"/>
                          <w:lang w:val="cs-CZ" w:eastAsia="cs-CZ" w:bidi="cs-CZ"/>
                        </w:rPr>
                        <w:t>102/2024/280</w:t>
                      </w:r>
                    </w:p>
                  </w:txbxContent>
                </v:textbox>
                <w10:wrap type="topAndBottom" anchorx="page"/>
              </v:shape>
            </w:pict>
          </mc:Fallback>
        </mc:AlternateContent>
      </w:r>
      <w:r>
        <mc:AlternateContent>
          <mc:Choice Requires="wps">
            <w:drawing>
              <wp:anchor distT="0" distB="393065" distL="114300" distR="3467100" simplePos="0" relativeHeight="125829382" behindDoc="0" locked="0" layoutInCell="1" allowOverlap="1">
                <wp:simplePos x="0" y="0"/>
                <wp:positionH relativeFrom="page">
                  <wp:posOffset>885825</wp:posOffset>
                </wp:positionH>
                <wp:positionV relativeFrom="paragraph">
                  <wp:posOffset>2261870</wp:posOffset>
                </wp:positionV>
                <wp:extent cx="737870" cy="225425"/>
                <wp:wrapSquare wrapText="bothSides"/>
                <wp:docPr id="9" name="Shape 9"/>
                <a:graphic xmlns:a="http://schemas.openxmlformats.org/drawingml/2006/main">
                  <a:graphicData uri="http://schemas.microsoft.com/office/word/2010/wordprocessingShape">
                    <wps:wsp>
                      <wps:cNvSpPr txBox="1"/>
                      <wps:spPr>
                        <a:xfrm>
                          <a:ext cx="737870" cy="22542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Dodavatel:</w:t>
                            </w:r>
                          </w:p>
                        </w:txbxContent>
                      </wps:txbx>
                      <wps:bodyPr wrap="none" lIns="0" tIns="0" rIns="0" bIns="0">
                        <a:noAutoFit/>
                      </wps:bodyPr>
                    </wps:wsp>
                  </a:graphicData>
                </a:graphic>
              </wp:anchor>
            </w:drawing>
          </mc:Choice>
          <mc:Fallback>
            <w:pict>
              <v:shape id="_x0000_s1035" type="#_x0000_t202" style="position:absolute;margin-left:69.75pt;margin-top:178.09999999999999pt;width:58.100000000000001pt;height:17.75pt;z-index:-125829371;mso-wrap-distance-left:9.pt;mso-wrap-distance-right:273.pt;mso-wrap-distance-bottom:30.94999999999999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Dodavatel:</w:t>
                      </w:r>
                    </w:p>
                  </w:txbxContent>
                </v:textbox>
                <w10:wrap type="square" anchorx="page"/>
              </v:shape>
            </w:pict>
          </mc:Fallback>
        </mc:AlternateContent>
      </w:r>
      <w:r>
        <mc:AlternateContent>
          <mc:Choice Requires="wps">
            <w:drawing>
              <wp:anchor distT="100330" distB="0" distL="3448685" distR="114935" simplePos="0" relativeHeight="125829384" behindDoc="0" locked="0" layoutInCell="1" allowOverlap="1">
                <wp:simplePos x="0" y="0"/>
                <wp:positionH relativeFrom="page">
                  <wp:posOffset>4220210</wp:posOffset>
                </wp:positionH>
                <wp:positionV relativeFrom="paragraph">
                  <wp:posOffset>2362200</wp:posOffset>
                </wp:positionV>
                <wp:extent cx="755650" cy="518160"/>
                <wp:wrapSquare wrapText="bothSides"/>
                <wp:docPr id="11" name="Shape 11"/>
                <a:graphic xmlns:a="http://schemas.openxmlformats.org/drawingml/2006/main">
                  <a:graphicData uri="http://schemas.microsoft.com/office/word/2010/wordprocessingShape">
                    <wps:wsp>
                      <wps:cNvSpPr txBox="1"/>
                      <wps:spPr>
                        <a:xfrm>
                          <a:ext cx="755650" cy="51816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Datum vystavení: Termín dodání: Způsob dopravy: Způsob platby:</w:t>
                            </w:r>
                          </w:p>
                        </w:txbxContent>
                      </wps:txbx>
                      <wps:bodyPr lIns="0" tIns="0" rIns="0" bIns="0">
                        <a:noAutoFit/>
                      </wps:bodyPr>
                    </wps:wsp>
                  </a:graphicData>
                </a:graphic>
              </wp:anchor>
            </w:drawing>
          </mc:Choice>
          <mc:Fallback>
            <w:pict>
              <v:shape id="_x0000_s1037" type="#_x0000_t202" style="position:absolute;margin-left:332.30000000000001pt;margin-top:186.pt;width:59.5pt;height:40.800000000000004pt;z-index:-125829369;mso-wrap-distance-left:271.55000000000001pt;mso-wrap-distance-top:7.9000000000000004pt;mso-wrap-distance-right:9.0500000000000007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Datum vystavení: Termín dodání: Způsob dopravy: Způsob platby:</w:t>
                      </w:r>
                    </w:p>
                  </w:txbxContent>
                </v:textbox>
                <w10:wrap type="square" anchorx="page"/>
              </v:shape>
            </w:pict>
          </mc:Fallback>
        </mc:AlternateContent>
      </w:r>
    </w:p>
    <w:p>
      <w:pPr>
        <w:pStyle w:val="Style17"/>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rFonts w:ascii="Times New Roman" w:eastAsia="Times New Roman" w:hAnsi="Times New Roman" w:cs="Times New Roman"/>
          <w:color w:val="000000"/>
          <w:spacing w:val="0"/>
          <w:w w:val="100"/>
          <w:position w:val="0"/>
          <w:shd w:val="clear" w:color="auto" w:fill="auto"/>
          <w:lang w:val="cs-CZ" w:eastAsia="cs-CZ" w:bidi="cs-CZ"/>
        </w:rPr>
        <w:t>Odběratel:</w:t>
      </w:r>
      <w:bookmarkEnd w:id="0"/>
      <w:bookmarkEnd w:id="1"/>
      <w:bookmarkEnd w:id="2"/>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Povodí Ohře, státní podnik Bezručova 4219</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430 03 Chomutov CZ</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IČO: 70889988</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DIČ: CZ70889988</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Vystavil:</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Telefon:</w:t>
      </w:r>
    </w:p>
    <w:p>
      <w:pPr>
        <w:pStyle w:val="Style10"/>
        <w:keepNext w:val="0"/>
        <w:keepLines w:val="0"/>
        <w:widowControl w:val="0"/>
        <w:shd w:val="clear" w:color="auto" w:fill="auto"/>
        <w:bidi w:val="0"/>
        <w:spacing w:before="0" w:after="54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Mobil: e-mail:</w:t>
      </w:r>
    </w:p>
    <w:p>
      <w:pPr>
        <w:pStyle w:val="Style15"/>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shd w:val="clear" w:color="auto" w:fill="auto"/>
          <w:lang w:val="cs-CZ" w:eastAsia="cs-CZ" w:bidi="cs-CZ"/>
        </w:rPr>
        <w:t>01.10.2024</w:t>
      </w:r>
    </w:p>
    <w:p>
      <w:pPr>
        <w:pStyle w:val="Style15"/>
        <w:keepNext w:val="0"/>
        <w:keepLines w:val="0"/>
        <w:widowControl w:val="0"/>
        <w:shd w:val="clear" w:color="auto" w:fill="auto"/>
        <w:bidi w:val="0"/>
        <w:spacing w:before="0" w:after="160" w:line="240" w:lineRule="auto"/>
        <w:ind w:left="0" w:right="0" w:firstLine="780"/>
        <w:jc w:val="left"/>
      </w:pPr>
      <w:r>
        <w:rPr>
          <w:rFonts w:ascii="Times New Roman" w:eastAsia="Times New Roman" w:hAnsi="Times New Roman" w:cs="Times New Roman"/>
          <w:color w:val="000000"/>
          <w:spacing w:val="0"/>
          <w:w w:val="100"/>
          <w:position w:val="0"/>
          <w:shd w:val="clear" w:color="auto" w:fill="auto"/>
          <w:lang w:val="cs-CZ" w:eastAsia="cs-CZ" w:bidi="cs-CZ"/>
        </w:rPr>
        <w:t>01.10.2024</w:t>
      </w:r>
    </w:p>
    <w:p>
      <w:pPr>
        <w:pStyle w:val="Style15"/>
        <w:keepNext w:val="0"/>
        <w:keepLines w:val="0"/>
        <w:widowControl w:val="0"/>
        <w:shd w:val="clear" w:color="auto" w:fill="auto"/>
        <w:bidi w:val="0"/>
        <w:spacing w:before="0" w:after="540" w:line="240" w:lineRule="auto"/>
        <w:ind w:left="0" w:right="0" w:firstLine="780"/>
        <w:jc w:val="left"/>
      </w:pPr>
      <w:r>
        <w:rPr>
          <w:rFonts w:ascii="Times New Roman" w:eastAsia="Times New Roman" w:hAnsi="Times New Roman" w:cs="Times New Roman"/>
          <w:color w:val="000000"/>
          <w:spacing w:val="0"/>
          <w:w w:val="100"/>
          <w:position w:val="0"/>
          <w:shd w:val="clear" w:color="auto" w:fill="auto"/>
          <w:lang w:val="cs-CZ" w:eastAsia="cs-CZ" w:bidi="cs-CZ"/>
        </w:rPr>
        <w:t>Bankovním převodem</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Objednáváme u Vás biologické průzkumy na níže uvedené lokality:</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Boučí I se nachází v Karlovarském kraji, v okrese Sokolov, správní území obce Dolní Nivy, k.ú. Boučí, na p.p.č. 2326/2. Těleso</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přehrážky je umístěno na st. pozemku p.p.č.163/2. k.ú. Boučí. Sousední parcely jsou s p.č. 883/1, 994/1, k.ú. Boučí. Vodní tok Boučský</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potok, IDVT 10106862, ř.km 0,200, XY -1007155, -869516. Účelem štěrkové přehrážky je záchyt sedimentu z horní části vodního toku,</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který by se jinak dostal do přeložky Boučského a Hlubokého potoka.</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80122 Cena: 5 000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Boučí II se nachází v Karlovarském kraji v okrese Sokolov, ve správním území obce Dolní Nivy, na pozemku s p. č. 2322/2, k. ú</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Boučí. Těleso přehrážky je umístěno na st. p.č. 164/1, sousední parcely jsou s p.p.č. 1096/3, k. ú. Boučí a 597/4, k. ú. Horní Nivy. Vodní</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tok Hluboký potok, IDVT 10103172, ř.km 2,840, XY -1007064, -868552.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Účelem štěrkové přehrážky je záchyt sedimentu z horní části vodního toku, který by se jinak dostal do přeložky Boučského a Hlubokého potoka.</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80122 Cena: 5 000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Boučí III se nachází v Karlovarském kraji, v okrese Sokolov, ve správním území obce Dolní Nivy, Jindřichovice, na p.p.č. 597/8.</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Těleso přehrážky je umístěno na st. p.č. 131, k. ú. Horní Nivy. Sousední pozemky jsou s p.p.č. 597/7 a 1162, k. ú. Horní Nivy. Hluboký</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potok, IDVT 10103172, ř.km 3,290, XY -1006668, -868609.</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Účelem štěrkové přehrážky je záchyt sedimentu z horní části vodního toku, který by se jinak dostal do zakrytého profilu pod silnicí a koryta</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Hlubokého potoka dále po toku.</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80122 Cena: 5 000 Kč</w:t>
      </w:r>
    </w:p>
    <w:p>
      <w:pPr>
        <w:pStyle w:val="Style10"/>
        <w:keepNext w:val="0"/>
        <w:keepLines w:val="0"/>
        <w:widowControl w:val="0"/>
        <w:shd w:val="clear" w:color="auto" w:fill="auto"/>
        <w:bidi w:val="0"/>
        <w:spacing w:before="0" w:after="3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Jáchymov – Veseřice se nachází v Karlovarském kraji v obci Jáchymov, k.ú. Jáchymov. Těleso přehrážky je umístěno na p.p.č.</w:t>
      </w:r>
      <w:r>
        <w:br w:type="page"/>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1878/20, 5248/4, 4973/2. Vodní tok Veseřice, IDVT 10102896, ř.km 1,150, XY -996345, -843311. Účelem štěrkové přehrážky je záchyt sedimentu z horní části vodního toku a akumulace vody. Provozní středisko 102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95998</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5 000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Nejdek se nachází v Karlovarském kraji, v Karlových Varech, v obci Nejdek, v k. ú. Nejdek na p.p.č. 3249/25. Vodní tok Rolava,</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IDVT 10100121, ř.km 18,760, XY, -998111, -858792.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Účelem štěrkové přehrážky je záchyt sedimentu z horní části vodního toku a akumulace vody.</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45167</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5 000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Jáchymov Jáchymovský potok se nachází v Karlovarském kraji, v obci Jáchymov, v k. ú. Jáchymov na pozemku st.p.č.2332.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Jáchymovský potok, IDVT 10100902, ř. km 9,407, XY -995538, -844657.</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Účelem štěrkové zdrže je záchyt sedimentu z horní části vodního toku před zaústěním do krytého profilu v intravilánu města Jáchymov.</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45597</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5 000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Skalná se nachází v Karlovarském kraji, okres Cheb, v obci Skalná, v k. ú. Skalná p.p.č. 315.</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Vodní tok Sázek, IDVT 10100390, ř.km 12,998, XY -1011609, -888308.</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Účelem štěrkové přehrážky je zachycení splavenin výše po toku a akumulace vody při povodňových průtocích.</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101</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97473</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7 000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přeložky Tisovského se nachází v Karlovarském kraji, okres Sokolov, v obci Březová, v k. ú. Rudolec u Březové p.p.č. 185/7 a k. ú.</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Březová u Sokolova, p.p.č. 490/16.</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Vodní tok Tisovský (přeložka), IDVT 10100390, ř.km 2,100-3,800, začátek úseku XY -1018116, -869021, konec úseku XY - 1017638, -867830.</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Důvodem biologického průzkumu je těžba sedimentu.</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45280</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5 000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ŠP nad LG Rotava-Skřiváň se nachází v Karlovarském kraji, okres Karlovy Vary, v obci Rotava, v k.ú Rotava p.p.č. 1754/2.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Vodní tok Skřiváň, IDVT 10100827, ř.km 0,8, XY -999984, -868833.</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Účelem štěrkové přehrážky je zachycení splavenin výše po toku a akumulace vody při povodňových průtocích.</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45984</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5 000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Lokalita vodního toku Stoka v Horním Slavkově, se nachází v Karlovarském kraji, okres Sokolov, v obci Horní Slavkov, k.ú. Horní Slavkov</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p.p.č. 4248/5, 4248/3.</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Vodní tok Stoka, IDVT 10100695, ř.km 7,000-7,900, začátek úseku XY -1020288, -856069, konec úseku XY – 1021019, 856481.</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Těžení sedimentů je požadováno v povodňových prohlídkách Města H. Slavkov z důvodu zvýšené tvorby ledových jevů při zanesení koryta travními drny (ledové jevy se tam řeší téměř každý rok).</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Provozní středisko 102</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HIM: 45634</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10 000 Kč</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Záměr státního podniku Povodí Ohře je těžba sedimentu a zkapacitnění štěrkových přehrážek a vodních toků nejlépe po jarním tání. Těžbě sedimentu předchází vypuštění zdrží, čímž dojde ke ztrátě biotopu pro druhy, které se v tu chvíli budou ve zdrži nacházet, ztrátu možné potravy, nebo vhodného biotopu pro rozmnožování atd. Pojezdy těžké techniky a bagrování sedimentu mohou být dalším rizikem, stejně jako zákal vznikající uvolněním částic při těžbě. U vodních toků předpokládáme pojezd těžké techniky po dně nebo v těsné blízkosti břehu, rizikem bude i zákal, ztráta potravy vyskytující se jako bentické společenstvo v sedimentu. Cílem biologického průzkumu je zjistit a identifikovat chráněné druhy živočichů a rostlin, podléhající přílohám č. II a III vyhlášky ministerstva životního prostředí ČR č. 395/1992, které by mohli být vlivem záměru</w:t>
        <w:br w:type="page"/>
      </w:r>
      <w:r>
        <w:rPr>
          <w:rFonts w:ascii="Times New Roman" w:eastAsia="Times New Roman" w:hAnsi="Times New Roman" w:cs="Times New Roman"/>
          <w:color w:val="000000"/>
          <w:spacing w:val="0"/>
          <w:w w:val="100"/>
          <w:position w:val="0"/>
          <w:shd w:val="clear" w:color="auto" w:fill="auto"/>
          <w:lang w:val="cs-CZ" w:eastAsia="cs-CZ" w:bidi="cs-CZ"/>
        </w:rPr>
        <w:t>rušeni, zraněni, usmrceni apod. Je potřeba se věnovat především rakům, rybám, mihulím, obojživelníkům, mlžům, netopýrům pouze v hrázi, popř. rostlinám v blízkosti přehrážky.</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Průzkumné práce budou dále zaměřeny na vodní tok v místě záměru a minimálně 1 000 m pod ní a nad ní, dále i na bezprostředně navazující území (niva).</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Předpokládá se zpracování biologické zprávy pro každou lokalitu zvlášť se zvláštním zřetelem na druhy chráněné, regionálně vzácné, celkově na druhy, které budou nebo mohou být negativně ovlivněny. Dále bude zpráva obsahovat seznam nalezených chráněných druhů, početnost populace, zákres výskytu na mapovém podkladu, fotodokumentace a doporučená opatření ke zmírnění negativního vlivu na ně, v případě zřejmého transferu chráněného druhu žádáme o napsání metodiky a výběru vhodné lokality umístění chráněných druhů. Zároveň bude podkladem pro žádost o výjimku na chráněné druhy.</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Biologická zpráva bude vyhotovena ve 2x v písemné a 1x v el. podobě zaslána e-mailem na adresu.</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Zpráva bude předložena na Povodí Ohře, státní podnik, na odbor Technicko-provozní činnosti, konkrétně ekologovi podniku. Elektronicky bude zpráva konzultována v max. termínu 14 dnů před odevzdáním s ekologem podniku. Důvodem jsou navržené podmínky opatření zhotovitelem a jejich prověření, zda je státní podnik může splnit (např. pozemkově atd.)</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Předpokládaný termín realizace je od 10.2024 – 30.09.2025.</w:t>
      </w:r>
    </w:p>
    <w:p>
      <w:pPr>
        <w:pStyle w:val="Style10"/>
        <w:keepNext w:val="0"/>
        <w:keepLines w:val="0"/>
        <w:widowControl w:val="0"/>
        <w:numPr>
          <w:ilvl w:val="0"/>
          <w:numId w:val="1"/>
        </w:numPr>
        <w:shd w:val="clear" w:color="auto" w:fill="auto"/>
        <w:tabs>
          <w:tab w:pos="330" w:val="left"/>
        </w:tabs>
        <w:bidi w:val="0"/>
        <w:spacing w:before="0" w:after="160" w:line="240" w:lineRule="auto"/>
        <w:ind w:left="0" w:right="0" w:firstLine="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případě potřeby se obracejte na vedoucího provozu Cheb (lokalita Skalná), na vedoucího provozu Otovice (lokalita Boučí I, II, III, lokality Jáchymov Veseřice, Jáchymovský p. a lokalita Nejdek), nebo ekologa podniku.</w:t>
      </w:r>
    </w:p>
    <w:p>
      <w:pPr>
        <w:pStyle w:val="Style10"/>
        <w:keepNext w:val="0"/>
        <w:keepLines w:val="0"/>
        <w:widowControl w:val="0"/>
        <w:numPr>
          <w:ilvl w:val="0"/>
          <w:numId w:val="1"/>
        </w:numPr>
        <w:shd w:val="clear" w:color="auto" w:fill="auto"/>
        <w:tabs>
          <w:tab w:pos="330" w:val="left"/>
        </w:tabs>
        <w:bidi w:val="0"/>
        <w:spacing w:before="0" w:after="0" w:line="240" w:lineRule="auto"/>
        <w:ind w:left="0" w:right="0" w:firstLine="0"/>
        <w:jc w:val="left"/>
      </w:pPr>
      <w:bookmarkStart w:id="4" w:name="bookmark4"/>
      <w:bookmarkEnd w:id="4"/>
      <w:r>
        <w:rPr>
          <w:rFonts w:ascii="Times New Roman" w:eastAsia="Times New Roman" w:hAnsi="Times New Roman" w:cs="Times New Roman"/>
          <w:color w:val="000000"/>
          <w:spacing w:val="0"/>
          <w:w w:val="100"/>
          <w:position w:val="0"/>
          <w:shd w:val="clear" w:color="auto" w:fill="auto"/>
          <w:lang w:val="cs-CZ" w:eastAsia="cs-CZ" w:bidi="cs-CZ"/>
        </w:rPr>
        <w:t>ceně jsou zahrnuty veškeré náklady nutně nebo účelně vynaložené při plnění závazku vyplývajícího z nabídky, a to včetně případných dalších výloh souvisejících s předmětem zakázky.</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Daňové doklady s potvrzeným předávacím protokolem zašlete elektronicky na email:</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Cena celkem: 57 000,- Kč</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Žádáme o vrácení jednoho potvrzeného vyhotovení objednávky.</w:t>
      </w:r>
    </w:p>
    <w:p>
      <w:pPr>
        <w:pStyle w:val="Style10"/>
        <w:keepNext w:val="0"/>
        <w:keepLines w:val="0"/>
        <w:widowControl w:val="0"/>
        <w:shd w:val="clear" w:color="auto" w:fill="auto"/>
        <w:bidi w:val="0"/>
        <w:spacing w:before="0" w:after="3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Příloha: cenová nabídka, mapy</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 xml:space="preserve">S pozdravem </w:t>
      </w:r>
      <w:r>
        <w:rPr>
          <w:rFonts w:ascii="Times New Roman" w:eastAsia="Times New Roman" w:hAnsi="Times New Roman" w:cs="Times New Roman"/>
          <w:color w:val="000000"/>
          <w:spacing w:val="0"/>
          <w:w w:val="100"/>
          <w:position w:val="0"/>
          <w:shd w:val="clear" w:color="auto" w:fill="auto"/>
          <w:lang w:val="cs-CZ" w:eastAsia="cs-CZ" w:bidi="cs-CZ"/>
        </w:rPr>
        <w:t>vedoucí technické skupiny ZKV</w:t>
      </w:r>
    </w:p>
    <w:p>
      <w:pPr>
        <w:pStyle w:val="Style15"/>
        <w:keepNext w:val="0"/>
        <w:keepLines w:val="0"/>
        <w:widowControl w:val="0"/>
        <w:shd w:val="clear" w:color="auto" w:fill="auto"/>
        <w:tabs>
          <w:tab w:pos="5606" w:val="left"/>
          <w:tab w:pos="8393" w:val="left"/>
        </w:tabs>
        <w:bidi w:val="0"/>
        <w:spacing w:before="0" w:after="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Zboží</w:t>
        <w:tab/>
        <w:t>Termín dodání</w:t>
        <w:tab/>
        <w:t>Množství</w:t>
      </w:r>
    </w:p>
    <w:p>
      <w:pPr>
        <w:pStyle w:val="Style15"/>
        <w:keepNext w:val="0"/>
        <w:keepLines w:val="0"/>
        <w:widowControl w:val="0"/>
        <w:pBdr>
          <w:bottom w:val="single" w:sz="4" w:space="0" w:color="auto"/>
        </w:pBdr>
        <w:shd w:val="clear" w:color="auto" w:fill="auto"/>
        <w:tabs>
          <w:tab w:pos="5606" w:val="left"/>
          <w:tab w:pos="8393"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#001 518070 ostatní služby nespecifikované</w:t>
        <w:tab/>
        <w:t>01.10.2024</w:t>
        <w:tab/>
        <w:t>1,000</w:t>
      </w:r>
    </w:p>
    <w:p>
      <w:pPr>
        <w:pStyle w:val="Style17"/>
        <w:keepNext/>
        <w:keepLines/>
        <w:widowControl w:val="0"/>
        <w:pBdr>
          <w:bottom w:val="single" w:sz="4" w:space="0" w:color="auto"/>
        </w:pBdr>
        <w:shd w:val="clear" w:color="auto" w:fill="auto"/>
        <w:tabs>
          <w:tab w:pos="4896" w:val="left"/>
          <w:tab w:pos="7123" w:val="left"/>
        </w:tabs>
        <w:bidi w:val="0"/>
        <w:spacing w:before="0" w:after="2460" w:line="240" w:lineRule="auto"/>
        <w:ind w:left="0" w:right="0" w:firstLine="0"/>
        <w:jc w:val="center"/>
      </w:pPr>
      <w:bookmarkStart w:id="5" w:name="bookmark5"/>
      <w:bookmarkStart w:id="6" w:name="bookmark6"/>
      <w:bookmarkStart w:id="7" w:name="bookmark7"/>
      <w:r>
        <w:rPr>
          <w:rFonts w:ascii="Times New Roman" w:eastAsia="Times New Roman" w:hAnsi="Times New Roman" w:cs="Times New Roman"/>
          <w:color w:val="000000"/>
          <w:spacing w:val="0"/>
          <w:w w:val="100"/>
          <w:position w:val="0"/>
          <w:shd w:val="clear" w:color="auto" w:fill="auto"/>
          <w:lang w:val="cs-CZ" w:eastAsia="cs-CZ" w:bidi="cs-CZ"/>
        </w:rPr>
        <w:t>Předpokládaná cena celkem bez DPH:</w:t>
        <w:tab/>
        <w:t>57 000,00</w:t>
        <w:tab/>
        <w:t>Kč</w:t>
      </w:r>
      <w:bookmarkEnd w:id="5"/>
      <w:bookmarkEnd w:id="6"/>
      <w:bookmarkEnd w:id="7"/>
    </w:p>
    <w:p>
      <w:pPr>
        <w:pStyle w:val="Style10"/>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6" behindDoc="0" locked="0" layoutInCell="1" allowOverlap="1">
                <wp:simplePos x="0" y="0"/>
                <wp:positionH relativeFrom="page">
                  <wp:posOffset>4722495</wp:posOffset>
                </wp:positionH>
                <wp:positionV relativeFrom="paragraph">
                  <wp:posOffset>76200</wp:posOffset>
                </wp:positionV>
                <wp:extent cx="411480" cy="316865"/>
                <wp:wrapSquare wrapText="left"/>
                <wp:docPr id="13" name="Shape 13"/>
                <a:graphic xmlns:a="http://schemas.openxmlformats.org/drawingml/2006/main">
                  <a:graphicData uri="http://schemas.microsoft.com/office/word/2010/wordprocessingShape">
                    <wps:wsp>
                      <wps:cNvSpPr txBox="1"/>
                      <wps:spPr>
                        <a:xfrm>
                          <a:ext cx="411480" cy="3168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Datum:</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Převzal:</w:t>
                            </w:r>
                          </w:p>
                        </w:txbxContent>
                      </wps:txbx>
                      <wps:bodyPr lIns="0" tIns="0" rIns="0" bIns="0">
                        <a:noAutoFit/>
                      </wps:bodyPr>
                    </wps:wsp>
                  </a:graphicData>
                </a:graphic>
              </wp:anchor>
            </w:drawing>
          </mc:Choice>
          <mc:Fallback>
            <w:pict>
              <v:shape id="_x0000_s1039" type="#_x0000_t202" style="position:absolute;margin-left:371.85000000000002pt;margin-top:6.pt;width:32.399999999999999pt;height:24.949999999999999pt;z-index:-125829367;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Datum:</w: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Převzal:</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hd w:val="clear" w:color="auto" w:fill="auto"/>
          <w:lang w:val="cs-CZ" w:eastAsia="cs-CZ" w:bidi="cs-CZ"/>
        </w:rPr>
        <w:t>Schválil:</w:t>
      </w:r>
    </w:p>
    <w:p>
      <w:pPr>
        <w:pStyle w:val="Style10"/>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Vedoucí tech.skupiny</w:t>
      </w:r>
    </w:p>
    <w:sectPr>
      <w:footnotePr>
        <w:pos w:val="pageBottom"/>
        <w:numFmt w:val="decimal"/>
        <w:numRestart w:val="continuous"/>
      </w:footnotePr>
      <w:type w:val="continuous"/>
      <w:pgSz w:w="11909" w:h="16838"/>
      <w:pgMar w:top="1184" w:left="1382" w:right="1398" w:bottom="1568" w:header="75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5930265</wp:posOffset>
              </wp:positionH>
              <wp:positionV relativeFrom="page">
                <wp:posOffset>10031095</wp:posOffset>
              </wp:positionV>
              <wp:extent cx="734695" cy="210185"/>
              <wp:wrapNone/>
              <wp:docPr id="1" name="Shape 1"/>
              <a:graphic xmlns:a="http://schemas.openxmlformats.org/drawingml/2006/main">
                <a:graphicData uri="http://schemas.microsoft.com/office/word/2010/wordprocessingShape">
                  <wps:wsp>
                    <wps:cNvSpPr txBox="1"/>
                    <wps:spPr>
                      <a:xfrm>
                        <a:ext cx="734695"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0"/>
                              <w:szCs w:val="2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0"/>
                              <w:szCs w:val="20"/>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6.94999999999999pt;margin-top:789.85000000000002pt;width:57.850000000000001pt;height:16.55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0"/>
                        <w:szCs w:val="20"/>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0"/>
                        <w:szCs w:val="20"/>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36"/>
      <w:szCs w:val="36"/>
      <w:u w:val="none"/>
    </w:rPr>
  </w:style>
  <w:style w:type="character" w:customStyle="1" w:styleId="CharStyle11">
    <w:name w:val="Char Style 11"/>
    <w:basedOn w:val="DefaultParagraphFont"/>
    <w:link w:val="Style10"/>
    <w:rPr>
      <w:b w:val="0"/>
      <w:bCs w:val="0"/>
      <w:i w:val="0"/>
      <w:iCs w:val="0"/>
      <w:smallCaps w:val="0"/>
      <w:strike w:val="0"/>
      <w:sz w:val="18"/>
      <w:szCs w:val="18"/>
      <w:u w:val="none"/>
    </w:rPr>
  </w:style>
  <w:style w:type="character" w:customStyle="1" w:styleId="CharStyle14">
    <w:name w:val="Char Style 14"/>
    <w:basedOn w:val="DefaultParagraphFont"/>
    <w:link w:val="Style13"/>
    <w:rPr>
      <w:b/>
      <w:bCs/>
      <w:i w:val="0"/>
      <w:iCs w:val="0"/>
      <w:smallCaps w:val="0"/>
      <w:strike w:val="0"/>
      <w:sz w:val="22"/>
      <w:szCs w:val="22"/>
      <w:u w:val="none"/>
    </w:rPr>
  </w:style>
  <w:style w:type="character" w:customStyle="1" w:styleId="CharStyle16">
    <w:name w:val="Char Style 16"/>
    <w:basedOn w:val="DefaultParagraphFont"/>
    <w:link w:val="Style15"/>
    <w:rPr>
      <w:b w:val="0"/>
      <w:bCs w:val="0"/>
      <w:i w:val="0"/>
      <w:iCs w:val="0"/>
      <w:smallCaps w:val="0"/>
      <w:strike w:val="0"/>
      <w:sz w:val="16"/>
      <w:szCs w:val="16"/>
      <w:u w:val="none"/>
    </w:rPr>
  </w:style>
  <w:style w:type="character" w:customStyle="1" w:styleId="CharStyle18">
    <w:name w:val="Char Style 18"/>
    <w:basedOn w:val="DefaultParagraphFont"/>
    <w:link w:val="Style17"/>
    <w:rPr>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pPr>
    <w:rPr>
      <w:rFonts w:ascii="Arial" w:eastAsia="Arial" w:hAnsi="Arial" w:cs="Arial"/>
      <w:b/>
      <w:bCs/>
      <w:i w:val="0"/>
      <w:iCs w:val="0"/>
      <w:smallCaps w:val="0"/>
      <w:strike w:val="0"/>
      <w:sz w:val="36"/>
      <w:szCs w:val="36"/>
      <w:u w:val="none"/>
    </w:rPr>
  </w:style>
  <w:style w:type="paragraph" w:customStyle="1" w:styleId="Style10">
    <w:name w:val="Style 10"/>
    <w:basedOn w:val="Normal"/>
    <w:link w:val="CharStyle11"/>
    <w:pPr>
      <w:widowControl w:val="0"/>
      <w:shd w:val="clear" w:color="auto" w:fill="FFFFFF"/>
    </w:pPr>
    <w:rPr>
      <w:b w:val="0"/>
      <w:bCs w:val="0"/>
      <w:i w:val="0"/>
      <w:iCs w:val="0"/>
      <w:smallCaps w:val="0"/>
      <w:strike w:val="0"/>
      <w:sz w:val="18"/>
      <w:szCs w:val="18"/>
      <w:u w:val="none"/>
    </w:rPr>
  </w:style>
  <w:style w:type="paragraph" w:customStyle="1" w:styleId="Style13">
    <w:name w:val="Style 13"/>
    <w:basedOn w:val="Normal"/>
    <w:link w:val="CharStyle14"/>
    <w:pPr>
      <w:widowControl w:val="0"/>
      <w:shd w:val="clear" w:color="auto" w:fill="FFFFFF"/>
    </w:pPr>
    <w:rPr>
      <w:b/>
      <w:bCs/>
      <w:i w:val="0"/>
      <w:iCs w:val="0"/>
      <w:smallCaps w:val="0"/>
      <w:strike w:val="0"/>
      <w:sz w:val="22"/>
      <w:szCs w:val="22"/>
      <w:u w:val="none"/>
    </w:rPr>
  </w:style>
  <w:style w:type="paragraph" w:customStyle="1" w:styleId="Style15">
    <w:name w:val="Style 15"/>
    <w:basedOn w:val="Normal"/>
    <w:link w:val="CharStyle16"/>
    <w:pPr>
      <w:widowControl w:val="0"/>
      <w:shd w:val="clear" w:color="auto" w:fill="FFFFFF"/>
    </w:pPr>
    <w:rPr>
      <w:b w:val="0"/>
      <w:bCs w:val="0"/>
      <w:i w:val="0"/>
      <w:iCs w:val="0"/>
      <w:smallCaps w:val="0"/>
      <w:strike w:val="0"/>
      <w:sz w:val="16"/>
      <w:szCs w:val="16"/>
      <w:u w:val="none"/>
    </w:rPr>
  </w:style>
  <w:style w:type="paragraph" w:customStyle="1" w:styleId="Style17">
    <w:name w:val="Style 17"/>
    <w:basedOn w:val="Normal"/>
    <w:link w:val="CharStyle18"/>
    <w:pPr>
      <w:widowControl w:val="0"/>
      <w:shd w:val="clear" w:color="auto" w:fill="FFFFFF"/>
      <w:spacing w:after="1230"/>
      <w:outlineLvl w:val="0"/>
    </w:pPr>
    <w:rPr>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Bc. Lukáš Voháňka</dc:creator>
  <cp:keywords/>
</cp:coreProperties>
</file>