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D0F0" w14:textId="77777777" w:rsidR="00D10068" w:rsidRDefault="00A60423">
      <w:pPr>
        <w:pStyle w:val="Nadpis1"/>
        <w:jc w:val="center"/>
      </w:pPr>
      <w:bookmarkStart w:id="0" w:name="_at92dlwkkbk7" w:colFirst="0" w:colLast="0"/>
      <w:bookmarkEnd w:id="0"/>
      <w:r>
        <w:t xml:space="preserve">Smlouva </w:t>
      </w:r>
    </w:p>
    <w:p w14:paraId="113674E3" w14:textId="77777777" w:rsidR="00D10068" w:rsidRDefault="00A60423">
      <w:pPr>
        <w:jc w:val="center"/>
      </w:pPr>
      <w:r>
        <w:t xml:space="preserve">uzavřená dle ustanovení § 2586 a násl., § 2358 a násl. a § 1746 odst. 2 </w:t>
      </w:r>
      <w:r>
        <w:br/>
        <w:t xml:space="preserve">zákona č. 89/2012 Sb., občanský zákoník, v platném znění (dále jen „občanský zákoník“) mezi smluvními stranami: </w:t>
      </w:r>
    </w:p>
    <w:p w14:paraId="712ED8F1" w14:textId="77777777" w:rsidR="00D10068" w:rsidRDefault="00D10068">
      <w:pPr>
        <w:jc w:val="center"/>
      </w:pPr>
    </w:p>
    <w:p w14:paraId="2D458366" w14:textId="77777777" w:rsidR="00D10068" w:rsidRDefault="00A60423">
      <w:pPr>
        <w:rPr>
          <w:b/>
        </w:rPr>
      </w:pPr>
      <w:r>
        <w:rPr>
          <w:b/>
        </w:rPr>
        <w:t>Statutární město Pardubice</w:t>
      </w:r>
    </w:p>
    <w:p w14:paraId="5ECE9E9E" w14:textId="77777777" w:rsidR="00D10068" w:rsidRDefault="00A60423">
      <w:r>
        <w:t>se sídlem: Pernštýnské náměstí 1, 530 21 Pardubice</w:t>
      </w:r>
    </w:p>
    <w:p w14:paraId="37A806F0" w14:textId="77777777" w:rsidR="00D10068" w:rsidRDefault="00A60423">
      <w:r>
        <w:t>IČO: 00274046</w:t>
      </w:r>
    </w:p>
    <w:p w14:paraId="441F0279" w14:textId="2BB61C2A" w:rsidR="00D10068" w:rsidRPr="00047A41" w:rsidRDefault="00A60423">
      <w:r>
        <w:t>zastoupená</w:t>
      </w:r>
      <w:r w:rsidRPr="00047A41">
        <w:t xml:space="preserve">: </w:t>
      </w:r>
      <w:r w:rsidR="00853FCE" w:rsidRPr="00047A41">
        <w:t xml:space="preserve">Bc. Janem </w:t>
      </w:r>
      <w:proofErr w:type="spellStart"/>
      <w:r w:rsidR="00853FCE" w:rsidRPr="00047A41">
        <w:t>Nadrchalem</w:t>
      </w:r>
      <w:proofErr w:type="spellEnd"/>
      <w:r w:rsidR="00853FCE" w:rsidRPr="00047A41">
        <w:t>, primátorem Statutárního města Pardubice</w:t>
      </w:r>
    </w:p>
    <w:p w14:paraId="74AEBB43" w14:textId="48410DB9" w:rsidR="00D10068" w:rsidRPr="00047A41" w:rsidRDefault="00A60423">
      <w:r w:rsidRPr="00047A41">
        <w:t xml:space="preserve">kontaktní osoba: </w:t>
      </w:r>
      <w:r w:rsidR="00853FCE" w:rsidRPr="00047A41">
        <w:t>Ing. Věra Netolická, MBA, vedoucí útvaru interního auditu</w:t>
      </w:r>
    </w:p>
    <w:p w14:paraId="6E52FB57" w14:textId="0181043A" w:rsidR="00D10068" w:rsidRPr="00047A41" w:rsidRDefault="00A60423">
      <w:r w:rsidRPr="00047A41">
        <w:t xml:space="preserve">e-mail: </w:t>
      </w:r>
      <w:r w:rsidR="00853FCE" w:rsidRPr="00047A41">
        <w:t>vera.netolicka@mmp.cz</w:t>
      </w:r>
    </w:p>
    <w:p w14:paraId="00811825" w14:textId="6E8E6ADF" w:rsidR="00D10068" w:rsidRPr="00047A41" w:rsidRDefault="00A60423">
      <w:r w:rsidRPr="00047A41">
        <w:t xml:space="preserve">bankovní spojení: </w:t>
      </w:r>
      <w:r w:rsidR="00EE2437" w:rsidRPr="00047A41">
        <w:t xml:space="preserve">326561/0100, Komerční banka, a. s., pobočka Pardubice </w:t>
      </w:r>
    </w:p>
    <w:p w14:paraId="7387E754" w14:textId="77777777" w:rsidR="00D10068" w:rsidRDefault="00A60423">
      <w:pPr>
        <w:rPr>
          <w:i/>
        </w:rPr>
      </w:pPr>
      <w:r>
        <w:rPr>
          <w:i/>
        </w:rPr>
        <w:t>(dále jen “objednatel”)</w:t>
      </w:r>
    </w:p>
    <w:p w14:paraId="3FC281F2" w14:textId="77777777" w:rsidR="00D10068" w:rsidRDefault="00D10068"/>
    <w:p w14:paraId="23FFECAB" w14:textId="77777777" w:rsidR="00D10068" w:rsidRDefault="00A60423">
      <w:r>
        <w:t>a</w:t>
      </w:r>
    </w:p>
    <w:p w14:paraId="2C27281A" w14:textId="77777777" w:rsidR="00D10068" w:rsidRDefault="00D10068"/>
    <w:p w14:paraId="753A27F6" w14:textId="77777777" w:rsidR="00D10068" w:rsidRDefault="00A60423">
      <w:pPr>
        <w:rPr>
          <w:b/>
        </w:rPr>
      </w:pPr>
      <w:proofErr w:type="spellStart"/>
      <w:r>
        <w:rPr>
          <w:b/>
        </w:rPr>
        <w:t>Datlab</w:t>
      </w:r>
      <w:proofErr w:type="spellEnd"/>
      <w:r>
        <w:rPr>
          <w:b/>
        </w:rPr>
        <w:t xml:space="preserve"> s.r.o.</w:t>
      </w:r>
    </w:p>
    <w:p w14:paraId="531C0340" w14:textId="77777777" w:rsidR="00D10068" w:rsidRDefault="00A60423">
      <w:r>
        <w:t xml:space="preserve">se sídlem: Charlese de </w:t>
      </w:r>
      <w:proofErr w:type="spellStart"/>
      <w:r>
        <w:t>Gaulla</w:t>
      </w:r>
      <w:proofErr w:type="spellEnd"/>
      <w:r>
        <w:t xml:space="preserve"> 629/5, Bubeneč, 160 00 Praha 6</w:t>
      </w:r>
    </w:p>
    <w:p w14:paraId="74B583E4" w14:textId="77777777" w:rsidR="00D10068" w:rsidRDefault="00A60423">
      <w:r>
        <w:t>IČO: 24213101</w:t>
      </w:r>
    </w:p>
    <w:p w14:paraId="7291B344" w14:textId="77777777" w:rsidR="00D10068" w:rsidRDefault="00A60423">
      <w:r>
        <w:t>zastoupená: PhDr. Ing. Jiřím Skuhrovcem, PhD., jednatel</w:t>
      </w:r>
    </w:p>
    <w:p w14:paraId="5A973834" w14:textId="77777777" w:rsidR="00D10068" w:rsidRDefault="00A60423">
      <w:r>
        <w:t xml:space="preserve">e-mail: </w:t>
      </w:r>
      <w:hyperlink r:id="rId7">
        <w:r>
          <w:rPr>
            <w:color w:val="1155CC"/>
            <w:u w:val="single"/>
          </w:rPr>
          <w:t>jiri.skuhrovec@datlab.eu</w:t>
        </w:r>
      </w:hyperlink>
      <w:r>
        <w:br/>
        <w:t xml:space="preserve">bankovní spojení: Raiffeisenbank a.s., </w:t>
      </w:r>
      <w:proofErr w:type="spellStart"/>
      <w:r>
        <w:t>č.ú</w:t>
      </w:r>
      <w:proofErr w:type="spellEnd"/>
      <w:r>
        <w:t>. 7045045001/5500</w:t>
      </w:r>
    </w:p>
    <w:p w14:paraId="76541082" w14:textId="77777777" w:rsidR="00D10068" w:rsidRDefault="00A60423">
      <w:r>
        <w:t>obchodní společnost zapsaná v obchodním rejstříku vedeném u Městského soudu v Praze, oddíl C, vložka 189197</w:t>
      </w:r>
    </w:p>
    <w:p w14:paraId="120A4177" w14:textId="77777777" w:rsidR="00D10068" w:rsidRDefault="00A60423">
      <w:pPr>
        <w:rPr>
          <w:i/>
        </w:rPr>
      </w:pPr>
      <w:r>
        <w:rPr>
          <w:i/>
        </w:rPr>
        <w:t>(dále jen “poskytovatel”)</w:t>
      </w:r>
      <w:bookmarkStart w:id="1" w:name="_e1gt1ojt2wfb" w:colFirst="0" w:colLast="0"/>
      <w:bookmarkEnd w:id="1"/>
    </w:p>
    <w:p w14:paraId="3C1CB886" w14:textId="77777777" w:rsidR="00D10068" w:rsidRPr="00A60423" w:rsidRDefault="00A60423">
      <w:pPr>
        <w:pStyle w:val="Nadpis4"/>
        <w:numPr>
          <w:ilvl w:val="0"/>
          <w:numId w:val="7"/>
        </w:numPr>
      </w:pPr>
      <w:r w:rsidRPr="00A60423">
        <w:t>Předmět smlouvy</w:t>
      </w:r>
    </w:p>
    <w:p w14:paraId="34DFCD90" w14:textId="69EE2198" w:rsidR="00D10068" w:rsidRDefault="00A60423">
      <w:pPr>
        <w:numPr>
          <w:ilvl w:val="0"/>
          <w:numId w:val="5"/>
        </w:numPr>
        <w:ind w:left="566"/>
        <w:jc w:val="both"/>
      </w:pPr>
      <w:r w:rsidRPr="00A60423">
        <w:t xml:space="preserve">Předmětem této smlouvy je závazek poskytovatele provést pro objednatele analýzu veřejně dostupných dat objednatele </w:t>
      </w:r>
      <w:r w:rsidR="00064C2D" w:rsidRPr="00A60423">
        <w:t>(včetně městských obvodů)</w:t>
      </w:r>
      <w:r w:rsidR="00064C2D" w:rsidRPr="00A60423">
        <w:rPr>
          <w:color w:val="FF0000"/>
        </w:rPr>
        <w:t xml:space="preserve"> </w:t>
      </w:r>
      <w:r w:rsidRPr="00A60423">
        <w:t>za období 1. 1. 2021 do 31. 12. 2023, spolu s poskytnutými interními účetními daty objednatele</w:t>
      </w:r>
      <w:r w:rsidR="00064C2D" w:rsidRPr="00A60423">
        <w:t xml:space="preserve"> (včetně městských obvodů)</w:t>
      </w:r>
      <w:r w:rsidRPr="00A60423">
        <w:t>, a to s cílem zmapovat vybraná rizika při nákupu zboží a služeb, zejména formou veřejných zakázek dle zákona č. 134/2016 Sb., o zadávání veřejných zakázek, a dále závazek poskytovatele poskytnout objednateli po sjednanou dobu oprávněný přístup do webové aplikace s názvem</w:t>
      </w:r>
      <w:r>
        <w:t xml:space="preserve"> </w:t>
      </w:r>
      <w:proofErr w:type="spellStart"/>
      <w:r>
        <w:t>Datlab</w:t>
      </w:r>
      <w:proofErr w:type="spellEnd"/>
      <w:r>
        <w:t xml:space="preserve"> Kontrola (dále jen „Webová aplikace“) (to celé dále jen „Plnění“). Předmětem této smlouvy je dále závazek objednatele zaplatit poskytovateli za řádně poskytnuté Plnění sjednanou cenu. </w:t>
      </w:r>
    </w:p>
    <w:p w14:paraId="08DDE1D6" w14:textId="77777777" w:rsidR="00D10068" w:rsidRDefault="00A60423">
      <w:pPr>
        <w:numPr>
          <w:ilvl w:val="0"/>
          <w:numId w:val="5"/>
        </w:numPr>
        <w:ind w:left="566"/>
        <w:jc w:val="both"/>
      </w:pPr>
      <w:r>
        <w:t>Poskytovatel prohlašuje, že předmět plnění této smlouvy odpovídá jeho podnikatelskému oprávnění, a disponuje potřebnou kvalifikací a kapacitami k řádnému a včasnému provedení díla dle této smlouvy. Tuto smlouvu uzavírá v postavení profesionála a zavazuje se postupovat při plnění této smlouvy s odbornou péčí.</w:t>
      </w:r>
    </w:p>
    <w:p w14:paraId="432D7E06" w14:textId="77777777" w:rsidR="00D10068" w:rsidRDefault="00A60423">
      <w:pPr>
        <w:pStyle w:val="Nadpis4"/>
        <w:numPr>
          <w:ilvl w:val="0"/>
          <w:numId w:val="7"/>
        </w:numPr>
      </w:pPr>
      <w:bookmarkStart w:id="2" w:name="_eagxio7oms4d" w:colFirst="0" w:colLast="0"/>
      <w:bookmarkEnd w:id="2"/>
      <w:r>
        <w:lastRenderedPageBreak/>
        <w:t>Provedení analýzy</w:t>
      </w:r>
    </w:p>
    <w:p w14:paraId="43487742" w14:textId="77777777" w:rsidR="00D10068" w:rsidRDefault="00A60423">
      <w:pPr>
        <w:numPr>
          <w:ilvl w:val="0"/>
          <w:numId w:val="1"/>
        </w:numPr>
        <w:ind w:left="566"/>
        <w:jc w:val="both"/>
      </w:pPr>
      <w:r>
        <w:t xml:space="preserve">Veřejně dostupná data objednatele budou poskytovatelem zpracována, vyčištěna a doplněna o interní údaje objednatele a další údaje z databází dodavatele a partnerské společnosti </w:t>
      </w:r>
      <w:proofErr w:type="gramStart"/>
      <w:r>
        <w:t>CRIF - Czech</w:t>
      </w:r>
      <w:proofErr w:type="gramEnd"/>
      <w:r>
        <w:t xml:space="preserve"> </w:t>
      </w:r>
      <w:proofErr w:type="spellStart"/>
      <w:r>
        <w:t>Credit</w:t>
      </w:r>
      <w:proofErr w:type="spellEnd"/>
      <w:r>
        <w:t xml:space="preserve"> </w:t>
      </w:r>
      <w:proofErr w:type="spellStart"/>
      <w:r>
        <w:t>Bureau</w:t>
      </w:r>
      <w:proofErr w:type="spellEnd"/>
      <w:r>
        <w:t>, a.s. Zpracovány a analyzovány budou především údaje z Věstníku veřejných zakázek, profilu zadavatele, registru smluv a dalších veřejných rejstříků.</w:t>
      </w:r>
    </w:p>
    <w:p w14:paraId="4E13F8F7" w14:textId="77777777" w:rsidR="00D10068" w:rsidRDefault="00A60423">
      <w:pPr>
        <w:numPr>
          <w:ilvl w:val="0"/>
          <w:numId w:val="1"/>
        </w:numPr>
        <w:ind w:left="566"/>
        <w:jc w:val="both"/>
      </w:pPr>
      <w:r>
        <w:t xml:space="preserve">Poskytovatel se při zpracování analýzy </w:t>
      </w:r>
      <w:proofErr w:type="gramStart"/>
      <w:r>
        <w:t>zaměří</w:t>
      </w:r>
      <w:proofErr w:type="gramEnd"/>
      <w:r>
        <w:t xml:space="preserve"> především na následující rizika ve vztahu k objednateli.</w:t>
      </w:r>
    </w:p>
    <w:p w14:paraId="6F42FB56" w14:textId="77777777" w:rsidR="00D10068" w:rsidRDefault="00A60423">
      <w:pPr>
        <w:numPr>
          <w:ilvl w:val="1"/>
          <w:numId w:val="1"/>
        </w:numPr>
        <w:jc w:val="both"/>
      </w:pPr>
      <w:r>
        <w:t>Vyhodnocení dostupnosti a chybovosti dat křížovou kontrolou Věstníku veřejných zakázek a profilů zadavatele. Zjištěné nedostatky mohou negativně ovlivnit další výstupy Kontroly.</w:t>
      </w:r>
    </w:p>
    <w:p w14:paraId="77B109C0" w14:textId="77777777" w:rsidR="00D10068" w:rsidRDefault="00A60423">
      <w:pPr>
        <w:numPr>
          <w:ilvl w:val="1"/>
          <w:numId w:val="1"/>
        </w:numPr>
        <w:jc w:val="both"/>
      </w:pPr>
      <w:r>
        <w:t xml:space="preserve">Porušení zákona o zadávání veřejných zakázek, jakož i interních předpisů objednatele, tedy identifikace veřejných zakázek, v nichž objednatel uhradil cenu </w:t>
      </w:r>
      <w:proofErr w:type="gramStart"/>
      <w:r>
        <w:t>vyšší</w:t>
      </w:r>
      <w:proofErr w:type="gramEnd"/>
      <w:r>
        <w:t xml:space="preserve"> než odpovídalo výsledku zadávacího řízení a postupoval přitom v rozporu se zákonem o zadávání veřejných zakázek, případně zadal veřejnou zakázku mimo druh řízení odpovídající její předpokládané hodnotě. Budou porovnána plnění dle profilu zadavatele, Věstníku veřejných zakázek, registru smluv a fakturačních dat, vyhodnoceny rizikové vztahy s odběrateli.</w:t>
      </w:r>
    </w:p>
    <w:p w14:paraId="5DD00029" w14:textId="77777777" w:rsidR="00D10068" w:rsidRDefault="00A60423">
      <w:pPr>
        <w:numPr>
          <w:ilvl w:val="1"/>
          <w:numId w:val="1"/>
        </w:numPr>
        <w:jc w:val="both"/>
      </w:pPr>
      <w:r>
        <w:t>Nedostatky při zveřejňování smluv v registru smluv, tedy především smlouvy zcela neuveřejněné nebo uveřejněné v rozporu se zákonem či relevantní metodikou (především nedostatečná identifikace smluvních stran či hodnoty smlouvy).</w:t>
      </w:r>
    </w:p>
    <w:p w14:paraId="0FA31703" w14:textId="77777777" w:rsidR="00D10068" w:rsidRDefault="00A60423">
      <w:pPr>
        <w:numPr>
          <w:ilvl w:val="1"/>
          <w:numId w:val="1"/>
        </w:numPr>
        <w:jc w:val="both"/>
      </w:pPr>
      <w:r>
        <w:t>Analýza omezování konkurence na jednotlivých trzích, kdy formou zjednodušených podlimitních řízení a zakázek malého rozsahu je bez ekonomického důvodu dlouhodobě oslovován jen omezený okruh dodavatelů. Dále budou identifikováni dodavatelé, kteří mohou podávat nabídku v součinnosti s vybraným dodavatelem bez zájmu zakázku dodávat.</w:t>
      </w:r>
    </w:p>
    <w:p w14:paraId="7EB69A10" w14:textId="77777777" w:rsidR="00D10068" w:rsidRDefault="00A60423">
      <w:pPr>
        <w:numPr>
          <w:ilvl w:val="1"/>
          <w:numId w:val="1"/>
        </w:numPr>
        <w:jc w:val="both"/>
      </w:pPr>
      <w:r>
        <w:t xml:space="preserve">Vyhodnocení rizik u jednotlivých dodavatelů a plnění – tedy rizikových ukazatelů typu založení subjektu těsně před zakázkou, insolvence, dary politickým stranám, vazby na politické strany, hromadné sídlo, 0 zaměstnanců dle ČSÚ či </w:t>
      </w:r>
      <w:proofErr w:type="spellStart"/>
      <w:r>
        <w:t>offshore</w:t>
      </w:r>
      <w:proofErr w:type="spellEnd"/>
      <w:r>
        <w:t xml:space="preserve"> vlastník.</w:t>
      </w:r>
    </w:p>
    <w:p w14:paraId="3E415F0F" w14:textId="77777777" w:rsidR="00D10068" w:rsidRDefault="00A60423">
      <w:pPr>
        <w:numPr>
          <w:ilvl w:val="1"/>
          <w:numId w:val="1"/>
        </w:numPr>
        <w:jc w:val="both"/>
      </w:pPr>
      <w:r>
        <w:t xml:space="preserve">Aplikace protiruských sankcí. Bude ověřen seznam všech dodavatelů objednatele proti databázi potenciálních subjektů protiruských sankcí, jejímž je poskytovatel autorem. </w:t>
      </w:r>
    </w:p>
    <w:p w14:paraId="6CE8970A" w14:textId="77777777" w:rsidR="00D10068" w:rsidRDefault="00A60423">
      <w:pPr>
        <w:numPr>
          <w:ilvl w:val="0"/>
          <w:numId w:val="1"/>
        </w:numPr>
        <w:ind w:left="566"/>
        <w:jc w:val="both"/>
      </w:pPr>
      <w:r>
        <w:t xml:space="preserve">Výstupem analýzy bude: </w:t>
      </w:r>
    </w:p>
    <w:p w14:paraId="31F75D9C" w14:textId="77777777" w:rsidR="00D10068" w:rsidRDefault="00A60423">
      <w:pPr>
        <w:numPr>
          <w:ilvl w:val="1"/>
          <w:numId w:val="1"/>
        </w:numPr>
        <w:jc w:val="both"/>
      </w:pPr>
      <w:r>
        <w:t>zajištění a technická podpora nepřetržitého přístupu objednatele do Webové aplikace (po dobu sjednanou v této smlouvě) za účelem procházení rizik a dodavatelů,</w:t>
      </w:r>
    </w:p>
    <w:p w14:paraId="79CEF0A0" w14:textId="77777777" w:rsidR="00D10068" w:rsidRDefault="00A60423">
      <w:pPr>
        <w:numPr>
          <w:ilvl w:val="1"/>
          <w:numId w:val="1"/>
        </w:numPr>
        <w:jc w:val="both"/>
      </w:pPr>
      <w:r>
        <w:t>datová příloha (úplný výčet rizik, přehledové statistiky, vytipovaný vzorek významných rizik k hlubšímu prověření) (dále jen „Datová příloha“),</w:t>
      </w:r>
    </w:p>
    <w:p w14:paraId="12F22ADB" w14:textId="77777777" w:rsidR="00D10068" w:rsidRDefault="00A60423">
      <w:pPr>
        <w:numPr>
          <w:ilvl w:val="1"/>
          <w:numId w:val="1"/>
        </w:numPr>
        <w:jc w:val="both"/>
      </w:pPr>
      <w:r>
        <w:t>závěrečná zpráva shrnující zjištěná rizika a výstupy z jejich prověření (dále jen „Závěrečná zpráva“).</w:t>
      </w:r>
    </w:p>
    <w:p w14:paraId="6F62C96E" w14:textId="77777777" w:rsidR="00D10068" w:rsidRDefault="00A60423">
      <w:pPr>
        <w:numPr>
          <w:ilvl w:val="0"/>
          <w:numId w:val="1"/>
        </w:numPr>
        <w:jc w:val="both"/>
      </w:pPr>
      <w:r>
        <w:t xml:space="preserve">Z povahy předmětu Datové přílohy a Závěrečné zprávy, obsahující shrnutí analýzy rizik založených mj. na veřejných a často chybových datech, poskytovatel neodpovídá za věcnou správnost výstupů, zejména za faktická naplnění povahy jednotlivých rizik. Objednatel bere na vědomí, že Plnění dle této smlouvy poskytuje pouze podněty či náměty k detailnímu prošetření konkrétních problémů a zhodnocení celkového rizika. </w:t>
      </w:r>
      <w:r>
        <w:lastRenderedPageBreak/>
        <w:t>Tyto inherentně obsahují nejistotu ohledně faktického stavu věcí a samy o sobě je nelze použít k jinému účelu.</w:t>
      </w:r>
    </w:p>
    <w:p w14:paraId="3BD671CE" w14:textId="77777777" w:rsidR="00D10068" w:rsidRDefault="00A60423">
      <w:pPr>
        <w:pStyle w:val="Nadpis4"/>
        <w:numPr>
          <w:ilvl w:val="0"/>
          <w:numId w:val="7"/>
        </w:numPr>
      </w:pPr>
      <w:bookmarkStart w:id="3" w:name="_z6dc1pxna4wh" w:colFirst="0" w:colLast="0"/>
      <w:bookmarkEnd w:id="3"/>
      <w:r>
        <w:t>Součinnost objednatele</w:t>
      </w:r>
    </w:p>
    <w:p w14:paraId="2CD8B498" w14:textId="77777777" w:rsidR="00D10068" w:rsidRDefault="00A60423">
      <w:pPr>
        <w:numPr>
          <w:ilvl w:val="0"/>
          <w:numId w:val="12"/>
        </w:numPr>
        <w:ind w:left="566"/>
        <w:jc w:val="both"/>
      </w:pPr>
      <w:r>
        <w:t xml:space="preserve">Objednatel poskytne do 14 dnů od data účinnosti této smlouvy poskytovateli následující: </w:t>
      </w:r>
    </w:p>
    <w:p w14:paraId="1094ED02" w14:textId="77777777" w:rsidR="00D10068" w:rsidRDefault="00A60423">
      <w:pPr>
        <w:numPr>
          <w:ilvl w:val="0"/>
          <w:numId w:val="11"/>
        </w:numPr>
        <w:jc w:val="both"/>
      </w:pPr>
      <w:r>
        <w:t>export účetních dat, který věrně zachycuje informaci o platbách dodavatelům (typicky kniha došlých faktur, účet 321). Tento export by měl obsahovat zejména identifikaci dodavatele (název, IČO), částky s a bez DPH, datum provedení plnění a datum fakturace, volitelně i text faktury a identifikaci související veřejné zakázky nebo smlouvy;</w:t>
      </w:r>
    </w:p>
    <w:p w14:paraId="3C552BA3" w14:textId="77777777" w:rsidR="00D10068" w:rsidRDefault="00A60423">
      <w:pPr>
        <w:numPr>
          <w:ilvl w:val="0"/>
          <w:numId w:val="11"/>
        </w:numPr>
        <w:jc w:val="both"/>
      </w:pPr>
      <w:r>
        <w:t>v elektronické podobě vnitřní směrnice a nařízení relevantní pro zadávání veřejných zakázek, případně její významné historické verze platné ve zkoumaném období. Jde zejména o hranice pro povinnou soutěž, uveřejnění, formulaci výjimek apod.</w:t>
      </w:r>
    </w:p>
    <w:p w14:paraId="2A77D1C0" w14:textId="77777777" w:rsidR="00D10068" w:rsidRDefault="00A60423">
      <w:pPr>
        <w:numPr>
          <w:ilvl w:val="0"/>
          <w:numId w:val="12"/>
        </w:numPr>
        <w:ind w:left="566"/>
        <w:jc w:val="both"/>
      </w:pPr>
      <w:r>
        <w:t xml:space="preserve">Další postup, zejména při vypořádání rizik, bude stanoven podle dohody smluvních stran. </w:t>
      </w:r>
    </w:p>
    <w:p w14:paraId="51B67BCE" w14:textId="77777777" w:rsidR="00D10068" w:rsidRDefault="00A60423">
      <w:pPr>
        <w:pStyle w:val="Nadpis4"/>
        <w:numPr>
          <w:ilvl w:val="0"/>
          <w:numId w:val="7"/>
        </w:numPr>
        <w:ind w:left="2267"/>
      </w:pPr>
      <w:bookmarkStart w:id="4" w:name="_g1l6y8124t2p" w:colFirst="0" w:colLast="0"/>
      <w:bookmarkEnd w:id="4"/>
      <w:r>
        <w:t>Termín a místo plnění</w:t>
      </w:r>
    </w:p>
    <w:p w14:paraId="60B86B7F" w14:textId="77777777" w:rsidR="00D10068" w:rsidRDefault="00A60423">
      <w:pPr>
        <w:numPr>
          <w:ilvl w:val="0"/>
          <w:numId w:val="2"/>
        </w:numPr>
        <w:ind w:left="566"/>
        <w:jc w:val="both"/>
      </w:pPr>
      <w:r>
        <w:t>Hlavní výstupy analýzy (přístup do Webové aplikace a Datová příloha) budou poskytnuty nejpozději 3 týdny od účinnosti této smlouvy, nebo od úplného poskytnutí dat uvedených v článku III objednatelem, podle toho, který okamžik nastane později.</w:t>
      </w:r>
    </w:p>
    <w:p w14:paraId="1E00C2ED" w14:textId="77777777" w:rsidR="00D10068" w:rsidRDefault="00A60423">
      <w:pPr>
        <w:numPr>
          <w:ilvl w:val="0"/>
          <w:numId w:val="2"/>
        </w:numPr>
        <w:ind w:left="566"/>
        <w:jc w:val="both"/>
      </w:pPr>
      <w:r>
        <w:t>Poskytovatel se zavazuje zajistit nepřetržitou technickou dostupnost Webové aplikace po dobu 6 měsíců (24 hodin denně 7 dnů v týdnu) od poskytnutí přístupu do Webové aplikace.</w:t>
      </w:r>
    </w:p>
    <w:p w14:paraId="1E42C522" w14:textId="10159324" w:rsidR="00D10068" w:rsidRPr="009D3808" w:rsidRDefault="00A60423">
      <w:pPr>
        <w:numPr>
          <w:ilvl w:val="0"/>
          <w:numId w:val="2"/>
        </w:numPr>
        <w:ind w:left="566"/>
        <w:jc w:val="both"/>
      </w:pPr>
      <w:r>
        <w:t xml:space="preserve">V následujících 2 měsících po poskytnutí Datové přílohy a přístupu do Webové aplikace má objednatel nárok na vypořádání jednotlivých zjištění vzešlých z Plnění a přípravu shrnutí do Závěrečné zprávy. </w:t>
      </w:r>
      <w:r w:rsidRPr="009D3808">
        <w:t>Časová dotace těchto prací nepřesáhne 11 člověkodnů.</w:t>
      </w:r>
    </w:p>
    <w:p w14:paraId="02916453" w14:textId="77777777" w:rsidR="00D10068" w:rsidRDefault="00A60423">
      <w:pPr>
        <w:numPr>
          <w:ilvl w:val="0"/>
          <w:numId w:val="2"/>
        </w:numPr>
        <w:ind w:left="566"/>
        <w:jc w:val="both"/>
      </w:pPr>
      <w:r>
        <w:t>Po ukončení vypořádání podle předchozího odstavce, nejpozději však do 3 měsíců od poskytnutí dat uvedených v článku III odst. 1 této smlouvy, předá poskytovatel objednateli Závěrečnou zprávu. V případě zájmu představí poskytovatel hlavní závěry vedení objednatele, a to v součinnosti s osobami provádějícími vypořádání.</w:t>
      </w:r>
    </w:p>
    <w:p w14:paraId="1EC275C2" w14:textId="3F245A94" w:rsidR="00D10068" w:rsidRDefault="00A60423">
      <w:pPr>
        <w:numPr>
          <w:ilvl w:val="0"/>
          <w:numId w:val="2"/>
        </w:numPr>
        <w:ind w:left="566"/>
        <w:jc w:val="both"/>
      </w:pPr>
      <w:r>
        <w:t xml:space="preserve">Pokud se strany nedohodnou jinak, nebude výstup </w:t>
      </w:r>
      <w:proofErr w:type="gramStart"/>
      <w:r w:rsidR="002F68D1">
        <w:t>p</w:t>
      </w:r>
      <w:r>
        <w:t>lnění</w:t>
      </w:r>
      <w:proofErr w:type="gramEnd"/>
      <w:r>
        <w:t xml:space="preserve"> jakkoliv měněn a ve formě Webové aplikace bude dostupný nejméně po dobu 6 měsíců od poskytnutí přístupového linku do Webové aplikace. Po uplynutí doby poskytnutí licence přístupu do Webové aplikace může být služba pro objednatele deaktivována, pokud se smluvní strany nedohodnou jinak.</w:t>
      </w:r>
    </w:p>
    <w:p w14:paraId="252C5066" w14:textId="77777777" w:rsidR="00D10068" w:rsidRDefault="00A60423">
      <w:pPr>
        <w:pStyle w:val="Nadpis4"/>
        <w:numPr>
          <w:ilvl w:val="0"/>
          <w:numId w:val="7"/>
        </w:numPr>
        <w:ind w:left="2267"/>
      </w:pPr>
      <w:bookmarkStart w:id="5" w:name="_mqqy7kr5hdxi" w:colFirst="0" w:colLast="0"/>
      <w:bookmarkEnd w:id="5"/>
      <w:r>
        <w:t>Cena díla, platební podmínky</w:t>
      </w:r>
    </w:p>
    <w:p w14:paraId="30151706" w14:textId="58F36D43" w:rsidR="00D10068" w:rsidRDefault="00A60423">
      <w:pPr>
        <w:numPr>
          <w:ilvl w:val="0"/>
          <w:numId w:val="8"/>
        </w:numPr>
        <w:ind w:left="566"/>
        <w:jc w:val="both"/>
      </w:pPr>
      <w:r w:rsidRPr="00A60423">
        <w:t xml:space="preserve">Smluvní strany si sjednávají celkovou cenu ve výši </w:t>
      </w:r>
      <w:r w:rsidR="00612A6B" w:rsidRPr="00A60423">
        <w:t>449 000 Kč</w:t>
      </w:r>
      <w:r w:rsidRPr="00A60423">
        <w:t xml:space="preserve"> </w:t>
      </w:r>
      <w:r w:rsidR="00FA142C" w:rsidRPr="00A60423">
        <w:t xml:space="preserve">(slovy </w:t>
      </w:r>
      <w:proofErr w:type="spellStart"/>
      <w:r w:rsidR="00FA142C" w:rsidRPr="00A60423">
        <w:t>čtyřistačtyřicetdevět</w:t>
      </w:r>
      <w:proofErr w:type="spellEnd"/>
      <w:r w:rsidR="00FA142C" w:rsidRPr="00A60423">
        <w:t xml:space="preserve"> tisíc korun českých) </w:t>
      </w:r>
      <w:r w:rsidRPr="00A60423">
        <w:t>bez DPH (dále jen “celková cena”). K této částce bude připočtena DPH ve výši platné ke dni zdanitelného</w:t>
      </w:r>
      <w:r>
        <w:t xml:space="preserve"> plnění. </w:t>
      </w:r>
    </w:p>
    <w:p w14:paraId="3420FCF9" w14:textId="77777777" w:rsidR="00D10068" w:rsidRDefault="00A60423">
      <w:pPr>
        <w:numPr>
          <w:ilvl w:val="0"/>
          <w:numId w:val="8"/>
        </w:numPr>
        <w:ind w:left="566"/>
        <w:jc w:val="both"/>
      </w:pPr>
      <w:r>
        <w:t>Uvedená cena je stanovena jako cena konečná, maximální a nejvýše přípustná. Zahrnuje veškeré náklady poskytovatele na provedení díla dle této smlouvy.</w:t>
      </w:r>
    </w:p>
    <w:p w14:paraId="7095B458" w14:textId="77777777" w:rsidR="00D10068" w:rsidRDefault="00A60423">
      <w:pPr>
        <w:numPr>
          <w:ilvl w:val="0"/>
          <w:numId w:val="8"/>
        </w:numPr>
        <w:ind w:left="566"/>
        <w:jc w:val="both"/>
      </w:pPr>
      <w:r>
        <w:lastRenderedPageBreak/>
        <w:t>Změna ceny Plnění je možná v případě dohody smluvních stran o změně rozsahu Plnění formou dodatku této smlouvy, kdy součástí této dohody bude i dopad změny rozsahu na cenu jednotlivých složek Plnění. Jinak platí, že změna rozsahu Plnění (nad rámec sjednaného v této smlouvě) nemá na cenu Plnění dle článku V této smlouvy vliv.</w:t>
      </w:r>
    </w:p>
    <w:p w14:paraId="3A3496A5" w14:textId="77777777" w:rsidR="00D10068" w:rsidRDefault="00A60423">
      <w:pPr>
        <w:numPr>
          <w:ilvl w:val="0"/>
          <w:numId w:val="8"/>
        </w:numPr>
        <w:ind w:left="566"/>
        <w:jc w:val="both"/>
      </w:pPr>
      <w:r>
        <w:t>Poskytovatel je oprávněn vystavit daňový doklad (dále také jen „faktura“) na cenu podle článku V této smlouvy až po úspěšné akceptaci předmětu Plnění dle této smlouvy ze strany objednatele, o které bude sepsán předávací protokol.</w:t>
      </w:r>
    </w:p>
    <w:p w14:paraId="0E840964" w14:textId="77777777" w:rsidR="00D10068" w:rsidRDefault="00A60423">
      <w:pPr>
        <w:numPr>
          <w:ilvl w:val="0"/>
          <w:numId w:val="8"/>
        </w:numPr>
        <w:ind w:left="566"/>
        <w:jc w:val="both"/>
      </w:pPr>
      <w:r>
        <w:t>Cena za Plnění bude uhrazena na základě daňového dokladu (faktury) řádně vystaveného poskytovatelem po předání a převzetí všech výstupů Plnění.</w:t>
      </w:r>
    </w:p>
    <w:p w14:paraId="7A6905CF" w14:textId="77777777" w:rsidR="00D10068" w:rsidRDefault="00A60423">
      <w:pPr>
        <w:numPr>
          <w:ilvl w:val="0"/>
          <w:numId w:val="8"/>
        </w:numPr>
        <w:ind w:left="566"/>
        <w:jc w:val="both"/>
      </w:pPr>
      <w:r>
        <w:t>Lhůta splatnosti faktury je 21 dnů ode dne jejího elektronického doručení objednateli.</w:t>
      </w:r>
    </w:p>
    <w:p w14:paraId="2A10D727" w14:textId="77777777" w:rsidR="00D10068" w:rsidRDefault="00A60423">
      <w:pPr>
        <w:numPr>
          <w:ilvl w:val="0"/>
          <w:numId w:val="8"/>
        </w:numPr>
        <w:ind w:left="566"/>
        <w:jc w:val="both"/>
      </w:pPr>
      <w:r>
        <w:t xml:space="preserve">Faktura musí splňovat veškeré náležitosti řádného daňového a účetního dokladu, zejména ve smyslu zákona č. 563/1991 Sb., o účetnictví, ve znění pozdějších předpisů, zákona č. 235/2004 Sb., o dani z přidané hodnoty, ve znění pozdějších předpisů (dále jen „zákon o dani z přidané hodnoty“). V opačném případě je objednatel oprávněn fakturu ve lhůtě splatnosti vrátit. V takovém případě lhůta splatnosti </w:t>
      </w:r>
      <w:proofErr w:type="gramStart"/>
      <w:r>
        <w:t>neběží</w:t>
      </w:r>
      <w:proofErr w:type="gramEnd"/>
      <w:r>
        <w:t xml:space="preserve"> a nová lhůta začne běžet až ode dne doručení nové/opravené faktury objednateli.</w:t>
      </w:r>
    </w:p>
    <w:p w14:paraId="631ABDDF" w14:textId="77777777" w:rsidR="00D10068" w:rsidRDefault="00A60423">
      <w:pPr>
        <w:pStyle w:val="Nadpis4"/>
        <w:numPr>
          <w:ilvl w:val="0"/>
          <w:numId w:val="7"/>
        </w:numPr>
        <w:ind w:left="2267"/>
      </w:pPr>
      <w:bookmarkStart w:id="6" w:name="_ack6t5g6br8c" w:colFirst="0" w:colLast="0"/>
      <w:bookmarkEnd w:id="6"/>
      <w:r>
        <w:t>Licenční ujednání</w:t>
      </w:r>
    </w:p>
    <w:p w14:paraId="13F2F186" w14:textId="77777777" w:rsidR="00D10068" w:rsidRDefault="00A60423">
      <w:pPr>
        <w:numPr>
          <w:ilvl w:val="0"/>
          <w:numId w:val="3"/>
        </w:numPr>
        <w:ind w:left="566"/>
        <w:jc w:val="both"/>
      </w:pPr>
      <w:r>
        <w:t>Poskytovatel prohlašuje, že je oprávněn vykonávat majetková práva k aplikaci a databázi (Webová aplikace), do které zajišťuje a poskytuje objednateli na základě této smlouvy přístup po sjednanou dobu.</w:t>
      </w:r>
    </w:p>
    <w:p w14:paraId="6A286F87" w14:textId="77777777" w:rsidR="00D10068" w:rsidRDefault="00A60423">
      <w:pPr>
        <w:numPr>
          <w:ilvl w:val="0"/>
          <w:numId w:val="3"/>
        </w:numPr>
        <w:ind w:left="566"/>
        <w:jc w:val="both"/>
      </w:pPr>
      <w:r>
        <w:t>Poskytovatel poskytuje objednateli na základě této smlouvy úplatné nevýhradní oprávnění (nevýhradní licenci) k přístupu do Webové aplikace za účelem jejího používání (včetně veškerých aktualizací), a to na dobu trvání 6 měsíců od poskytnutí přístupu do Webové aplikace pro objednatele bez ohledu na počet koncových uživatelů. Tato licence není územně omezena. Tato licence je poskytnuta ke všem způsobům užití Webové aplikace dle potřeb objednatele a podle účelu, ke kterému je určena.</w:t>
      </w:r>
    </w:p>
    <w:p w14:paraId="2C4B83AF" w14:textId="77777777" w:rsidR="00D10068" w:rsidRDefault="00A60423">
      <w:pPr>
        <w:numPr>
          <w:ilvl w:val="0"/>
          <w:numId w:val="3"/>
        </w:numPr>
        <w:ind w:left="566"/>
        <w:jc w:val="both"/>
      </w:pPr>
      <w:r>
        <w:t>Licence k přístupu do Webové aplikace je nepřevoditelná.</w:t>
      </w:r>
    </w:p>
    <w:p w14:paraId="68078ACB" w14:textId="77777777" w:rsidR="00D10068" w:rsidRDefault="00A60423">
      <w:pPr>
        <w:pStyle w:val="Nadpis4"/>
        <w:numPr>
          <w:ilvl w:val="0"/>
          <w:numId w:val="7"/>
        </w:numPr>
        <w:ind w:left="2267"/>
      </w:pPr>
      <w:bookmarkStart w:id="7" w:name="_kfnm2eo0fr49" w:colFirst="0" w:colLast="0"/>
      <w:bookmarkEnd w:id="7"/>
      <w:r>
        <w:t>Důvěrné informace, ochrana osobních údajů</w:t>
      </w:r>
    </w:p>
    <w:p w14:paraId="04646CC2" w14:textId="77777777" w:rsidR="00D10068" w:rsidRDefault="00A60423">
      <w:pPr>
        <w:numPr>
          <w:ilvl w:val="0"/>
          <w:numId w:val="9"/>
        </w:numPr>
        <w:ind w:left="566"/>
        <w:jc w:val="both"/>
      </w:pPr>
      <w:r>
        <w:t>V případě, že bude při plnění předmětu smlouvy docházet ke zpracování osobních údajů, je tato smlouva zároveň smlouvou o zpracování osobních údajů ve smyslu nařízení Evropského parlamentu a Rady (EU) 2016/679 ze dne 27. dubna 2016 o ochraně fyzických osob v souvislosti se zpracováním osobních údajů a volném pohybu těchto údajů (dále jen „nařízení GDPR“) a ve smyslu zákona č. 110/2019 Sb., o zpracování osobních údajů. Poskytovatel má pro účely ochrany osobních údajů postavení zpracovatele a je povinen splnit všechny povinnosti z toho vyplývající.</w:t>
      </w:r>
    </w:p>
    <w:p w14:paraId="1BAD0E3E" w14:textId="77777777" w:rsidR="00D10068" w:rsidRDefault="00A60423">
      <w:pPr>
        <w:numPr>
          <w:ilvl w:val="0"/>
          <w:numId w:val="9"/>
        </w:numPr>
        <w:ind w:left="566"/>
        <w:jc w:val="both"/>
      </w:pPr>
      <w:r>
        <w:t>Poskytovatel je oprávněn zpracovávat osobní údaje pouze za účelem plnění této smlouvy a v rozsahu nezbytně nutném pro plnění této smlouvy.</w:t>
      </w:r>
    </w:p>
    <w:p w14:paraId="59082A1A" w14:textId="77777777" w:rsidR="00D10068" w:rsidRDefault="00A60423">
      <w:pPr>
        <w:numPr>
          <w:ilvl w:val="0"/>
          <w:numId w:val="9"/>
        </w:numPr>
        <w:ind w:left="566"/>
        <w:jc w:val="both"/>
      </w:pPr>
      <w:r>
        <w:t>Poskytovatel učiní v souladu s platnými právními předpisy dostatečná organizační a technická opatření k ochraně osobních údajů před jejich zničením, ztrátou, změnou nebo neoprávněnému poskytnutí či zpřístupnění.</w:t>
      </w:r>
    </w:p>
    <w:p w14:paraId="29440F86" w14:textId="77777777" w:rsidR="00D10068" w:rsidRDefault="00A60423">
      <w:pPr>
        <w:pStyle w:val="Nadpis4"/>
        <w:numPr>
          <w:ilvl w:val="0"/>
          <w:numId w:val="7"/>
        </w:numPr>
        <w:ind w:left="2267"/>
      </w:pPr>
      <w:bookmarkStart w:id="8" w:name="_mcubvluweg8l" w:colFirst="0" w:colLast="0"/>
      <w:bookmarkEnd w:id="8"/>
      <w:r>
        <w:lastRenderedPageBreak/>
        <w:t>Sankce</w:t>
      </w:r>
    </w:p>
    <w:p w14:paraId="3314469F" w14:textId="77777777" w:rsidR="00D10068" w:rsidRDefault="00A60423">
      <w:pPr>
        <w:numPr>
          <w:ilvl w:val="0"/>
          <w:numId w:val="10"/>
        </w:numPr>
        <w:ind w:left="566"/>
        <w:jc w:val="both"/>
        <w:rPr>
          <w:color w:val="000000"/>
        </w:rPr>
      </w:pPr>
      <w:r>
        <w:t>V případě prodlení poskytovatele s plněním ve lhůtách podle článku IV odst. 1 nebo podle článku IV odst. 4 této smlouvy vzniká objednateli právo na smluvní pokutu ve výši 0,2 % ceny bez DPH za provedení díla (dle čl. V odst. 1 této smlouvy), a to za každý i započatý den prodlení.</w:t>
      </w:r>
    </w:p>
    <w:p w14:paraId="2BE60B6B" w14:textId="77777777" w:rsidR="00D10068" w:rsidRDefault="00A60423">
      <w:pPr>
        <w:numPr>
          <w:ilvl w:val="0"/>
          <w:numId w:val="10"/>
        </w:numPr>
        <w:ind w:left="566"/>
        <w:jc w:val="both"/>
        <w:rPr>
          <w:color w:val="000000"/>
        </w:rPr>
      </w:pPr>
      <w:r>
        <w:t>Smluvní pokuta je splatná 30. dne ode dne doručení písemné výzvy k jejímu zaplacení.</w:t>
      </w:r>
    </w:p>
    <w:p w14:paraId="3350D08D" w14:textId="77777777" w:rsidR="00D10068" w:rsidRDefault="00A60423">
      <w:pPr>
        <w:numPr>
          <w:ilvl w:val="0"/>
          <w:numId w:val="10"/>
        </w:numPr>
        <w:ind w:left="566"/>
        <w:jc w:val="both"/>
        <w:rPr>
          <w:color w:val="000000"/>
        </w:rPr>
      </w:pPr>
      <w:r>
        <w:t>Zaplacení smluvní pokuty nezbavuje poskytovatele povinnosti splnit závazek k řádnému splnění stanovenému touto smlouvou a povinnosti nahradit případně vzniklou škodu v plné výši z porušení povinnosti, ke kterému se smluvní pokuta vztahuje.</w:t>
      </w:r>
    </w:p>
    <w:p w14:paraId="3E5D9268" w14:textId="77777777" w:rsidR="00D10068" w:rsidRDefault="00A60423">
      <w:pPr>
        <w:numPr>
          <w:ilvl w:val="0"/>
          <w:numId w:val="10"/>
        </w:numPr>
        <w:ind w:left="566"/>
        <w:jc w:val="both"/>
        <w:rPr>
          <w:color w:val="000000"/>
        </w:rPr>
      </w:pPr>
      <w:r>
        <w:t>V případě prodlení objednatele s úhradou faktury dle řádně poskytnutého plnění dle této smlouvy je poskytovatel oprávněn požadovat úhradu úroku z prodlení ve výši stanovené příslušnými právními předpisy.</w:t>
      </w:r>
    </w:p>
    <w:p w14:paraId="26C669D0" w14:textId="77777777" w:rsidR="00D10068" w:rsidRDefault="00A60423">
      <w:pPr>
        <w:pStyle w:val="Nadpis4"/>
        <w:numPr>
          <w:ilvl w:val="0"/>
          <w:numId w:val="7"/>
        </w:numPr>
        <w:ind w:left="2267"/>
      </w:pPr>
      <w:bookmarkStart w:id="9" w:name="_wttxuhnrchvg" w:colFirst="0" w:colLast="0"/>
      <w:bookmarkEnd w:id="9"/>
      <w:r>
        <w:t>Závěrečná ustanovení</w:t>
      </w:r>
    </w:p>
    <w:p w14:paraId="24D615B9" w14:textId="77777777" w:rsidR="00D10068" w:rsidRDefault="00A60423">
      <w:pPr>
        <w:numPr>
          <w:ilvl w:val="0"/>
          <w:numId w:val="13"/>
        </w:numPr>
        <w:ind w:left="566"/>
        <w:jc w:val="both"/>
      </w:pPr>
      <w: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440C26C9" w14:textId="77777777" w:rsidR="00D10068" w:rsidRDefault="00A60423">
      <w:pPr>
        <w:numPr>
          <w:ilvl w:val="0"/>
          <w:numId w:val="13"/>
        </w:numPr>
        <w:ind w:left="566"/>
        <w:jc w:val="both"/>
      </w:pPr>
      <w:r>
        <w:t xml:space="preserve">Při užívání webové aplikace se subsidiárně použijí Obchodní a provozní podmínky služby </w:t>
      </w:r>
      <w:proofErr w:type="spellStart"/>
      <w:r>
        <w:t>Datlab</w:t>
      </w:r>
      <w:proofErr w:type="spellEnd"/>
      <w:r>
        <w:t xml:space="preserve"> Kontrola. V případě rozporu těchto Obchodních a provozních podmínek s touto smlouvou mají přednost ustanovení smlouvy.</w:t>
      </w:r>
    </w:p>
    <w:p w14:paraId="2138B8ED" w14:textId="77777777" w:rsidR="00D10068" w:rsidRDefault="00A60423">
      <w:pPr>
        <w:numPr>
          <w:ilvl w:val="0"/>
          <w:numId w:val="13"/>
        </w:numPr>
        <w:ind w:left="566"/>
        <w:jc w:val="both"/>
      </w:pPr>
      <w:r>
        <w:t>Jakékoli změny a doplňky této smlouvy jsou možné pouze ve formě písemných dodatků, podepsaných oprávněnými zástupci obou smluvních stran. Smluvní strany vylučují změnu této smlouvy jinou formou.</w:t>
      </w:r>
    </w:p>
    <w:p w14:paraId="181B0FA7" w14:textId="77777777" w:rsidR="00D10068" w:rsidRPr="00A60423" w:rsidRDefault="00A60423">
      <w:pPr>
        <w:numPr>
          <w:ilvl w:val="0"/>
          <w:numId w:val="13"/>
        </w:numPr>
        <w:ind w:left="566"/>
        <w:jc w:val="both"/>
      </w:pPr>
      <w:r>
        <w:t xml:space="preserve">Ukončením účinnosti této smlouvy z jakéhokoliv důvodu nejsou dotčena ustanovení této smlouvy týkající se udělené licence ze strany poskytovatele objednateli a ostatních práv a nároků objednatele ve smyslu této smlouvy, nároků na náhradu škody a smluvních pokut, ani další ustanovení a nároky, z jejichž povahy vyplývá, že budou trvat i po zániku </w:t>
      </w:r>
      <w:r w:rsidRPr="00A60423">
        <w:t>účinnosti této smlouvy.</w:t>
      </w:r>
    </w:p>
    <w:p w14:paraId="1DE6B896" w14:textId="39CCEC45" w:rsidR="00363807" w:rsidRPr="00A60423" w:rsidRDefault="00363807" w:rsidP="00363807">
      <w:pPr>
        <w:numPr>
          <w:ilvl w:val="0"/>
          <w:numId w:val="13"/>
        </w:numPr>
        <w:ind w:left="566"/>
        <w:jc w:val="both"/>
      </w:pPr>
      <w:r w:rsidRPr="00A60423">
        <w:t>Tato 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ve znění pozdějších předpisů.</w:t>
      </w:r>
    </w:p>
    <w:p w14:paraId="374406CB" w14:textId="67ADD56B" w:rsidR="00363807" w:rsidRPr="00A60423" w:rsidRDefault="00363807" w:rsidP="00363807">
      <w:pPr>
        <w:numPr>
          <w:ilvl w:val="0"/>
          <w:numId w:val="13"/>
        </w:numPr>
        <w:ind w:left="566"/>
        <w:jc w:val="both"/>
      </w:pPr>
      <w:r w:rsidRPr="00A60423">
        <w:t xml:space="preserve">Tato Smlouva je vyhotovena ve dvou (2) stejnopisech v českém jazyce, z nichž každá ze smluvních stran </w:t>
      </w:r>
      <w:proofErr w:type="gramStart"/>
      <w:r w:rsidRPr="00A60423">
        <w:t>obdrží</w:t>
      </w:r>
      <w:proofErr w:type="gramEnd"/>
      <w:r w:rsidRPr="00A60423">
        <w:t xml:space="preserve"> po jednom (1) vyhotovení. </w:t>
      </w:r>
    </w:p>
    <w:p w14:paraId="2986B82F" w14:textId="77777777" w:rsidR="00D10068" w:rsidRDefault="00A60423">
      <w:pPr>
        <w:numPr>
          <w:ilvl w:val="0"/>
          <w:numId w:val="13"/>
        </w:numPr>
        <w:ind w:left="566"/>
        <w:jc w:val="both"/>
      </w:pPr>
      <w:r>
        <w:t xml:space="preserve">Nedílnou součástí této smlouvy jsou Obchodní a provozní podmínky služby </w:t>
      </w:r>
      <w:proofErr w:type="spellStart"/>
      <w:r>
        <w:t>Datlab</w:t>
      </w:r>
      <w:proofErr w:type="spellEnd"/>
      <w:r>
        <w:t xml:space="preserve"> Kontrola.</w:t>
      </w:r>
    </w:p>
    <w:p w14:paraId="3054B1AD" w14:textId="77777777" w:rsidR="00D10068" w:rsidRDefault="00D10068">
      <w:pPr>
        <w:jc w:val="both"/>
      </w:pPr>
    </w:p>
    <w:p w14:paraId="7DA20765" w14:textId="77777777" w:rsidR="009B4702" w:rsidRDefault="009B4702">
      <w:r>
        <w:br w:type="page"/>
      </w:r>
    </w:p>
    <w:p w14:paraId="3C310214" w14:textId="6E062ABA" w:rsidR="00D10068" w:rsidRDefault="00A60423">
      <w:pPr>
        <w:jc w:val="both"/>
      </w:pPr>
      <w:r>
        <w:lastRenderedPageBreak/>
        <w:t>Přílohy:</w:t>
      </w:r>
    </w:p>
    <w:p w14:paraId="3F299700" w14:textId="77777777" w:rsidR="00D10068" w:rsidRDefault="00A60423">
      <w:pPr>
        <w:numPr>
          <w:ilvl w:val="0"/>
          <w:numId w:val="6"/>
        </w:numPr>
        <w:jc w:val="both"/>
      </w:pPr>
      <w:r>
        <w:t xml:space="preserve">Obchodní a provozní podmínky služby </w:t>
      </w:r>
      <w:proofErr w:type="spellStart"/>
      <w:r>
        <w:t>Datlab</w:t>
      </w:r>
      <w:proofErr w:type="spellEnd"/>
      <w:r>
        <w:t xml:space="preserve"> Kontrola</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10068" w14:paraId="3BAB7DAC" w14:textId="77777777">
        <w:tc>
          <w:tcPr>
            <w:tcW w:w="4514" w:type="dxa"/>
            <w:tcBorders>
              <w:top w:val="nil"/>
              <w:left w:val="nil"/>
              <w:bottom w:val="nil"/>
              <w:right w:val="nil"/>
            </w:tcBorders>
            <w:shd w:val="clear" w:color="auto" w:fill="auto"/>
            <w:tcMar>
              <w:top w:w="100" w:type="dxa"/>
              <w:left w:w="100" w:type="dxa"/>
              <w:bottom w:w="100" w:type="dxa"/>
              <w:right w:w="100" w:type="dxa"/>
            </w:tcMar>
          </w:tcPr>
          <w:p w14:paraId="255E5864" w14:textId="77777777" w:rsidR="00D10068" w:rsidRDefault="00D10068">
            <w:pPr>
              <w:widowControl w:val="0"/>
              <w:pBdr>
                <w:top w:val="nil"/>
                <w:left w:val="nil"/>
                <w:bottom w:val="nil"/>
                <w:right w:val="nil"/>
                <w:between w:val="nil"/>
              </w:pBdr>
              <w:spacing w:line="240" w:lineRule="auto"/>
              <w:rPr>
                <w:b/>
              </w:rPr>
            </w:pPr>
          </w:p>
          <w:p w14:paraId="3ABD27C7" w14:textId="77777777" w:rsidR="009B4702" w:rsidRDefault="009B4702">
            <w:pPr>
              <w:widowControl w:val="0"/>
              <w:pBdr>
                <w:top w:val="nil"/>
                <w:left w:val="nil"/>
                <w:bottom w:val="nil"/>
                <w:right w:val="nil"/>
                <w:between w:val="nil"/>
              </w:pBdr>
              <w:spacing w:line="240" w:lineRule="auto"/>
              <w:rPr>
                <w:b/>
              </w:rPr>
            </w:pPr>
          </w:p>
          <w:p w14:paraId="2C85C3BB" w14:textId="77777777" w:rsidR="009B4702" w:rsidRDefault="009B4702">
            <w:pPr>
              <w:widowControl w:val="0"/>
              <w:pBdr>
                <w:top w:val="nil"/>
                <w:left w:val="nil"/>
                <w:bottom w:val="nil"/>
                <w:right w:val="nil"/>
                <w:between w:val="nil"/>
              </w:pBdr>
              <w:spacing w:line="240" w:lineRule="auto"/>
              <w:rPr>
                <w:b/>
              </w:rPr>
            </w:pPr>
          </w:p>
          <w:p w14:paraId="3992BDC2" w14:textId="77777777" w:rsidR="009B4702" w:rsidRDefault="009B4702">
            <w:pPr>
              <w:widowControl w:val="0"/>
              <w:pBdr>
                <w:top w:val="nil"/>
                <w:left w:val="nil"/>
                <w:bottom w:val="nil"/>
                <w:right w:val="nil"/>
                <w:between w:val="nil"/>
              </w:pBdr>
              <w:spacing w:line="240" w:lineRule="auto"/>
              <w:rPr>
                <w:b/>
              </w:rPr>
            </w:pPr>
          </w:p>
        </w:tc>
        <w:tc>
          <w:tcPr>
            <w:tcW w:w="4514" w:type="dxa"/>
            <w:tcBorders>
              <w:top w:val="nil"/>
              <w:left w:val="nil"/>
              <w:bottom w:val="nil"/>
              <w:right w:val="nil"/>
            </w:tcBorders>
            <w:shd w:val="clear" w:color="auto" w:fill="auto"/>
            <w:tcMar>
              <w:top w:w="100" w:type="dxa"/>
              <w:left w:w="100" w:type="dxa"/>
              <w:bottom w:w="100" w:type="dxa"/>
              <w:right w:w="100" w:type="dxa"/>
            </w:tcMar>
          </w:tcPr>
          <w:p w14:paraId="4D867E63" w14:textId="77777777" w:rsidR="00D10068" w:rsidRDefault="00D10068">
            <w:pPr>
              <w:widowControl w:val="0"/>
              <w:spacing w:line="240" w:lineRule="auto"/>
              <w:rPr>
                <w:b/>
              </w:rPr>
            </w:pPr>
          </w:p>
        </w:tc>
      </w:tr>
      <w:tr w:rsidR="00D10068" w14:paraId="0FA65DEB" w14:textId="77777777">
        <w:trPr>
          <w:trHeight w:val="1332"/>
        </w:trPr>
        <w:tc>
          <w:tcPr>
            <w:tcW w:w="4514" w:type="dxa"/>
            <w:tcBorders>
              <w:top w:val="nil"/>
              <w:left w:val="nil"/>
              <w:bottom w:val="nil"/>
              <w:right w:val="nil"/>
            </w:tcBorders>
            <w:shd w:val="clear" w:color="auto" w:fill="auto"/>
            <w:tcMar>
              <w:top w:w="100" w:type="dxa"/>
              <w:left w:w="100" w:type="dxa"/>
              <w:bottom w:w="100" w:type="dxa"/>
              <w:right w:w="100" w:type="dxa"/>
            </w:tcMar>
          </w:tcPr>
          <w:p w14:paraId="1CFB85C5" w14:textId="77777777" w:rsidR="009B4702" w:rsidRDefault="009B4702">
            <w:pPr>
              <w:widowControl w:val="0"/>
              <w:pBdr>
                <w:top w:val="nil"/>
                <w:left w:val="nil"/>
                <w:bottom w:val="nil"/>
                <w:right w:val="nil"/>
                <w:between w:val="nil"/>
              </w:pBdr>
              <w:spacing w:line="240" w:lineRule="auto"/>
            </w:pPr>
          </w:p>
          <w:p w14:paraId="6D73238D" w14:textId="77777777" w:rsidR="009B4702" w:rsidRDefault="009B4702">
            <w:pPr>
              <w:widowControl w:val="0"/>
              <w:pBdr>
                <w:top w:val="nil"/>
                <w:left w:val="nil"/>
                <w:bottom w:val="nil"/>
                <w:right w:val="nil"/>
                <w:between w:val="nil"/>
              </w:pBdr>
              <w:spacing w:line="240" w:lineRule="auto"/>
            </w:pPr>
          </w:p>
          <w:p w14:paraId="1278F870" w14:textId="77777777" w:rsidR="009B4702" w:rsidRDefault="009B4702">
            <w:pPr>
              <w:widowControl w:val="0"/>
              <w:pBdr>
                <w:top w:val="nil"/>
                <w:left w:val="nil"/>
                <w:bottom w:val="nil"/>
                <w:right w:val="nil"/>
                <w:between w:val="nil"/>
              </w:pBdr>
              <w:spacing w:line="240" w:lineRule="auto"/>
            </w:pPr>
          </w:p>
          <w:p w14:paraId="3D0103EE" w14:textId="5A0DA4F1" w:rsidR="00D10068" w:rsidRDefault="00A60423">
            <w:pPr>
              <w:widowControl w:val="0"/>
              <w:pBdr>
                <w:top w:val="nil"/>
                <w:left w:val="nil"/>
                <w:bottom w:val="nil"/>
                <w:right w:val="nil"/>
                <w:between w:val="nil"/>
              </w:pBdr>
              <w:spacing w:line="240" w:lineRule="auto"/>
            </w:pPr>
            <w:r>
              <w:t xml:space="preserve">V </w:t>
            </w:r>
            <w:r w:rsidR="00363807">
              <w:t>Pardubicích</w:t>
            </w:r>
            <w:r>
              <w:t xml:space="preserve"> </w:t>
            </w:r>
            <w:r w:rsidR="009B4702">
              <w:t>dne     září 2024</w:t>
            </w:r>
          </w:p>
        </w:tc>
        <w:tc>
          <w:tcPr>
            <w:tcW w:w="4514" w:type="dxa"/>
            <w:tcBorders>
              <w:top w:val="nil"/>
              <w:left w:val="nil"/>
              <w:bottom w:val="nil"/>
              <w:right w:val="nil"/>
            </w:tcBorders>
            <w:shd w:val="clear" w:color="auto" w:fill="auto"/>
            <w:tcMar>
              <w:top w:w="100" w:type="dxa"/>
              <w:left w:w="100" w:type="dxa"/>
              <w:bottom w:w="100" w:type="dxa"/>
              <w:right w:w="100" w:type="dxa"/>
            </w:tcMar>
          </w:tcPr>
          <w:p w14:paraId="2D552028" w14:textId="77777777" w:rsidR="009B4702" w:rsidRDefault="009B4702">
            <w:pPr>
              <w:widowControl w:val="0"/>
              <w:spacing w:line="240" w:lineRule="auto"/>
            </w:pPr>
          </w:p>
          <w:p w14:paraId="09B3D1A4" w14:textId="77777777" w:rsidR="009B4702" w:rsidRDefault="009B4702">
            <w:pPr>
              <w:widowControl w:val="0"/>
              <w:spacing w:line="240" w:lineRule="auto"/>
            </w:pPr>
          </w:p>
          <w:p w14:paraId="4F188953" w14:textId="77777777" w:rsidR="009B4702" w:rsidRDefault="009B4702">
            <w:pPr>
              <w:widowControl w:val="0"/>
              <w:spacing w:line="240" w:lineRule="auto"/>
            </w:pPr>
          </w:p>
          <w:p w14:paraId="3C9C214B" w14:textId="1F800BE0" w:rsidR="00D10068" w:rsidRDefault="00A60423">
            <w:pPr>
              <w:widowControl w:val="0"/>
              <w:spacing w:line="240" w:lineRule="auto"/>
            </w:pPr>
            <w:r>
              <w:t xml:space="preserve">V Praze dne </w:t>
            </w:r>
            <w:r w:rsidR="009B4702">
              <w:t xml:space="preserve">         září 2024</w:t>
            </w:r>
          </w:p>
          <w:p w14:paraId="7E89B48B" w14:textId="77777777" w:rsidR="009B4702" w:rsidRDefault="009B4702">
            <w:pPr>
              <w:widowControl w:val="0"/>
              <w:spacing w:line="240" w:lineRule="auto"/>
            </w:pPr>
          </w:p>
          <w:p w14:paraId="4A091280" w14:textId="77777777" w:rsidR="009B4702" w:rsidRDefault="009B4702">
            <w:pPr>
              <w:widowControl w:val="0"/>
              <w:spacing w:line="240" w:lineRule="auto"/>
            </w:pPr>
          </w:p>
          <w:p w14:paraId="7994F6EB" w14:textId="77777777" w:rsidR="009B4702" w:rsidRDefault="009B4702">
            <w:pPr>
              <w:widowControl w:val="0"/>
              <w:spacing w:line="240" w:lineRule="auto"/>
            </w:pPr>
          </w:p>
          <w:p w14:paraId="1DC2D5CF" w14:textId="77777777" w:rsidR="009B4702" w:rsidRDefault="009B4702">
            <w:pPr>
              <w:widowControl w:val="0"/>
              <w:spacing w:line="240" w:lineRule="auto"/>
            </w:pPr>
          </w:p>
          <w:p w14:paraId="1A1F562A" w14:textId="77777777" w:rsidR="009B4702" w:rsidRDefault="009B4702">
            <w:pPr>
              <w:widowControl w:val="0"/>
              <w:spacing w:line="240" w:lineRule="auto"/>
            </w:pPr>
          </w:p>
          <w:p w14:paraId="6B009022" w14:textId="527E3733" w:rsidR="009B4702" w:rsidRDefault="009B4702">
            <w:pPr>
              <w:widowControl w:val="0"/>
              <w:spacing w:line="240" w:lineRule="auto"/>
            </w:pPr>
          </w:p>
        </w:tc>
      </w:tr>
      <w:tr w:rsidR="00D10068" w14:paraId="15182379" w14:textId="77777777">
        <w:tc>
          <w:tcPr>
            <w:tcW w:w="4514" w:type="dxa"/>
            <w:tcBorders>
              <w:top w:val="nil"/>
              <w:left w:val="nil"/>
              <w:bottom w:val="nil"/>
              <w:right w:val="nil"/>
            </w:tcBorders>
            <w:shd w:val="clear" w:color="auto" w:fill="auto"/>
            <w:tcMar>
              <w:top w:w="100" w:type="dxa"/>
              <w:left w:w="100" w:type="dxa"/>
              <w:bottom w:w="100" w:type="dxa"/>
              <w:right w:w="100" w:type="dxa"/>
            </w:tcMar>
          </w:tcPr>
          <w:p w14:paraId="7C6DB3B2" w14:textId="77777777" w:rsidR="00D10068" w:rsidRDefault="00A60423">
            <w:pPr>
              <w:widowControl w:val="0"/>
              <w:spacing w:line="240" w:lineRule="auto"/>
              <w:jc w:val="center"/>
            </w:pPr>
            <w:r>
              <w:t>………………………………………………</w:t>
            </w:r>
          </w:p>
        </w:tc>
        <w:tc>
          <w:tcPr>
            <w:tcW w:w="4514" w:type="dxa"/>
            <w:tcBorders>
              <w:top w:val="nil"/>
              <w:left w:val="nil"/>
              <w:bottom w:val="nil"/>
              <w:right w:val="nil"/>
            </w:tcBorders>
            <w:shd w:val="clear" w:color="auto" w:fill="auto"/>
            <w:tcMar>
              <w:top w:w="100" w:type="dxa"/>
              <w:left w:w="100" w:type="dxa"/>
              <w:bottom w:w="100" w:type="dxa"/>
              <w:right w:w="100" w:type="dxa"/>
            </w:tcMar>
          </w:tcPr>
          <w:p w14:paraId="17939DC4" w14:textId="77777777" w:rsidR="00D10068" w:rsidRDefault="00A60423">
            <w:pPr>
              <w:widowControl w:val="0"/>
              <w:spacing w:line="240" w:lineRule="auto"/>
              <w:jc w:val="center"/>
            </w:pPr>
            <w:r>
              <w:t>………………………………………………</w:t>
            </w:r>
          </w:p>
        </w:tc>
      </w:tr>
      <w:tr w:rsidR="00D10068" w14:paraId="64B04B16" w14:textId="77777777">
        <w:tc>
          <w:tcPr>
            <w:tcW w:w="4514" w:type="dxa"/>
            <w:tcBorders>
              <w:top w:val="nil"/>
              <w:left w:val="nil"/>
              <w:bottom w:val="nil"/>
              <w:right w:val="nil"/>
            </w:tcBorders>
            <w:shd w:val="clear" w:color="auto" w:fill="auto"/>
            <w:tcMar>
              <w:top w:w="100" w:type="dxa"/>
              <w:left w:w="100" w:type="dxa"/>
              <w:bottom w:w="100" w:type="dxa"/>
              <w:right w:w="100" w:type="dxa"/>
            </w:tcMar>
          </w:tcPr>
          <w:p w14:paraId="1B0CB90E" w14:textId="77777777" w:rsidR="00D10068" w:rsidRDefault="00363807">
            <w:pPr>
              <w:widowControl w:val="0"/>
              <w:pBdr>
                <w:top w:val="nil"/>
                <w:left w:val="nil"/>
                <w:bottom w:val="nil"/>
                <w:right w:val="nil"/>
                <w:between w:val="nil"/>
              </w:pBdr>
              <w:spacing w:line="240" w:lineRule="auto"/>
              <w:jc w:val="center"/>
            </w:pPr>
            <w:r>
              <w:t>Bc. Jan Nadrchal</w:t>
            </w:r>
          </w:p>
          <w:p w14:paraId="04B1BC2F" w14:textId="77777777" w:rsidR="008A1112" w:rsidRDefault="00363807">
            <w:pPr>
              <w:widowControl w:val="0"/>
              <w:pBdr>
                <w:top w:val="nil"/>
                <w:left w:val="nil"/>
                <w:bottom w:val="nil"/>
                <w:right w:val="nil"/>
                <w:between w:val="nil"/>
              </w:pBdr>
              <w:spacing w:line="240" w:lineRule="auto"/>
              <w:jc w:val="center"/>
            </w:pPr>
            <w:r>
              <w:t xml:space="preserve">primátor </w:t>
            </w:r>
          </w:p>
          <w:p w14:paraId="5A15A66E" w14:textId="20DE2157" w:rsidR="00363807" w:rsidRDefault="00363807">
            <w:pPr>
              <w:widowControl w:val="0"/>
              <w:pBdr>
                <w:top w:val="nil"/>
                <w:left w:val="nil"/>
                <w:bottom w:val="nil"/>
                <w:right w:val="nil"/>
                <w:between w:val="nil"/>
              </w:pBdr>
              <w:spacing w:line="240" w:lineRule="auto"/>
              <w:jc w:val="center"/>
              <w:rPr>
                <w:u w:val="single"/>
              </w:rPr>
            </w:pPr>
            <w:r>
              <w:t>Statutárního města Pardubice</w:t>
            </w:r>
          </w:p>
        </w:tc>
        <w:tc>
          <w:tcPr>
            <w:tcW w:w="4514" w:type="dxa"/>
            <w:tcBorders>
              <w:top w:val="nil"/>
              <w:left w:val="nil"/>
              <w:bottom w:val="nil"/>
              <w:right w:val="nil"/>
            </w:tcBorders>
            <w:shd w:val="clear" w:color="auto" w:fill="auto"/>
            <w:tcMar>
              <w:top w:w="100" w:type="dxa"/>
              <w:left w:w="100" w:type="dxa"/>
              <w:bottom w:w="100" w:type="dxa"/>
              <w:right w:w="100" w:type="dxa"/>
            </w:tcMar>
          </w:tcPr>
          <w:p w14:paraId="0B9EC320" w14:textId="1A35644E" w:rsidR="00D10068" w:rsidRDefault="00883470">
            <w:pPr>
              <w:widowControl w:val="0"/>
              <w:spacing w:line="240" w:lineRule="auto"/>
              <w:jc w:val="center"/>
              <w:rPr>
                <w:u w:val="single"/>
              </w:rPr>
            </w:pPr>
            <w:r>
              <w:t>PhDr. Jiří Skuhrovec, PhD.</w:t>
            </w:r>
            <w:r>
              <w:br/>
              <w:t>jednatel</w:t>
            </w:r>
            <w:r>
              <w:br/>
            </w:r>
            <w:proofErr w:type="spellStart"/>
            <w:r>
              <w:t>Datlab</w:t>
            </w:r>
            <w:proofErr w:type="spellEnd"/>
            <w:r>
              <w:t xml:space="preserve"> s.r.o.</w:t>
            </w:r>
          </w:p>
        </w:tc>
      </w:tr>
    </w:tbl>
    <w:p w14:paraId="5A3D6820" w14:textId="77777777" w:rsidR="00D10068" w:rsidRDefault="00A60423">
      <w:pPr>
        <w:spacing w:after="200"/>
        <w:rPr>
          <w:u w:val="single"/>
        </w:rPr>
      </w:pPr>
      <w:r>
        <w:br w:type="page"/>
      </w:r>
    </w:p>
    <w:p w14:paraId="00D08B5D" w14:textId="77777777" w:rsidR="00D10068" w:rsidRDefault="00A60423">
      <w:pPr>
        <w:rPr>
          <w:b/>
        </w:rPr>
      </w:pPr>
      <w:r>
        <w:rPr>
          <w:b/>
        </w:rPr>
        <w:lastRenderedPageBreak/>
        <w:t xml:space="preserve">Příloha č. 1 - Obchodní a provozní podmínky služby </w:t>
      </w:r>
      <w:proofErr w:type="spellStart"/>
      <w:r>
        <w:rPr>
          <w:b/>
        </w:rPr>
        <w:t>Datlab</w:t>
      </w:r>
      <w:proofErr w:type="spellEnd"/>
      <w:r>
        <w:rPr>
          <w:b/>
        </w:rPr>
        <w:t xml:space="preserve"> Kontrola</w:t>
      </w:r>
    </w:p>
    <w:p w14:paraId="2228659D" w14:textId="77777777" w:rsidR="00C2325C" w:rsidRDefault="00C2325C">
      <w:pPr>
        <w:rPr>
          <w:b/>
        </w:rPr>
      </w:pPr>
    </w:p>
    <w:p w14:paraId="38D364AF" w14:textId="0590E185" w:rsidR="00D10068" w:rsidRDefault="00A60423">
      <w:pPr>
        <w:rPr>
          <w:b/>
        </w:rPr>
      </w:pPr>
      <w:proofErr w:type="spellStart"/>
      <w:r>
        <w:rPr>
          <w:b/>
        </w:rPr>
        <w:t>Datlab</w:t>
      </w:r>
      <w:proofErr w:type="spellEnd"/>
      <w:r>
        <w:rPr>
          <w:b/>
        </w:rPr>
        <w:t xml:space="preserve"> </w:t>
      </w:r>
      <w:proofErr w:type="gramStart"/>
      <w:r>
        <w:rPr>
          <w:b/>
        </w:rPr>
        <w:t>Kontrola - Obchodní</w:t>
      </w:r>
      <w:proofErr w:type="gramEnd"/>
      <w:r>
        <w:rPr>
          <w:b/>
        </w:rPr>
        <w:t xml:space="preserve"> a provozní podmínky 1.4</w:t>
      </w:r>
    </w:p>
    <w:p w14:paraId="20CA634B" w14:textId="77777777" w:rsidR="00D10068" w:rsidRDefault="00A60423">
      <w:r>
        <w:t>Aktualizováno 22. 12. 2021</w:t>
      </w:r>
    </w:p>
    <w:p w14:paraId="0F50064C" w14:textId="77777777" w:rsidR="00D10068" w:rsidRDefault="00D10068">
      <w:pPr>
        <w:rPr>
          <w:b/>
        </w:rPr>
      </w:pPr>
    </w:p>
    <w:p w14:paraId="0C0E411E" w14:textId="77777777" w:rsidR="00D10068" w:rsidRDefault="00A60423">
      <w:pPr>
        <w:numPr>
          <w:ilvl w:val="0"/>
          <w:numId w:val="4"/>
        </w:numPr>
      </w:pPr>
      <w:r>
        <w:t>Předmět obchodních a provozních podmínek</w:t>
      </w:r>
    </w:p>
    <w:p w14:paraId="19E4D585" w14:textId="77777777" w:rsidR="00D10068" w:rsidRDefault="00A60423">
      <w:pPr>
        <w:numPr>
          <w:ilvl w:val="1"/>
          <w:numId w:val="4"/>
        </w:numPr>
      </w:pPr>
      <w:r>
        <w:t xml:space="preserve">Tyto obchodní a provozní podmínky (dále jen “všeobecné podmínky”) upravují pravidla provozu webové aplikace sloužící pro kontrolu rizik spojených se zadáváním veřejných zakázek (dále jen “webová aplikace”), která je dostupná prostřednictvím internetových stránek kontrola.datlab.eu a jejímž provozovatelem je společnost </w:t>
      </w:r>
      <w:proofErr w:type="spellStart"/>
      <w:r>
        <w:t>Datlab</w:t>
      </w:r>
      <w:proofErr w:type="spellEnd"/>
      <w:r>
        <w:t xml:space="preserve"> s.r.o., IČO 24213101 (dále jen “provozovatel”), jakož i podmínky poskytování souvisejících služeb.</w:t>
      </w:r>
    </w:p>
    <w:p w14:paraId="7AE01CF0" w14:textId="77777777" w:rsidR="00D10068" w:rsidRDefault="00A60423">
      <w:pPr>
        <w:numPr>
          <w:ilvl w:val="1"/>
          <w:numId w:val="4"/>
        </w:numPr>
      </w:pPr>
      <w:r>
        <w:t>Uživatelem je každá fyzická osoba, která v souvislosti se svým povoláním i mimo ni jakkoli používá webovou aplikaci, tedy především zde vyhledává a získává informace.</w:t>
      </w:r>
    </w:p>
    <w:p w14:paraId="02C32A4A" w14:textId="77777777" w:rsidR="00D10068" w:rsidRDefault="00A60423">
      <w:pPr>
        <w:numPr>
          <w:ilvl w:val="1"/>
          <w:numId w:val="4"/>
        </w:numPr>
      </w:pPr>
      <w:r>
        <w:t xml:space="preserve">Objednatelem je právnická či fyzická osoba, která s provozovatelem uzavřela smlouvu, na </w:t>
      </w:r>
      <w:proofErr w:type="gramStart"/>
      <w:r>
        <w:t>základě</w:t>
      </w:r>
      <w:proofErr w:type="gramEnd"/>
      <w:r>
        <w:t xml:space="preserve"> které jí provozovatel vypracuje a následně ve webové aplikaci zpřístupní smluvně specifikovanou analýzu.</w:t>
      </w:r>
    </w:p>
    <w:p w14:paraId="1439F92E" w14:textId="77777777" w:rsidR="00D10068" w:rsidRDefault="00D10068"/>
    <w:p w14:paraId="0F191835" w14:textId="77777777" w:rsidR="00D10068" w:rsidRDefault="00A60423">
      <w:pPr>
        <w:numPr>
          <w:ilvl w:val="0"/>
          <w:numId w:val="4"/>
        </w:numPr>
      </w:pPr>
      <w:r>
        <w:t>Poskytované služby</w:t>
      </w:r>
    </w:p>
    <w:p w14:paraId="50C2601A" w14:textId="77777777" w:rsidR="00D10068" w:rsidRDefault="00A60423">
      <w:pPr>
        <w:numPr>
          <w:ilvl w:val="1"/>
          <w:numId w:val="4"/>
        </w:numPr>
      </w:pPr>
      <w:r>
        <w:t>Předmětem poskytovaných souvisejících služeb je vypracování analýz rizik konkrétního subjektu za dané období při zadávání veřejných zakázek.</w:t>
      </w:r>
    </w:p>
    <w:p w14:paraId="4BED9DC9" w14:textId="77777777" w:rsidR="00D10068" w:rsidRDefault="00A60423">
      <w:pPr>
        <w:numPr>
          <w:ilvl w:val="1"/>
          <w:numId w:val="4"/>
        </w:numPr>
      </w:pPr>
      <w:r>
        <w:t>Provozovatel prostřednictvím webové aplikace nabízí 2 úrovně analýz:</w:t>
      </w:r>
    </w:p>
    <w:p w14:paraId="75CB07C6" w14:textId="77777777" w:rsidR="00D10068" w:rsidRDefault="00A60423">
      <w:pPr>
        <w:numPr>
          <w:ilvl w:val="2"/>
          <w:numId w:val="4"/>
        </w:numPr>
      </w:pPr>
      <w:r>
        <w:t>“Malá kontrola” (dále jen “Malá kontrola rizik”) je poskytována bezplatně a je přístupná každému uživateli;</w:t>
      </w:r>
    </w:p>
    <w:p w14:paraId="08F63C61" w14:textId="77777777" w:rsidR="00D10068" w:rsidRDefault="00A60423">
      <w:pPr>
        <w:numPr>
          <w:ilvl w:val="2"/>
          <w:numId w:val="4"/>
        </w:numPr>
      </w:pPr>
      <w:r>
        <w:t>“Kontrola” (dále jen “Kontrola rizik”) je poskytována za úplatu výhradně objednateli, a to na základě uzavřené smlouvy.</w:t>
      </w:r>
    </w:p>
    <w:p w14:paraId="69771C0B" w14:textId="77777777" w:rsidR="00D10068" w:rsidRDefault="00A60423">
      <w:pPr>
        <w:numPr>
          <w:ilvl w:val="1"/>
          <w:numId w:val="4"/>
        </w:numPr>
      </w:pPr>
      <w:r>
        <w:t>Smlouva sjednávající Kontrolu rizik specifikuje především kontrolovaný subjekt, období, za které je kontrola provedena, a rozsah kontroly, včetně případného popisu dodatečných datových zdrojů poskytnutých objednatelem. Výstupem poskytnuté služby na základě takto uzavřené smlouvy je vypracování 1 analýzy.</w:t>
      </w:r>
    </w:p>
    <w:p w14:paraId="197BC4CA" w14:textId="77777777" w:rsidR="00D10068" w:rsidRDefault="00A60423">
      <w:pPr>
        <w:numPr>
          <w:ilvl w:val="1"/>
          <w:numId w:val="4"/>
        </w:numPr>
      </w:pPr>
      <w:r>
        <w:t>Kontrola rizik bude objednateli přístupná na webu provozovatele po dobu nejméně 3 měsíců od předání analýzy, a to pod unikátním přístupovým linkem.</w:t>
      </w:r>
    </w:p>
    <w:p w14:paraId="3C393759" w14:textId="77777777" w:rsidR="00D10068" w:rsidRDefault="00A60423">
      <w:pPr>
        <w:numPr>
          <w:ilvl w:val="1"/>
          <w:numId w:val="4"/>
        </w:numPr>
      </w:pPr>
      <w:r>
        <w:t>Poskytované služby jsou svým charakterem službami s digitálním obsahem. Je-li objednatelem spotřebitel, pak takovému nevzniká právo na odstoupení od smlouvy v případě, že mu byla služba dodána před uplynutím lhůty pro odstoupení od smlouvy.</w:t>
      </w:r>
    </w:p>
    <w:p w14:paraId="7A0D337C" w14:textId="77777777" w:rsidR="00D10068" w:rsidRDefault="00D10068"/>
    <w:p w14:paraId="677D1A4D" w14:textId="77777777" w:rsidR="00D10068" w:rsidRDefault="00A60423">
      <w:pPr>
        <w:numPr>
          <w:ilvl w:val="0"/>
          <w:numId w:val="4"/>
        </w:numPr>
      </w:pPr>
      <w:r>
        <w:t>Cena a platební podmínky</w:t>
      </w:r>
    </w:p>
    <w:p w14:paraId="4566D85C" w14:textId="77777777" w:rsidR="00D10068" w:rsidRDefault="00A60423">
      <w:pPr>
        <w:numPr>
          <w:ilvl w:val="1"/>
          <w:numId w:val="4"/>
        </w:numPr>
      </w:pPr>
      <w:r>
        <w:t>Cena Kontroly rizik je stanovena na základě individuálního zhodnocení náročnosti a rozsahu přípravy analýzy. Závazné rozmezí této ceny je uvedeno přímo ve webové aplikaci. Provozovatel může poskytnout objednateli slevu, pokud již v minulosti byla provedena Kontrola rizik se srovnatelnou specifikací.</w:t>
      </w:r>
    </w:p>
    <w:p w14:paraId="158719D7" w14:textId="77777777" w:rsidR="00D10068" w:rsidRDefault="00A60423">
      <w:pPr>
        <w:numPr>
          <w:ilvl w:val="1"/>
          <w:numId w:val="4"/>
        </w:numPr>
      </w:pPr>
      <w:r>
        <w:t>Provozovatel si může s objednatelem sjednat i pravidelnou formu placení, pokud se smluvně zavázal vyhotovit více analýz pro daného objednatele v průběhu časového období.</w:t>
      </w:r>
    </w:p>
    <w:p w14:paraId="7AF70D77" w14:textId="77777777" w:rsidR="00D10068" w:rsidRDefault="00A60423">
      <w:pPr>
        <w:numPr>
          <w:ilvl w:val="1"/>
          <w:numId w:val="4"/>
        </w:numPr>
      </w:pPr>
      <w:r>
        <w:lastRenderedPageBreak/>
        <w:t>Všechny uvedené ceny jsou bez DPH.</w:t>
      </w:r>
    </w:p>
    <w:p w14:paraId="72CC8F8E" w14:textId="77777777" w:rsidR="00D10068" w:rsidRDefault="00A60423">
      <w:pPr>
        <w:numPr>
          <w:ilvl w:val="1"/>
          <w:numId w:val="4"/>
        </w:numPr>
      </w:pPr>
      <w:r>
        <w:t>Cena je splatná na základě faktury vystavené provozovatelem. Faktura za Kontrolu rizik bude vystavena po předání analýzy stvrzeném podpisem obou stran, a to se splatností alespoň 21 dní. Faktura musí obsahovat všechny náležitosti řádného účetního a daňového dokladu ve smyslu příslušných právních předpisů, zejména zákona č. 235/2004 Sb., o dani z přidané hodnoty, ve znění pozdějších předpisů.</w:t>
      </w:r>
    </w:p>
    <w:p w14:paraId="2CAC2835" w14:textId="77777777" w:rsidR="00D10068" w:rsidRDefault="00D10068"/>
    <w:p w14:paraId="638F4933" w14:textId="77777777" w:rsidR="00D10068" w:rsidRDefault="00A60423">
      <w:pPr>
        <w:numPr>
          <w:ilvl w:val="0"/>
          <w:numId w:val="4"/>
        </w:numPr>
      </w:pPr>
      <w:r>
        <w:t>Práva a povinnosti</w:t>
      </w:r>
    </w:p>
    <w:p w14:paraId="0AF82277" w14:textId="77777777" w:rsidR="00D10068" w:rsidRDefault="00A60423">
      <w:pPr>
        <w:numPr>
          <w:ilvl w:val="1"/>
          <w:numId w:val="4"/>
        </w:numPr>
      </w:pPr>
      <w:r>
        <w:t>Objednatel má u Kontroly rizik právo na online či osobní konzultaci, zapracování připomínek a dodatečné analytické práce v celkovém rozsahu nejvýše 16 člověkohodin, není-li v uzavřené smlouvě sjednáno jinak.</w:t>
      </w:r>
    </w:p>
    <w:p w14:paraId="6C4EE926" w14:textId="77777777" w:rsidR="00D10068" w:rsidRDefault="00A60423">
      <w:pPr>
        <w:numPr>
          <w:ilvl w:val="1"/>
          <w:numId w:val="4"/>
        </w:numPr>
      </w:pPr>
      <w:r>
        <w:t>Objednatel se zavazuje poskytnout provozovateli řádnou součinnost především s poskytnutím dodatečných datových zdrojů, jedná-li se o Kontrolu rizik vyžadující tyto dodatečné datové zdroje. V opačném případě provozovatel neodpovídá za kvalitu vypracované analýzy.</w:t>
      </w:r>
    </w:p>
    <w:p w14:paraId="2A53404E" w14:textId="77777777" w:rsidR="00D10068" w:rsidRDefault="00A60423">
      <w:pPr>
        <w:numPr>
          <w:ilvl w:val="1"/>
          <w:numId w:val="4"/>
        </w:numPr>
      </w:pPr>
      <w:r>
        <w:t>Provozovatel se zavazuje předat unikátní přístupový link ke konkrétní analýze výhradně osobě oprávněné k jejímu převzetí. Objednatel se zavazuje chránit tento přístupový link před zneužitím a bere na vědomí, že nemá tento přístupový link poskytovat neoprávněným osobám.</w:t>
      </w:r>
    </w:p>
    <w:p w14:paraId="56D6C095" w14:textId="77777777" w:rsidR="00D10068" w:rsidRDefault="00A60423">
      <w:pPr>
        <w:numPr>
          <w:ilvl w:val="1"/>
          <w:numId w:val="4"/>
        </w:numPr>
      </w:pPr>
      <w:r>
        <w:t>Provozovatel má právo použít referenci objednatele, tedy informaci o osobě objednatele, ceně a obecné povaze poskytnutého plnění ve svých marketingových prezentacích. Nad tento rámec není oprávněn bez výslovného souhlasu objednatele poskytovat jakékoliv údaje v souvislosti s plněním.</w:t>
      </w:r>
    </w:p>
    <w:p w14:paraId="07A70294" w14:textId="77777777" w:rsidR="00D10068" w:rsidRDefault="00A60423">
      <w:pPr>
        <w:numPr>
          <w:ilvl w:val="1"/>
          <w:numId w:val="4"/>
        </w:numPr>
      </w:pPr>
      <w:r>
        <w:t xml:space="preserve">Informace obsažené v Kontrole rizik popisující zejména charakter a metodu identifikace jednotlivých rizik jsou obchodním tajemstvím Provozovatele a nesmí být sdíleny třetím osobám bez výslovného souhlasu Provozovatele. </w:t>
      </w:r>
    </w:p>
    <w:p w14:paraId="2D1A9134" w14:textId="77777777" w:rsidR="00D10068" w:rsidRDefault="00A60423">
      <w:pPr>
        <w:numPr>
          <w:ilvl w:val="1"/>
          <w:numId w:val="4"/>
        </w:numPr>
      </w:pPr>
      <w:r>
        <w:t>Provozovatel se zavazuje do 48 hodin, nebo do 16:00 hodin následujícího pracovního dne, podle toho, co nastane později, reagovat na objednatelem ohlášené technické chyby webové aplikace.</w:t>
      </w:r>
    </w:p>
    <w:p w14:paraId="6F413C86" w14:textId="77777777" w:rsidR="00D10068" w:rsidRDefault="00D10068"/>
    <w:p w14:paraId="34BBC935" w14:textId="77777777" w:rsidR="00D10068" w:rsidRDefault="00A60423">
      <w:pPr>
        <w:numPr>
          <w:ilvl w:val="0"/>
          <w:numId w:val="4"/>
        </w:numPr>
      </w:pPr>
      <w:r>
        <w:t>Odpovědnost</w:t>
      </w:r>
    </w:p>
    <w:p w14:paraId="2322B8B8" w14:textId="77777777" w:rsidR="00D10068" w:rsidRDefault="00A60423">
      <w:pPr>
        <w:numPr>
          <w:ilvl w:val="1"/>
          <w:numId w:val="4"/>
        </w:numPr>
      </w:pPr>
      <w:r>
        <w:t xml:space="preserve">Provozovatel nenese odpovědnost za škodu nesprávným použitím informací prezentovaných ve webové aplikaci, respektive obsažených v jednotlivých analýzách. Uživatel bere na vědomí, že informace prezentované ve webové aplikaci jsou informacemi o rizicích, nikoli nutně o reálných skutečnostech. Tyto informace jsou výsledkem strojového zpracování </w:t>
      </w:r>
      <w:proofErr w:type="gramStart"/>
      <w:r>
        <w:t>dat</w:t>
      </w:r>
      <w:proofErr w:type="gramEnd"/>
      <w:r>
        <w:t xml:space="preserve"> a tedy mohou být z povahy věci nepřesné. Jako takové nemohou být bez dalšího zaměňovány s kvalifikovanými zjištěními.</w:t>
      </w:r>
    </w:p>
    <w:p w14:paraId="061522BE" w14:textId="77777777" w:rsidR="00D10068" w:rsidRDefault="00A60423">
      <w:pPr>
        <w:numPr>
          <w:ilvl w:val="1"/>
          <w:numId w:val="4"/>
        </w:numPr>
      </w:pPr>
      <w:r>
        <w:t>Provozovatel nenese odpovědnost za poskytnutí přístupových údajů k analýzám (přístupový link) třetím osobám uživatelem.</w:t>
      </w:r>
    </w:p>
    <w:p w14:paraId="73E299D4" w14:textId="77777777" w:rsidR="00D10068" w:rsidRDefault="00D10068"/>
    <w:p w14:paraId="57344CCE" w14:textId="77777777" w:rsidR="00D10068" w:rsidRDefault="00A60423">
      <w:pPr>
        <w:numPr>
          <w:ilvl w:val="0"/>
          <w:numId w:val="4"/>
        </w:numPr>
      </w:pPr>
      <w:r>
        <w:t>Závěrečná ustanovení</w:t>
      </w:r>
    </w:p>
    <w:p w14:paraId="0C735F2B" w14:textId="77777777" w:rsidR="00D10068" w:rsidRDefault="00A60423">
      <w:pPr>
        <w:numPr>
          <w:ilvl w:val="1"/>
          <w:numId w:val="4"/>
        </w:numPr>
      </w:pPr>
      <w:r>
        <w:t xml:space="preserve">Provozovatele je možné kontaktovat na adrese sídla společnosti Charlese de </w:t>
      </w:r>
      <w:proofErr w:type="spellStart"/>
      <w:r>
        <w:t>Gaulla</w:t>
      </w:r>
      <w:proofErr w:type="spellEnd"/>
      <w:r>
        <w:t xml:space="preserve"> 5, 160 00 Praha 6, případně zprávou do datové schránky: uat9wps.</w:t>
      </w:r>
    </w:p>
    <w:p w14:paraId="4116B06A" w14:textId="77777777" w:rsidR="00D10068" w:rsidRDefault="00A60423">
      <w:pPr>
        <w:numPr>
          <w:ilvl w:val="1"/>
          <w:numId w:val="4"/>
        </w:numPr>
      </w:pPr>
      <w:r>
        <w:t>Těmito všeobecnými podmínkami se řídí užívání webové aplikace a dále se subsidiárně použijí v případě uzavření smlouvy mezi objednatelem a provozovatelem.</w:t>
      </w:r>
    </w:p>
    <w:p w14:paraId="1E7AAA67" w14:textId="77777777" w:rsidR="00D10068" w:rsidRDefault="00A60423">
      <w:pPr>
        <w:numPr>
          <w:ilvl w:val="1"/>
          <w:numId w:val="4"/>
        </w:numPr>
      </w:pPr>
      <w:r>
        <w:lastRenderedPageBreak/>
        <w:t>Uživatel užíváním webové aplikace souhlasí s všeobecnými podmínky v rozsahu, ve kterém upravují podmínky provozu.</w:t>
      </w:r>
    </w:p>
    <w:p w14:paraId="62E7E75D" w14:textId="77777777" w:rsidR="00D10068" w:rsidRDefault="00A60423">
      <w:pPr>
        <w:numPr>
          <w:ilvl w:val="1"/>
          <w:numId w:val="4"/>
        </w:numPr>
      </w:pPr>
      <w:r>
        <w:t>Objednatel vyjadřuje souhlas s všeobecnými podmínkami ve smlouvě.</w:t>
      </w:r>
    </w:p>
    <w:sectPr w:rsidR="00D10068">
      <w:footerReference w:type="default" r:id="rId8"/>
      <w:pgSz w:w="11909" w:h="16834"/>
      <w:pgMar w:top="1133"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63F7" w14:textId="77777777" w:rsidR="00156B86" w:rsidRDefault="00156B86" w:rsidP="00FA142C">
      <w:pPr>
        <w:spacing w:line="240" w:lineRule="auto"/>
      </w:pPr>
      <w:r>
        <w:separator/>
      </w:r>
    </w:p>
  </w:endnote>
  <w:endnote w:type="continuationSeparator" w:id="0">
    <w:p w14:paraId="2873AD4A" w14:textId="77777777" w:rsidR="00156B86" w:rsidRDefault="00156B86" w:rsidP="00FA1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569785"/>
      <w:docPartObj>
        <w:docPartGallery w:val="Page Numbers (Bottom of Page)"/>
        <w:docPartUnique/>
      </w:docPartObj>
    </w:sdtPr>
    <w:sdtEndPr/>
    <w:sdtContent>
      <w:p w14:paraId="429BD426" w14:textId="1508F51F" w:rsidR="00F8020D" w:rsidRDefault="00F8020D">
        <w:pPr>
          <w:pStyle w:val="Zpat"/>
          <w:jc w:val="right"/>
        </w:pPr>
        <w:r>
          <w:fldChar w:fldCharType="begin"/>
        </w:r>
        <w:r>
          <w:instrText>PAGE   \* MERGEFORMAT</w:instrText>
        </w:r>
        <w:r>
          <w:fldChar w:fldCharType="separate"/>
        </w:r>
        <w:r>
          <w:rPr>
            <w:lang w:val="cs-CZ"/>
          </w:rPr>
          <w:t>2</w:t>
        </w:r>
        <w:r>
          <w:fldChar w:fldCharType="end"/>
        </w:r>
      </w:p>
    </w:sdtContent>
  </w:sdt>
  <w:p w14:paraId="3028E0DD" w14:textId="77777777" w:rsidR="00F8020D" w:rsidRDefault="00F802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7202" w14:textId="77777777" w:rsidR="00156B86" w:rsidRDefault="00156B86" w:rsidP="00FA142C">
      <w:pPr>
        <w:spacing w:line="240" w:lineRule="auto"/>
      </w:pPr>
      <w:r>
        <w:separator/>
      </w:r>
    </w:p>
  </w:footnote>
  <w:footnote w:type="continuationSeparator" w:id="0">
    <w:p w14:paraId="17E1538E" w14:textId="77777777" w:rsidR="00156B86" w:rsidRDefault="00156B86" w:rsidP="00FA14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5416"/>
    <w:multiLevelType w:val="multilevel"/>
    <w:tmpl w:val="3F18F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D1276C"/>
    <w:multiLevelType w:val="multilevel"/>
    <w:tmpl w:val="2A3CB7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416718D"/>
    <w:multiLevelType w:val="multilevel"/>
    <w:tmpl w:val="E16A4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9F5E50"/>
    <w:multiLevelType w:val="multilevel"/>
    <w:tmpl w:val="DBAC0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765938"/>
    <w:multiLevelType w:val="multilevel"/>
    <w:tmpl w:val="15804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3A3FBB"/>
    <w:multiLevelType w:val="multilevel"/>
    <w:tmpl w:val="3ABCB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4B63AC"/>
    <w:multiLevelType w:val="multilevel"/>
    <w:tmpl w:val="04BA90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46E72B1"/>
    <w:multiLevelType w:val="multilevel"/>
    <w:tmpl w:val="6AB86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CA0511"/>
    <w:multiLevelType w:val="multilevel"/>
    <w:tmpl w:val="0F9AE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9D5EAE"/>
    <w:multiLevelType w:val="multilevel"/>
    <w:tmpl w:val="2C1A70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E3D3DCD"/>
    <w:multiLevelType w:val="multilevel"/>
    <w:tmpl w:val="541878F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551E2628"/>
    <w:multiLevelType w:val="multilevel"/>
    <w:tmpl w:val="2208E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944AC4"/>
    <w:multiLevelType w:val="multilevel"/>
    <w:tmpl w:val="F3C44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F6757CE"/>
    <w:multiLevelType w:val="multilevel"/>
    <w:tmpl w:val="BB4E381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Calibri" w:hAnsi="Calibri" w:cs="Calibri" w:hint="default"/>
        <w:b w:val="0"/>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8126455">
    <w:abstractNumId w:val="11"/>
  </w:num>
  <w:num w:numId="2" w16cid:durableId="1740588773">
    <w:abstractNumId w:val="5"/>
  </w:num>
  <w:num w:numId="3" w16cid:durableId="1841385934">
    <w:abstractNumId w:val="0"/>
  </w:num>
  <w:num w:numId="4" w16cid:durableId="1949313195">
    <w:abstractNumId w:val="10"/>
  </w:num>
  <w:num w:numId="5" w16cid:durableId="236474015">
    <w:abstractNumId w:val="3"/>
  </w:num>
  <w:num w:numId="6" w16cid:durableId="1845775810">
    <w:abstractNumId w:val="7"/>
  </w:num>
  <w:num w:numId="7" w16cid:durableId="1161310186">
    <w:abstractNumId w:val="9"/>
  </w:num>
  <w:num w:numId="8" w16cid:durableId="1676034856">
    <w:abstractNumId w:val="4"/>
  </w:num>
  <w:num w:numId="9" w16cid:durableId="934169216">
    <w:abstractNumId w:val="1"/>
  </w:num>
  <w:num w:numId="10" w16cid:durableId="1336811219">
    <w:abstractNumId w:val="6"/>
  </w:num>
  <w:num w:numId="11" w16cid:durableId="1091313375">
    <w:abstractNumId w:val="12"/>
  </w:num>
  <w:num w:numId="12" w16cid:durableId="1173958931">
    <w:abstractNumId w:val="8"/>
  </w:num>
  <w:num w:numId="13" w16cid:durableId="587007516">
    <w:abstractNumId w:val="2"/>
  </w:num>
  <w:num w:numId="14" w16cid:durableId="499202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68"/>
    <w:rsid w:val="00047A41"/>
    <w:rsid w:val="00064C2D"/>
    <w:rsid w:val="00156B86"/>
    <w:rsid w:val="002F68D1"/>
    <w:rsid w:val="00305DC3"/>
    <w:rsid w:val="00363807"/>
    <w:rsid w:val="003D1192"/>
    <w:rsid w:val="00430716"/>
    <w:rsid w:val="00480751"/>
    <w:rsid w:val="00612A6B"/>
    <w:rsid w:val="006619EE"/>
    <w:rsid w:val="006B5F82"/>
    <w:rsid w:val="00797245"/>
    <w:rsid w:val="007C766C"/>
    <w:rsid w:val="00853FCE"/>
    <w:rsid w:val="00883470"/>
    <w:rsid w:val="008A1112"/>
    <w:rsid w:val="009310E5"/>
    <w:rsid w:val="009A18DE"/>
    <w:rsid w:val="009B4702"/>
    <w:rsid w:val="009D3808"/>
    <w:rsid w:val="00A46B5C"/>
    <w:rsid w:val="00A60423"/>
    <w:rsid w:val="00C2325C"/>
    <w:rsid w:val="00C67F11"/>
    <w:rsid w:val="00CD2564"/>
    <w:rsid w:val="00D057DB"/>
    <w:rsid w:val="00D10068"/>
    <w:rsid w:val="00DC621F"/>
    <w:rsid w:val="00EB3705"/>
    <w:rsid w:val="00EE2437"/>
    <w:rsid w:val="00F8020D"/>
    <w:rsid w:val="00FA1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2EA"/>
  <w15:docId w15:val="{69079CC6-91A0-4C13-90AE-F472721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unhideWhenUsed/>
    <w:qFormat/>
    <w:pPr>
      <w:keepNext/>
      <w:keepLines/>
      <w:spacing w:before="600" w:after="200"/>
      <w:ind w:left="2267" w:hanging="36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Odstavecseseznamem">
    <w:name w:val="List Paragraph"/>
    <w:basedOn w:val="Normln"/>
    <w:uiPriority w:val="34"/>
    <w:qFormat/>
    <w:rsid w:val="00363807"/>
    <w:pPr>
      <w:spacing w:line="240" w:lineRule="auto"/>
      <w:ind w:left="708"/>
    </w:pPr>
    <w:rPr>
      <w:rFonts w:ascii="Times New Roman" w:eastAsia="Times New Roman" w:hAnsi="Times New Roman" w:cs="Times New Roman"/>
      <w:sz w:val="20"/>
      <w:szCs w:val="20"/>
      <w:lang w:val="cs-CZ"/>
    </w:rPr>
  </w:style>
  <w:style w:type="paragraph" w:styleId="Zhlav">
    <w:name w:val="header"/>
    <w:basedOn w:val="Normln"/>
    <w:link w:val="ZhlavChar"/>
    <w:uiPriority w:val="99"/>
    <w:unhideWhenUsed/>
    <w:rsid w:val="00FA142C"/>
    <w:pPr>
      <w:tabs>
        <w:tab w:val="center" w:pos="4536"/>
        <w:tab w:val="right" w:pos="9072"/>
      </w:tabs>
      <w:spacing w:line="240" w:lineRule="auto"/>
    </w:pPr>
  </w:style>
  <w:style w:type="character" w:customStyle="1" w:styleId="ZhlavChar">
    <w:name w:val="Záhlaví Char"/>
    <w:basedOn w:val="Standardnpsmoodstavce"/>
    <w:link w:val="Zhlav"/>
    <w:uiPriority w:val="99"/>
    <w:rsid w:val="00FA142C"/>
  </w:style>
  <w:style w:type="paragraph" w:styleId="Zpat">
    <w:name w:val="footer"/>
    <w:basedOn w:val="Normln"/>
    <w:link w:val="ZpatChar"/>
    <w:uiPriority w:val="99"/>
    <w:unhideWhenUsed/>
    <w:rsid w:val="00FA142C"/>
    <w:pPr>
      <w:tabs>
        <w:tab w:val="center" w:pos="4536"/>
        <w:tab w:val="right" w:pos="9072"/>
      </w:tabs>
      <w:spacing w:line="240" w:lineRule="auto"/>
    </w:pPr>
  </w:style>
  <w:style w:type="character" w:customStyle="1" w:styleId="ZpatChar">
    <w:name w:val="Zápatí Char"/>
    <w:basedOn w:val="Standardnpsmoodstavce"/>
    <w:link w:val="Zpat"/>
    <w:uiPriority w:val="99"/>
    <w:rsid w:val="00FA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ri.skuhrovec@datlab.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2774</Words>
  <Characters>16368</Characters>
  <Application>Microsoft Office Word</Application>
  <DocSecurity>4</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Netolická Věra</dc:creator>
  <cp:lastModifiedBy>Veselá Ilona</cp:lastModifiedBy>
  <cp:revision>2</cp:revision>
  <dcterms:created xsi:type="dcterms:W3CDTF">2024-10-07T09:01:00Z</dcterms:created>
  <dcterms:modified xsi:type="dcterms:W3CDTF">2024-10-07T09:01:00Z</dcterms:modified>
</cp:coreProperties>
</file>