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2"/>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10"/>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1035/2024</w:t>
      </w:r>
      <w:bookmarkEnd w:id="0"/>
      <w:bookmarkEnd w:id="1"/>
      <w:bookmarkEnd w:id="2"/>
    </w:p>
    <w:p>
      <w:pPr>
        <w:pStyle w:val="Style2"/>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Číslo smlouvy zhotovitele: VP 05/2024</w:t>
      </w:r>
    </w:p>
    <w:p>
      <w:pPr>
        <w:pStyle w:val="Style10"/>
        <w:keepNext/>
        <w:keepLines/>
        <w:widowControl w:val="0"/>
        <w:shd w:val="clear" w:color="auto" w:fill="auto"/>
        <w:bidi w:val="0"/>
        <w:spacing w:before="0" w:after="0" w:line="240" w:lineRule="auto"/>
        <w:ind w:left="0" w:right="0" w:firstLine="0"/>
        <w:jc w:val="center"/>
        <w:rPr>
          <w:sz w:val="28"/>
          <w:szCs w:val="28"/>
        </w:rPr>
      </w:pPr>
      <w:bookmarkStart w:id="3" w:name="bookmark3"/>
      <w:bookmarkStart w:id="4" w:name="bookmark4"/>
      <w:bookmarkStart w:id="5" w:name="bookmark5"/>
      <w:r>
        <w:rPr>
          <w:b/>
          <w:bCs/>
          <w:color w:val="000000"/>
          <w:spacing w:val="0"/>
          <w:w w:val="100"/>
          <w:position w:val="0"/>
          <w:sz w:val="28"/>
          <w:szCs w:val="28"/>
          <w:shd w:val="clear" w:color="auto" w:fill="auto"/>
          <w:lang w:val="cs-CZ" w:eastAsia="cs-CZ" w:bidi="cs-CZ"/>
        </w:rPr>
        <w:t>„VD Křímov – rekonstrukce a zkapacitnění odpadního koryta a lmg</w:t>
        <w:br/>
        <w:t>profilu“ - projektová dokumentace (DSP/DPS)</w:t>
      </w:r>
      <w:bookmarkEnd w:id="3"/>
      <w:bookmarkEnd w:id="4"/>
      <w:bookmarkEnd w:id="5"/>
    </w:p>
    <w:p>
      <w:pPr>
        <w:pStyle w:val="Style2"/>
        <w:keepNext w:val="0"/>
        <w:keepLines w:val="0"/>
        <w:widowControl w:val="0"/>
        <w:shd w:val="clear" w:color="auto" w:fill="auto"/>
        <w:tabs>
          <w:tab w:pos="5148"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Tato smlouva byla uzavřena mezi: </w:t>
      </w:r>
      <w:r>
        <w:rPr>
          <w:b/>
          <w:bCs/>
          <w:color w:val="000000"/>
          <w:spacing w:val="0"/>
          <w:w w:val="100"/>
          <w:position w:val="0"/>
          <w:shd w:val="clear" w:color="auto" w:fill="auto"/>
          <w:lang w:val="cs-CZ" w:eastAsia="cs-CZ" w:bidi="cs-CZ"/>
        </w:rPr>
        <w:t>objednatel:</w:t>
        <w:tab/>
      </w:r>
      <w:r>
        <w:rPr>
          <w:color w:val="000000"/>
          <w:spacing w:val="0"/>
          <w:w w:val="100"/>
          <w:position w:val="0"/>
          <w:shd w:val="clear" w:color="auto" w:fill="auto"/>
          <w:lang w:val="cs-CZ" w:eastAsia="cs-CZ" w:bidi="cs-CZ"/>
        </w:rPr>
        <w:t>věcech smluvních: oprávněn jednat o věcech</w:t>
      </w:r>
    </w:p>
    <w:p>
      <w:pPr>
        <w:pStyle w:val="Style2"/>
        <w:keepNext w:val="0"/>
        <w:keepLines w:val="0"/>
        <w:widowControl w:val="0"/>
        <w:shd w:val="clear" w:color="auto" w:fill="auto"/>
        <w:bidi w:val="0"/>
        <w:spacing w:before="0" w:after="0" w:line="240" w:lineRule="auto"/>
        <w:ind w:left="5180" w:right="0" w:firstLine="0"/>
        <w:jc w:val="left"/>
      </w:pPr>
      <w:r>
        <w:rPr>
          <w:color w:val="000000"/>
          <w:spacing w:val="0"/>
          <w:w w:val="100"/>
          <w:position w:val="0"/>
          <w:shd w:val="clear" w:color="auto" w:fill="auto"/>
          <w:lang w:val="cs-CZ" w:eastAsia="cs-CZ" w:bidi="cs-CZ"/>
        </w:rPr>
        <w:t>technických:</w:t>
      </w:r>
    </w:p>
    <w:p>
      <w:pPr>
        <w:pStyle w:val="Style2"/>
        <w:keepNext w:val="0"/>
        <w:keepLines w:val="0"/>
        <w:widowControl w:val="0"/>
        <w:shd w:val="clear" w:color="auto" w:fill="auto"/>
        <w:tabs>
          <w:tab w:pos="5148" w:val="left"/>
        </w:tabs>
        <w:bidi w:val="0"/>
        <w:spacing w:before="0" w:after="0" w:line="240" w:lineRule="auto"/>
        <w:ind w:left="0" w:right="0" w:firstLine="0"/>
        <w:jc w:val="left"/>
      </w:pPr>
      <w:r>
        <w:rPr>
          <w:color w:val="000000"/>
          <w:spacing w:val="0"/>
          <w:w w:val="100"/>
          <w:position w:val="0"/>
          <w:sz w:val="20"/>
          <w:szCs w:val="20"/>
          <w:shd w:val="clear" w:color="auto" w:fill="auto"/>
          <w:vertAlign w:val="subscript"/>
          <w:lang w:val="cs-CZ" w:eastAsia="cs-CZ" w:bidi="cs-CZ"/>
        </w:rPr>
        <w:t>s</w:t>
      </w:r>
      <w:r>
        <w:rPr>
          <w:color w:val="000000"/>
          <w:spacing w:val="0"/>
          <w:w w:val="100"/>
          <w:position w:val="0"/>
          <w:sz w:val="20"/>
          <w:szCs w:val="20"/>
          <w:shd w:val="clear" w:color="auto" w:fill="auto"/>
          <w:vertAlign w:val="superscript"/>
          <w:lang w:val="cs-CZ" w:eastAsia="cs-CZ" w:bidi="cs-CZ"/>
        </w:rPr>
        <w:t>s</w:t>
      </w:r>
      <w:r>
        <w:rPr>
          <w:color w:val="000000"/>
          <w:spacing w:val="0"/>
          <w:w w:val="100"/>
          <w:position w:val="0"/>
          <w:sz w:val="20"/>
          <w:szCs w:val="20"/>
          <w:shd w:val="clear" w:color="auto" w:fill="auto"/>
          <w:vertAlign w:val="subscript"/>
          <w:lang w:val="cs-CZ" w:eastAsia="cs-CZ" w:bidi="cs-CZ"/>
        </w:rPr>
        <w:t>t</w:t>
      </w:r>
      <w:r>
        <w:rPr>
          <w:color w:val="000000"/>
          <w:spacing w:val="0"/>
          <w:w w:val="100"/>
          <w:position w:val="0"/>
          <w:sz w:val="20"/>
          <w:szCs w:val="20"/>
          <w:shd w:val="clear" w:color="auto" w:fill="auto"/>
          <w:vertAlign w:val="superscript"/>
          <w:lang w:val="cs-CZ" w:eastAsia="cs-CZ" w:bidi="cs-CZ"/>
        </w:rPr>
        <w:t>í</w:t>
      </w:r>
      <w:r>
        <w:rPr>
          <w:color w:val="000000"/>
          <w:spacing w:val="0"/>
          <w:w w:val="100"/>
          <w:position w:val="0"/>
          <w:sz w:val="20"/>
          <w:szCs w:val="20"/>
          <w:shd w:val="clear" w:color="auto" w:fill="auto"/>
          <w:vertAlign w:val="subscript"/>
          <w:lang w:val="cs-CZ" w:eastAsia="cs-CZ" w:bidi="cs-CZ"/>
        </w:rPr>
        <w:t>a</w:t>
      </w:r>
      <w:r>
        <w:rPr>
          <w:color w:val="000000"/>
          <w:spacing w:val="0"/>
          <w:w w:val="100"/>
          <w:position w:val="0"/>
          <w:sz w:val="20"/>
          <w:szCs w:val="20"/>
          <w:shd w:val="clear" w:color="auto" w:fill="auto"/>
          <w:vertAlign w:val="superscript"/>
          <w:lang w:val="cs-CZ" w:eastAsia="cs-CZ" w:bidi="cs-CZ"/>
        </w:rPr>
        <w:t>dl</w:t>
      </w:r>
      <w:r>
        <w:rPr>
          <w:color w:val="000000"/>
          <w:spacing w:val="0"/>
          <w:w w:val="100"/>
          <w:position w:val="0"/>
          <w:sz w:val="20"/>
          <w:szCs w:val="20"/>
          <w:shd w:val="clear" w:color="auto" w:fill="auto"/>
          <w:vertAlign w:val="subscript"/>
          <w:lang w:val="cs-CZ" w:eastAsia="cs-CZ" w:bidi="cs-CZ"/>
        </w:rPr>
        <w:t>t</w:t>
      </w:r>
      <w:r>
        <w:rPr>
          <w:color w:val="000000"/>
          <w:spacing w:val="0"/>
          <w:w w:val="100"/>
          <w:position w:val="0"/>
          <w:sz w:val="20"/>
          <w:szCs w:val="20"/>
          <w:shd w:val="clear" w:color="auto" w:fill="auto"/>
          <w:vertAlign w:val="superscript"/>
          <w:lang w:val="cs-CZ" w:eastAsia="cs-CZ" w:bidi="cs-CZ"/>
        </w:rPr>
        <w:t>o</w:t>
      </w:r>
      <w:r>
        <w:rPr>
          <w:color w:val="000000"/>
          <w:spacing w:val="0"/>
          <w:w w:val="100"/>
          <w:position w:val="0"/>
          <w:sz w:val="20"/>
          <w:szCs w:val="20"/>
          <w:shd w:val="clear" w:color="auto" w:fill="auto"/>
          <w:vertAlign w:val="subscript"/>
          <w:lang w:val="cs-CZ" w:eastAsia="cs-CZ" w:bidi="cs-CZ"/>
        </w:rPr>
        <w:t>u</w:t>
      </w:r>
      <w:r>
        <w:rPr>
          <w:color w:val="000000"/>
          <w:spacing w:val="0"/>
          <w:w w:val="100"/>
          <w:position w:val="0"/>
          <w:sz w:val="20"/>
          <w:szCs w:val="20"/>
          <w:shd w:val="clear" w:color="auto" w:fill="auto"/>
          <w:vertAlign w:val="superscript"/>
          <w:lang w:val="cs-CZ" w:eastAsia="cs-CZ" w:bidi="cs-CZ"/>
        </w:rPr>
        <w:t>:</w:t>
      </w:r>
      <w:r>
        <w:rPr>
          <w:color w:val="000000"/>
          <w:spacing w:val="0"/>
          <w:w w:val="100"/>
          <w:position w:val="0"/>
          <w:sz w:val="20"/>
          <w:szCs w:val="20"/>
          <w:shd w:val="clear" w:color="auto" w:fill="auto"/>
          <w:vertAlign w:val="subscript"/>
          <w:lang w:val="cs-CZ" w:eastAsia="cs-CZ" w:bidi="cs-CZ"/>
        </w:rPr>
        <w:t>tární orgán:</w:t>
      </w:r>
      <w:r>
        <w:rPr>
          <w:color w:val="000000"/>
          <w:spacing w:val="0"/>
          <w:w w:val="100"/>
          <w:position w:val="0"/>
          <w:sz w:val="20"/>
          <w:szCs w:val="20"/>
          <w:shd w:val="clear" w:color="auto" w:fill="auto"/>
          <w:lang w:val="cs-CZ" w:eastAsia="cs-CZ" w:bidi="cs-CZ"/>
        </w:rPr>
        <w:tab/>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5148" w:val="left"/>
        </w:tabs>
        <w:bidi w:val="0"/>
        <w:spacing w:before="0" w:after="0" w:line="240" w:lineRule="auto"/>
        <w:ind w:left="0" w:right="0" w:firstLine="0"/>
        <w:jc w:val="left"/>
      </w:pPr>
      <w:r>
        <w:rPr>
          <w:color w:val="000000"/>
          <w:spacing w:val="0"/>
          <w:w w:val="100"/>
          <w:position w:val="0"/>
          <w:sz w:val="20"/>
          <w:szCs w:val="20"/>
          <w:shd w:val="clear" w:color="auto" w:fill="auto"/>
          <w:vertAlign w:val="superscript"/>
          <w:lang w:val="cs-CZ" w:eastAsia="cs-CZ" w:bidi="cs-CZ"/>
        </w:rPr>
        <w:t>statutární orgán:</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Bezručova 4219, 430 03 Chomutov</w:t>
      </w:r>
    </w:p>
    <w:p>
      <w:pPr>
        <w:pStyle w:val="Style2"/>
        <w:keepNext w:val="0"/>
        <w:keepLines w:val="0"/>
        <w:widowControl w:val="0"/>
        <w:shd w:val="clear" w:color="auto" w:fill="auto"/>
        <w:tabs>
          <w:tab w:pos="5148" w:val="left"/>
        </w:tabs>
        <w:bidi w:val="0"/>
        <w:spacing w:before="0" w:after="0" w:line="180" w:lineRule="auto"/>
        <w:ind w:left="0" w:right="0" w:firstLine="0"/>
        <w:jc w:val="left"/>
        <w:rPr>
          <w:sz w:val="20"/>
          <w:szCs w:val="20"/>
        </w:rPr>
      </w:pPr>
      <w:r>
        <w:rPr>
          <w:color w:val="000000"/>
          <w:spacing w:val="0"/>
          <w:w w:val="100"/>
          <w:position w:val="0"/>
          <w:sz w:val="22"/>
          <w:szCs w:val="22"/>
          <w:shd w:val="clear" w:color="auto" w:fill="auto"/>
          <w:lang w:val="cs-CZ" w:eastAsia="cs-CZ" w:bidi="cs-CZ"/>
        </w:rPr>
        <w:t>oprávněn k podpisu smlouvy a k jednání o</w:t>
        <w:tab/>
      </w:r>
      <w:r>
        <w:rPr>
          <w:color w:val="000000"/>
          <w:spacing w:val="0"/>
          <w:w w:val="100"/>
          <w:position w:val="0"/>
          <w:sz w:val="20"/>
          <w:szCs w:val="20"/>
          <w:shd w:val="clear" w:color="auto" w:fill="auto"/>
          <w:vertAlign w:val="superscript"/>
          <w:lang w:val="cs-CZ" w:eastAsia="cs-CZ" w:bidi="cs-CZ"/>
        </w:rPr>
        <w:t>Bezručova 4219, 430 03 Chomutov</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zástupce objednatele:</w:t>
      </w:r>
    </w:p>
    <w:p>
      <w:pPr>
        <w:pStyle w:val="Style2"/>
        <w:keepNext w:val="0"/>
        <w:keepLines w:val="0"/>
        <w:widowControl w:val="0"/>
        <w:shd w:val="clear" w:color="auto" w:fill="auto"/>
        <w:tabs>
          <w:tab w:pos="4061"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4061"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pStyle w:val="Style16"/>
        <w:keepNext/>
        <w:keepLines/>
        <w:widowControl w:val="0"/>
        <w:shd w:val="clear" w:color="auto" w:fill="auto"/>
        <w:tabs>
          <w:tab w:pos="4061" w:val="left"/>
        </w:tabs>
        <w:bidi w:val="0"/>
        <w:spacing w:before="0" w:after="0" w:line="240" w:lineRule="auto"/>
        <w:ind w:left="0" w:right="0" w:firstLine="0"/>
        <w:jc w:val="left"/>
      </w:pPr>
      <w:bookmarkStart w:id="6" w:name="bookmark6"/>
      <w:bookmarkStart w:id="7" w:name="bookmark7"/>
      <w:bookmarkStart w:id="8" w:name="bookmark8"/>
      <w:r>
        <w:rPr>
          <w:b/>
          <w:bCs/>
          <w:color w:val="000000"/>
          <w:spacing w:val="0"/>
          <w:w w:val="100"/>
          <w:position w:val="0"/>
          <w:shd w:val="clear" w:color="auto" w:fill="auto"/>
          <w:lang w:val="cs-CZ" w:eastAsia="cs-CZ" w:bidi="cs-CZ"/>
        </w:rPr>
        <w:t>zhotovitel:</w:t>
        <w:tab/>
        <w:t>“VP PROJEKTING” s.r.o.</w:t>
      </w:r>
      <w:bookmarkEnd w:id="6"/>
      <w:bookmarkEnd w:id="7"/>
      <w:bookmarkEnd w:id="8"/>
    </w:p>
    <w:p>
      <w:pPr>
        <w:pStyle w:val="Style2"/>
        <w:keepNext w:val="0"/>
        <w:keepLines w:val="0"/>
        <w:widowControl w:val="0"/>
        <w:shd w:val="clear" w:color="auto" w:fill="auto"/>
        <w:tabs>
          <w:tab w:pos="4061"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Přemyslova 84/3</w:t>
      </w:r>
    </w:p>
    <w:p>
      <w:pPr>
        <w:pStyle w:val="Style2"/>
        <w:keepNext w:val="0"/>
        <w:keepLines w:val="0"/>
        <w:widowControl w:val="0"/>
        <w:shd w:val="clear" w:color="auto" w:fill="auto"/>
        <w:bidi w:val="0"/>
        <w:spacing w:before="0" w:after="0" w:line="240" w:lineRule="auto"/>
        <w:ind w:left="0" w:right="0" w:firstLine="4300"/>
        <w:jc w:val="both"/>
      </w:pPr>
      <w:r>
        <w:rPr>
          <w:color w:val="000000"/>
          <w:spacing w:val="0"/>
          <w:w w:val="100"/>
          <w:position w:val="0"/>
          <w:shd w:val="clear" w:color="auto" w:fill="auto"/>
          <w:lang w:val="cs-CZ" w:eastAsia="cs-CZ" w:bidi="cs-CZ"/>
        </w:rPr>
        <w:t>Praha 2 – Vyšehrad doručovací adresa: oprávněn(i) k podpisu smlouvy:</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oprávněn(i) jednat o věcech smluvních: oprávněn(i) jednat o věcech technických:</w:t>
      </w:r>
    </w:p>
    <w:p>
      <w:pPr>
        <w:pStyle w:val="Style2"/>
        <w:keepNext w:val="0"/>
        <w:keepLines w:val="0"/>
        <w:widowControl w:val="0"/>
        <w:shd w:val="clear" w:color="auto" w:fill="auto"/>
        <w:tabs>
          <w:tab w:pos="4339"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63676907</w:t>
      </w:r>
    </w:p>
    <w:p>
      <w:pPr>
        <w:pStyle w:val="Style2"/>
        <w:keepNext w:val="0"/>
        <w:keepLines w:val="0"/>
        <w:widowControl w:val="0"/>
        <w:shd w:val="clear" w:color="auto" w:fill="auto"/>
        <w:tabs>
          <w:tab w:pos="4339"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CZ63676907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číslo účtu:</w:t>
      </w:r>
    </w:p>
    <w:p>
      <w:pPr>
        <w:pStyle w:val="Style2"/>
        <w:keepNext w:val="0"/>
        <w:keepLines w:val="0"/>
        <w:widowControl w:val="0"/>
        <w:shd w:val="clear" w:color="auto" w:fill="auto"/>
        <w:tabs>
          <w:tab w:pos="4339" w:val="left"/>
        </w:tabs>
        <w:bidi w:val="0"/>
        <w:spacing w:before="0" w:after="0" w:line="214" w:lineRule="auto"/>
        <w:ind w:left="0" w:right="0" w:firstLine="0"/>
        <w:jc w:val="left"/>
      </w:pPr>
      <w:r>
        <w:rPr>
          <w:color w:val="000000"/>
          <w:spacing w:val="0"/>
          <w:w w:val="100"/>
          <w:position w:val="0"/>
          <w:shd w:val="clear" w:color="auto" w:fill="auto"/>
          <w:lang w:val="cs-CZ" w:eastAsia="cs-CZ" w:bidi="cs-CZ"/>
        </w:rPr>
        <w:t>zápis v obchodním rejstříku: ID datové schránky: (dále jen „zhotovitel“)</w:t>
        <w:tab/>
        <w:t>Městský soud v Praze, oddíl C, vložka 37180</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m8ibaaq</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berou na vědomí, že</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9"/>
        <w:keepNext/>
        <w:keepLines/>
        <w:widowControl w:val="0"/>
        <w:numPr>
          <w:ilvl w:val="0"/>
          <w:numId w:val="1"/>
        </w:numPr>
        <w:shd w:val="clear" w:color="auto" w:fill="auto"/>
        <w:tabs>
          <w:tab w:pos="490" w:val="left"/>
        </w:tabs>
        <w:bidi w:val="0"/>
        <w:spacing w:before="0" w:after="60" w:line="240" w:lineRule="auto"/>
        <w:ind w:left="0" w:right="0" w:firstLine="0"/>
        <w:jc w:val="center"/>
      </w:pPr>
      <w:bookmarkStart w:id="10" w:name="bookmark10"/>
      <w:bookmarkStart w:id="11" w:name="bookmark11"/>
      <w:bookmarkStart w:id="12" w:name="bookmark12"/>
      <w:bookmarkStart w:id="9" w:name="bookmark9"/>
      <w:bookmarkEnd w:id="11"/>
      <w:r>
        <w:rPr>
          <w:color w:val="000000"/>
          <w:spacing w:val="0"/>
          <w:w w:val="100"/>
          <w:position w:val="0"/>
          <w:shd w:val="clear" w:color="auto" w:fill="auto"/>
          <w:lang w:val="cs-CZ" w:eastAsia="cs-CZ" w:bidi="cs-CZ"/>
        </w:rPr>
        <w:t>PŘEDMĚT SMLOUVY A PŘEDMĚT DÍLA</w:t>
      </w:r>
      <w:bookmarkEnd w:id="10"/>
      <w:bookmarkEnd w:id="12"/>
      <w:bookmarkEnd w:id="9"/>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Předmětem veřejné zakázky je zpracování projektové dokumentace pro povolení stavby v podrobnostech projektové dokumentace pro provádění stavby, včetně dokladové části, soupisu prací a vyhodnocení potřeby zajištění koordinátora BOZP v přípravě a realizaci stavby. Součástí bude inženýrská činnost vedoucí k získání povolení stavby.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Předmětem díla je zpracování PD pro rekonstrukci a zkapacitnění odpadního koryta a limnigrafického profilu VD Křímov v k.ú. Suchdol u Křímova. Projektová dokumentace bude vypracována dle Varianty IV vycházející z dříve zpracovaných podkladů (dále Studie) uvedených níže. Varianta byla zvolena na základě porovnání simulací proudění pro Q10 000, (pro vybrané varianty i Qmax vývar a Q10) a s ohledem na ekonomickou efektivitu úprav a provoz za běžných průtokových stavů, která má následující charakteristiky:</w:t>
      </w:r>
    </w:p>
    <w:p>
      <w:pPr>
        <w:pStyle w:val="Style2"/>
        <w:keepNext w:val="0"/>
        <w:keepLines w:val="0"/>
        <w:widowControl w:val="0"/>
        <w:shd w:val="clear" w:color="auto" w:fill="auto"/>
        <w:bidi w:val="0"/>
        <w:spacing w:before="0" w:after="0" w:line="226" w:lineRule="auto"/>
        <w:ind w:left="78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upravená osa koryta ze dvou úseků – kruhového oblouku o poloměru 215 m a přímého úseku spojujícího konec oblouku s přírodním korytem.</w:t>
      </w:r>
    </w:p>
    <w:p>
      <w:pPr>
        <w:pStyle w:val="Style2"/>
        <w:keepNext w:val="0"/>
        <w:keepLines w:val="0"/>
        <w:widowControl w:val="0"/>
        <w:shd w:val="clear" w:color="auto" w:fill="auto"/>
        <w:bidi w:val="0"/>
        <w:spacing w:before="0" w:after="0" w:line="226" w:lineRule="auto"/>
        <w:ind w:left="78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upravený podélný sklon – úsek v délce 35 m od vývaru ve sklonu 9 % na kótu 524.49 m, následně v mírnějším sklonu 2,4 % po konec úpravy.</w:t>
      </w:r>
    </w:p>
    <w:p>
      <w:pPr>
        <w:pStyle w:val="Style2"/>
        <w:keepNext w:val="0"/>
        <w:keepLines w:val="0"/>
        <w:widowControl w:val="0"/>
        <w:shd w:val="clear" w:color="auto" w:fill="auto"/>
        <w:bidi w:val="0"/>
        <w:spacing w:before="0" w:after="0" w:line="216" w:lineRule="auto"/>
        <w:ind w:left="0" w:right="0" w:firstLine="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terénní úpravy inundačního území za vývarem v délce 35 m od prahu vývaru</w:t>
      </w:r>
    </w:p>
    <w:p>
      <w:pPr>
        <w:pStyle w:val="Style2"/>
        <w:keepNext w:val="0"/>
        <w:keepLines w:val="0"/>
        <w:widowControl w:val="0"/>
        <w:shd w:val="clear" w:color="auto" w:fill="auto"/>
        <w:bidi w:val="0"/>
        <w:spacing w:before="0" w:after="0" w:line="226" w:lineRule="auto"/>
        <w:ind w:left="78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oblast inundace, která je extrémními průtoky zatápěna, bude opevněna těžkých kamenným záhozem. Ten bude překryt vrstvou zeminy a zatravněn.</w:t>
      </w:r>
    </w:p>
    <w:p>
      <w:pPr>
        <w:pStyle w:val="Style2"/>
        <w:keepNext w:val="0"/>
        <w:keepLines w:val="0"/>
        <w:widowControl w:val="0"/>
        <w:shd w:val="clear" w:color="auto" w:fill="auto"/>
        <w:bidi w:val="0"/>
        <w:spacing w:before="0" w:after="0" w:line="216" w:lineRule="auto"/>
        <w:ind w:left="0" w:right="0" w:firstLine="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prodloužení přechodového úseku od prahu vývaru do standardního příčného průřezu koryta.</w:t>
      </w:r>
    </w:p>
    <w:p>
      <w:pPr>
        <w:pStyle w:val="Style2"/>
        <w:keepNext w:val="0"/>
        <w:keepLines w:val="0"/>
        <w:widowControl w:val="0"/>
        <w:shd w:val="clear" w:color="auto" w:fill="auto"/>
        <w:bidi w:val="0"/>
        <w:spacing w:before="0" w:line="226" w:lineRule="auto"/>
        <w:ind w:left="78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zkapacitnění koryta – pro bezpečné převedení Q10 000 je potřeba koryto ve dně rozšířit na 2,5 m. Průtočná plocha vychází z předpokladu sklony svahů 1:1,5.</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poskytne zhotoviteli tyto Studie: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„VD Křímov - 3. provozní uzávěr SV DN 800 - zpracování hydrotechnických výpočtů – měrná křivka bezpečnostních přelivů a funkce vývaru VD Křimov“, „VD Křímov - 3. provozní uzávěr SV DN 800 - zpracování hydrotechnických výpočtů spodních výpustí“, „VD Křímov - 3. provozní uzávěr SV DN 800 - zpracování hydrotechnických výpočtů – měrná křivka bezpečnostních přelivů a funkce vývaru VD Křimov – doplnění“.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díla jsou výsledky jednání, zápisy nebo záznamy z výrobních výborů se zástupci objednatele.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pPr>
        <w:pStyle w:val="Style10"/>
        <w:keepNext/>
        <w:keepLines/>
        <w:widowControl w:val="0"/>
        <w:shd w:val="clear" w:color="auto" w:fill="auto"/>
        <w:bidi w:val="0"/>
        <w:spacing w:before="0" w:after="0" w:line="240" w:lineRule="auto"/>
        <w:ind w:left="0" w:right="0" w:firstLine="0"/>
        <w:jc w:val="both"/>
      </w:pPr>
      <w:bookmarkStart w:id="13" w:name="bookmark13"/>
      <w:bookmarkStart w:id="14" w:name="bookmark14"/>
      <w:bookmarkStart w:id="15" w:name="bookmark15"/>
      <w:r>
        <w:rPr>
          <w:color w:val="000000"/>
          <w:spacing w:val="0"/>
          <w:w w:val="100"/>
          <w:position w:val="0"/>
          <w:shd w:val="clear" w:color="auto" w:fill="auto"/>
          <w:lang w:val="cs-CZ" w:eastAsia="cs-CZ" w:bidi="cs-CZ"/>
        </w:rPr>
        <w:t>Dále je součástí dokladové části tzv. majetkoprávní elaborát – souhlasy dotčených vlastníků nemovitostí s trvalým nebo dočasným záborem na vzorových formulářích, které poskytne objednatel.</w:t>
      </w:r>
      <w:bookmarkEnd w:id="13"/>
      <w:bookmarkEnd w:id="14"/>
      <w:bookmarkEnd w:id="15"/>
    </w:p>
    <w:p>
      <w:pPr>
        <w:pStyle w:val="Style10"/>
        <w:keepNext/>
        <w:keepLines/>
        <w:widowControl w:val="0"/>
        <w:shd w:val="clear" w:color="auto" w:fill="auto"/>
        <w:bidi w:val="0"/>
        <w:spacing w:before="0" w:after="80" w:line="240" w:lineRule="auto"/>
        <w:ind w:left="0" w:right="0" w:firstLine="0"/>
        <w:jc w:val="both"/>
      </w:pPr>
      <w:bookmarkStart w:id="16" w:name="bookmark16"/>
      <w:bookmarkStart w:id="17" w:name="bookmark17"/>
      <w:bookmarkStart w:id="18" w:name="bookmark18"/>
      <w:r>
        <w:rPr>
          <w:color w:val="000000"/>
          <w:spacing w:val="0"/>
          <w:w w:val="100"/>
          <w:position w:val="0"/>
          <w:shd w:val="clear" w:color="auto" w:fill="auto"/>
          <w:lang w:val="cs-CZ" w:eastAsia="cs-CZ" w:bidi="cs-CZ"/>
        </w:rPr>
        <w:t>V případě potřeby poskytne objednatel nezbytně nutnou součinnost k zajištění souhlasů dotčených vlastníků.</w:t>
      </w:r>
      <w:bookmarkEnd w:id="16"/>
      <w:bookmarkEnd w:id="17"/>
      <w:bookmarkEnd w:id="18"/>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Dle § 187 zákona č. 283/2021 Sb. musí být souhlas s navrhovaným stavebním záměrem vyznačen na situačním výkresu projektové dokumentace a musí obsahovat identifikační údaje a podpis vlastníka pozemku nebo stavby, na nichž má být záměr povolen, nebo oprávněného k realizaci záměru z práva stavby nebo ze služebnosti. Identifikačními údaji jsou u</w:t>
      </w:r>
    </w:p>
    <w:p>
      <w:pPr>
        <w:pStyle w:val="Style10"/>
        <w:keepNext/>
        <w:keepLines/>
        <w:widowControl w:val="0"/>
        <w:numPr>
          <w:ilvl w:val="0"/>
          <w:numId w:val="3"/>
        </w:numPr>
        <w:shd w:val="clear" w:color="auto" w:fill="auto"/>
        <w:tabs>
          <w:tab w:pos="403" w:val="left"/>
        </w:tabs>
        <w:bidi w:val="0"/>
        <w:spacing w:before="0" w:after="0" w:line="240" w:lineRule="auto"/>
        <w:ind w:left="0" w:right="0" w:firstLine="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fyzické osoby jméno, příjmení, datum narození, adresa místa trvalého pobytu, a nemá-li ji, adresa bydliště,</w:t>
      </w:r>
      <w:bookmarkEnd w:id="19"/>
      <w:bookmarkEnd w:id="20"/>
      <w:bookmarkEnd w:id="22"/>
    </w:p>
    <w:p>
      <w:pPr>
        <w:pStyle w:val="Style10"/>
        <w:keepNext/>
        <w:keepLines/>
        <w:widowControl w:val="0"/>
        <w:numPr>
          <w:ilvl w:val="0"/>
          <w:numId w:val="3"/>
        </w:numPr>
        <w:shd w:val="clear" w:color="auto" w:fill="auto"/>
        <w:tabs>
          <w:tab w:pos="403" w:val="left"/>
        </w:tabs>
        <w:bidi w:val="0"/>
        <w:spacing w:before="0" w:after="80" w:line="240" w:lineRule="auto"/>
        <w:ind w:left="0" w:right="0" w:firstLine="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právnické osoby název, sídlo a identifikační číslo osoby, bylo-li přiděleno.</w:t>
      </w:r>
      <w:bookmarkEnd w:id="23"/>
      <w:bookmarkEnd w:id="24"/>
      <w:bookmarkEnd w:id="26"/>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Originály dokladů včetně konverze stanovisek a rozhodnutí dotčených orgánů státní správy obdržených elektronicky předá zhotovitel v jednom samostatném tištěném souboru (deskách).</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16"/>
        <w:keepNext/>
        <w:keepLines/>
        <w:widowControl w:val="0"/>
        <w:numPr>
          <w:ilvl w:val="0"/>
          <w:numId w:val="1"/>
        </w:numPr>
        <w:shd w:val="clear" w:color="auto" w:fill="auto"/>
        <w:tabs>
          <w:tab w:pos="403" w:val="left"/>
        </w:tabs>
        <w:bidi w:val="0"/>
        <w:spacing w:before="0" w:line="240" w:lineRule="auto"/>
        <w:ind w:left="0" w:right="0" w:firstLine="0"/>
        <w:jc w:val="center"/>
      </w:pPr>
      <w:bookmarkStart w:id="27" w:name="bookmark27"/>
      <w:bookmarkStart w:id="28" w:name="bookmark28"/>
      <w:bookmarkStart w:id="29" w:name="bookmark29"/>
      <w:bookmarkStart w:id="30" w:name="bookmark30"/>
      <w:bookmarkEnd w:id="29"/>
      <w:r>
        <w:rPr>
          <w:b/>
          <w:bCs/>
          <w:color w:val="000000"/>
          <w:spacing w:val="0"/>
          <w:w w:val="100"/>
          <w:position w:val="0"/>
          <w:shd w:val="clear" w:color="auto" w:fill="auto"/>
          <w:lang w:val="cs-CZ" w:eastAsia="cs-CZ" w:bidi="cs-CZ"/>
        </w:rPr>
        <w:t>DÍLO A ZPŮSOB PROVEDENÍ DÍLA</w:t>
      </w:r>
      <w:bookmarkEnd w:id="27"/>
      <w:bookmarkEnd w:id="28"/>
      <w:bookmarkEnd w:id="30"/>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dílo v souladu s §162 zákona č. 283/2021 Sb. (stavební zákon), ve znění pozdějších předpisů, a to s odbornou péčí, v rozsahu a kvalitě podle této smlouvy a v termínu plnění, jak je definováno níže.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Projektová dokumentace bude zpracována v souladu s vyhláškou č. 131/2024 Sb., o dokumentaci staveb. a vyhláškou č. 169/2016 Sb., o stanovení rozsahu dokumentace veřejné zakázky na stavební práce a soupisu stavebních prací, dodávek a služeb s výkazem výměr, ve znění vyhlášky č. 405/2017 Sb.</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Nad rámec povinných částí ve smyslu vyhlášky č. 131/2024 Sb., o dokumentaci staveb, ve znění pozdějších předpisů požadujeme zpracovat:</w:t>
      </w:r>
    </w:p>
    <w:p>
      <w:pPr>
        <w:pStyle w:val="Style2"/>
        <w:keepNext w:val="0"/>
        <w:keepLines w:val="0"/>
        <w:widowControl w:val="0"/>
        <w:numPr>
          <w:ilvl w:val="0"/>
          <w:numId w:val="5"/>
        </w:numPr>
        <w:shd w:val="clear" w:color="auto" w:fill="auto"/>
        <w:tabs>
          <w:tab w:pos="403" w:val="left"/>
        </w:tabs>
        <w:bidi w:val="0"/>
        <w:spacing w:before="0" w:after="0" w:line="240" w:lineRule="auto"/>
        <w:ind w:left="480" w:right="0" w:hanging="480"/>
        <w:jc w:val="both"/>
      </w:pPr>
      <w:bookmarkStart w:id="31" w:name="bookmark31"/>
      <w:bookmarkEnd w:id="31"/>
      <w:r>
        <w:rPr>
          <w:color w:val="000000"/>
          <w:spacing w:val="0"/>
          <w:w w:val="100"/>
          <w:position w:val="0"/>
          <w:shd w:val="clear" w:color="auto" w:fill="auto"/>
          <w:lang w:val="cs-CZ" w:eastAsia="cs-CZ" w:bidi="cs-CZ"/>
        </w:rPr>
        <w:t>Povodňový plán stavby (PP) - 1x paré tištěné a elektronicky pro doplnění zhotovitelem stavby (_.doc).</w:t>
      </w:r>
    </w:p>
    <w:p>
      <w:pPr>
        <w:pStyle w:val="Style2"/>
        <w:keepNext w:val="0"/>
        <w:keepLines w:val="0"/>
        <w:widowControl w:val="0"/>
        <w:numPr>
          <w:ilvl w:val="0"/>
          <w:numId w:val="5"/>
        </w:numPr>
        <w:shd w:val="clear" w:color="auto" w:fill="auto"/>
        <w:tabs>
          <w:tab w:pos="403" w:val="left"/>
        </w:tabs>
        <w:bidi w:val="0"/>
        <w:spacing w:before="0" w:after="0" w:line="240" w:lineRule="auto"/>
        <w:ind w:left="480" w:right="0" w:hanging="480"/>
        <w:jc w:val="both"/>
      </w:pPr>
      <w:bookmarkStart w:id="32" w:name="bookmark32"/>
      <w:bookmarkEnd w:id="32"/>
      <w:r>
        <w:rPr>
          <w:color w:val="000000"/>
          <w:spacing w:val="0"/>
          <w:w w:val="100"/>
          <w:position w:val="0"/>
          <w:shd w:val="clear" w:color="auto" w:fill="auto"/>
          <w:lang w:val="cs-CZ" w:eastAsia="cs-CZ" w:bidi="cs-CZ"/>
        </w:rPr>
        <w:t>Plán havarijních opatření na staveništi (HP) -1x paré tištěné a elektronicky pro doplnění zhotovitelem stavby (_.doc).</w:t>
      </w:r>
    </w:p>
    <w:p>
      <w:pPr>
        <w:pStyle w:val="Style2"/>
        <w:keepNext w:val="0"/>
        <w:keepLines w:val="0"/>
        <w:widowControl w:val="0"/>
        <w:numPr>
          <w:ilvl w:val="0"/>
          <w:numId w:val="5"/>
        </w:numPr>
        <w:shd w:val="clear" w:color="auto" w:fill="auto"/>
        <w:tabs>
          <w:tab w:pos="403" w:val="left"/>
        </w:tabs>
        <w:bidi w:val="0"/>
        <w:spacing w:before="0" w:after="0" w:line="240" w:lineRule="auto"/>
        <w:ind w:left="480" w:right="0" w:hanging="480"/>
        <w:jc w:val="both"/>
      </w:pPr>
      <w:bookmarkStart w:id="33" w:name="bookmark33"/>
      <w:bookmarkEnd w:id="33"/>
      <w:r>
        <w:rPr>
          <w:color w:val="000000"/>
          <w:spacing w:val="0"/>
          <w:w w:val="100"/>
          <w:position w:val="0"/>
          <w:shd w:val="clear" w:color="auto" w:fill="auto"/>
          <w:lang w:val="cs-CZ" w:eastAsia="cs-CZ" w:bidi="cs-CZ"/>
        </w:rPr>
        <w:t>Zajištění souboru fotografií přímo dotčených nemovitostí (pozemků) se souhlasem vlastníka nemovitosti - 1x paré tištěné a elektronicky (_.pdf).</w:t>
      </w:r>
    </w:p>
    <w:p>
      <w:pPr>
        <w:pStyle w:val="Style2"/>
        <w:keepNext w:val="0"/>
        <w:keepLines w:val="0"/>
        <w:widowControl w:val="0"/>
        <w:numPr>
          <w:ilvl w:val="0"/>
          <w:numId w:val="5"/>
        </w:numPr>
        <w:shd w:val="clear" w:color="auto" w:fill="auto"/>
        <w:tabs>
          <w:tab w:pos="403" w:val="left"/>
        </w:tabs>
        <w:bidi w:val="0"/>
        <w:spacing w:before="0" w:after="0" w:line="240" w:lineRule="auto"/>
        <w:ind w:left="480" w:right="0" w:hanging="480"/>
        <w:jc w:val="both"/>
      </w:pPr>
      <w:bookmarkStart w:id="34" w:name="bookmark34"/>
      <w:bookmarkEnd w:id="34"/>
      <w:r>
        <w:rPr>
          <w:color w:val="000000"/>
          <w:spacing w:val="0"/>
          <w:w w:val="100"/>
          <w:position w:val="0"/>
          <w:shd w:val="clear" w:color="auto" w:fill="auto"/>
          <w:lang w:val="cs-CZ" w:eastAsia="cs-CZ" w:bidi="cs-CZ"/>
        </w:rPr>
        <w:t>Podmínky provádění stavebních prací a návrh zásad kontroly jejich kvality (KZP) - 1x paré tištěné a elektronicky pro doplnění zhotovitelem (_.xls).</w:t>
      </w:r>
    </w:p>
    <w:p>
      <w:pPr>
        <w:pStyle w:val="Style2"/>
        <w:keepNext w:val="0"/>
        <w:keepLines w:val="0"/>
        <w:widowControl w:val="0"/>
        <w:numPr>
          <w:ilvl w:val="0"/>
          <w:numId w:val="5"/>
        </w:numPr>
        <w:shd w:val="clear" w:color="auto" w:fill="auto"/>
        <w:tabs>
          <w:tab w:pos="403" w:val="left"/>
        </w:tabs>
        <w:bidi w:val="0"/>
        <w:spacing w:before="0" w:after="0" w:line="240" w:lineRule="auto"/>
        <w:ind w:left="480" w:right="0" w:hanging="480"/>
        <w:jc w:val="both"/>
      </w:pPr>
      <w:bookmarkStart w:id="35" w:name="bookmark35"/>
      <w:bookmarkEnd w:id="35"/>
      <w:r>
        <w:rPr>
          <w:color w:val="000000"/>
          <w:spacing w:val="0"/>
          <w:w w:val="100"/>
          <w:position w:val="0"/>
          <w:shd w:val="clear" w:color="auto" w:fill="auto"/>
          <w:lang w:val="cs-CZ" w:eastAsia="cs-CZ" w:bidi="cs-CZ"/>
        </w:rPr>
        <w:t>Kontrolní rozpočet stavby zpracovaný jako soupis prací a oceněný soupis prací dle zákona č. 134/2016 Sb., v platném znění, který se zpracuje vedle běžných výstupů z programu KROS také v elektronické podobě ve formátu (_.xc4). Soupis prací se zpracuje 3x do tištěného paré PD 1, 2, a 3. Oceněný soupis prací - 2x paré tištěné se vloží se do paré č. 1 a č. 2 PD. Dále se oceněný soupis dodá elektronicky.</w:t>
      </w:r>
    </w:p>
    <w:p>
      <w:pPr>
        <w:pStyle w:val="Style2"/>
        <w:keepNext w:val="0"/>
        <w:keepLines w:val="0"/>
        <w:widowControl w:val="0"/>
        <w:shd w:val="clear" w:color="auto" w:fill="auto"/>
        <w:bidi w:val="0"/>
        <w:spacing w:before="0" w:after="0" w:line="240" w:lineRule="auto"/>
        <w:ind w:left="480" w:right="0" w:firstLine="0"/>
        <w:jc w:val="both"/>
      </w:pPr>
      <w:r>
        <w:rPr>
          <w:color w:val="000000"/>
          <w:spacing w:val="0"/>
          <w:w w:val="100"/>
          <w:position w:val="0"/>
          <w:shd w:val="clear" w:color="auto" w:fill="auto"/>
          <w:lang w:val="cs-CZ" w:eastAsia="cs-CZ" w:bidi="cs-CZ"/>
        </w:rPr>
        <w:t>Pro tvorbu jednotkových cen bude v maximální možné míře použita cenová soustava ÚRS, a. s., Praha, platná v době odevzdání předmětu plnění.</w:t>
      </w:r>
    </w:p>
    <w:p>
      <w:pPr>
        <w:pStyle w:val="Style2"/>
        <w:keepNext w:val="0"/>
        <w:keepLines w:val="0"/>
        <w:widowControl w:val="0"/>
        <w:shd w:val="clear" w:color="auto" w:fill="auto"/>
        <w:bidi w:val="0"/>
        <w:spacing w:before="0" w:after="0" w:line="240" w:lineRule="auto"/>
        <w:ind w:left="480" w:right="0" w:firstLine="0"/>
        <w:jc w:val="both"/>
      </w:pPr>
      <w:r>
        <w:rPr>
          <w:color w:val="000000"/>
          <w:spacing w:val="0"/>
          <w:w w:val="100"/>
          <w:position w:val="0"/>
          <w:shd w:val="clear" w:color="auto" w:fill="auto"/>
          <w:lang w:val="cs-CZ" w:eastAsia="cs-CZ" w:bidi="cs-CZ"/>
        </w:rPr>
        <w:t>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w:t>
      </w:r>
    </w:p>
    <w:p>
      <w:pPr>
        <w:pStyle w:val="Style2"/>
        <w:keepNext w:val="0"/>
        <w:keepLines w:val="0"/>
        <w:widowControl w:val="0"/>
        <w:numPr>
          <w:ilvl w:val="0"/>
          <w:numId w:val="5"/>
        </w:numPr>
        <w:shd w:val="clear" w:color="auto" w:fill="auto"/>
        <w:tabs>
          <w:tab w:pos="403" w:val="left"/>
        </w:tabs>
        <w:bidi w:val="0"/>
        <w:spacing w:before="0" w:line="240" w:lineRule="auto"/>
        <w:ind w:left="480" w:right="0" w:hanging="480"/>
        <w:jc w:val="both"/>
      </w:pPr>
      <w:bookmarkStart w:id="36" w:name="bookmark36"/>
      <w:bookmarkEnd w:id="36"/>
      <w:r>
        <w:rPr>
          <w:color w:val="000000"/>
          <w:spacing w:val="0"/>
          <w:w w:val="100"/>
          <w:position w:val="0"/>
          <w:shd w:val="clear" w:color="auto" w:fill="auto"/>
          <w:lang w:val="cs-CZ" w:eastAsia="cs-CZ" w:bidi="cs-CZ"/>
        </w:rPr>
        <w:t>Zpracování Sumarizační tabulky s pozemky dotčenými trvalým a dočasným záborem (předepsaný formulář objednatele)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pPr>
        <w:pStyle w:val="Style2"/>
        <w:keepNext w:val="0"/>
        <w:keepLines w:val="0"/>
        <w:widowControl w:val="0"/>
        <w:shd w:val="clear" w:color="auto" w:fill="auto"/>
        <w:bidi w:val="0"/>
        <w:spacing w:before="0" w:line="240" w:lineRule="auto"/>
        <w:ind w:left="0" w:right="0" w:firstLine="0"/>
        <w:jc w:val="both"/>
        <w:rPr>
          <w:sz w:val="16"/>
          <w:szCs w:val="16"/>
        </w:rPr>
      </w:pPr>
      <w:r>
        <w:rPr>
          <w:color w:val="000000"/>
          <w:spacing w:val="0"/>
          <w:w w:val="100"/>
          <w:position w:val="0"/>
          <w:sz w:val="22"/>
          <w:szCs w:val="22"/>
          <w:shd w:val="clear" w:color="auto" w:fill="auto"/>
          <w:lang w:val="cs-CZ" w:eastAsia="cs-CZ" w:bidi="cs-CZ"/>
        </w:rPr>
        <w:t xml:space="preserve">Kompletní projektová dokumentace bude předána celkem v počtu 3x paré tištěné + elektronicky, a </w:t>
      </w:r>
      <w:r>
        <w:rPr>
          <w:color w:val="000000"/>
          <w:spacing w:val="0"/>
          <w:w w:val="100"/>
          <w:position w:val="0"/>
          <w:sz w:val="22"/>
          <w:szCs w:val="22"/>
          <w:shd w:val="clear" w:color="auto" w:fill="auto"/>
          <w:lang w:val="cs-CZ" w:eastAsia="cs-CZ" w:bidi="cs-CZ"/>
        </w:rPr>
        <w:t>to 1x ve formátu (_.pdf), a 1x v editovatelných formátech pro potřeby objednatele (_.doc, _.docx, _.xls, _.xlsx, _.dwg a dalších), výkresy budou v souřadnicovém systému S-JTSK. Elektronická dokumentace bude tvořena souborem elektronických výkresů a dokumentů, které budou strukturované dle vyhlášky 190/2024 Sb. o podrobnostech provozu informačních systémů stavební správy ve znění pozdějších předpisů</w:t>
      </w:r>
      <w:r>
        <w:rPr>
          <w:color w:val="000000"/>
          <w:spacing w:val="0"/>
          <w:w w:val="100"/>
          <w:position w:val="0"/>
          <w:sz w:val="16"/>
          <w:szCs w:val="16"/>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Průběh prací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bude v průběhu plnění díla organizovat výrobní výbory, a to vždy minimálně 2 výrobní výbory (vstupní a závěrečný výrobní výbor). Ze všech výrobních výborů bude zhotovovat písemný zápis, který bude odsouhlasen účastníky výrobního výboru (dále jen „VV“).</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První VV bude svolán nejpozději do 10 týdnů po nabytí účinnosti smlouvy o dílo. Na tomto VV zhotovitel předloží návrh koncepčního řešení stavby na základě geodetického zaměření zájmové lokality na podkladu katastrální mapy a výsledků provedených průzkumů.</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dalším VV zhotovitel předloží návrh technického řešení k jeho odsouhlasení objednatelem na základě zpracovaných výpočtů (statických, hydrotechnických apod.), vyjádření a zjištění z obdržených dokladů, posudků či stanovisek.</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zástupce objednatele.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nejpozději 10 kalendářních dnů před konáním závěrečného VV předloží zástupci objednatele:</w:t>
      </w:r>
    </w:p>
    <w:p>
      <w:pPr>
        <w:pStyle w:val="Style2"/>
        <w:keepNext w:val="0"/>
        <w:keepLines w:val="0"/>
        <w:widowControl w:val="0"/>
        <w:numPr>
          <w:ilvl w:val="0"/>
          <w:numId w:val="7"/>
        </w:numPr>
        <w:shd w:val="clear" w:color="auto" w:fill="auto"/>
        <w:tabs>
          <w:tab w:pos="710" w:val="left"/>
        </w:tabs>
        <w:bidi w:val="0"/>
        <w:spacing w:before="0" w:after="0" w:line="240" w:lineRule="auto"/>
        <w:ind w:left="0" w:right="0" w:firstLine="340"/>
        <w:jc w:val="both"/>
      </w:pPr>
      <w:bookmarkStart w:id="37" w:name="bookmark37"/>
      <w:bookmarkEnd w:id="37"/>
      <w:r>
        <w:rPr>
          <w:color w:val="000000"/>
          <w:spacing w:val="0"/>
          <w:w w:val="100"/>
          <w:position w:val="0"/>
          <w:shd w:val="clear" w:color="auto" w:fill="auto"/>
          <w:lang w:val="cs-CZ" w:eastAsia="cs-CZ" w:bidi="cs-CZ"/>
        </w:rPr>
        <w:t>1x pracovní tištěné paré - kompletní projektové řešení stavby bez dokladové části a soupisu prací (pouze elektronicky)</w:t>
      </w:r>
    </w:p>
    <w:p>
      <w:pPr>
        <w:pStyle w:val="Style2"/>
        <w:keepNext w:val="0"/>
        <w:keepLines w:val="0"/>
        <w:widowControl w:val="0"/>
        <w:numPr>
          <w:ilvl w:val="0"/>
          <w:numId w:val="7"/>
        </w:numPr>
        <w:shd w:val="clear" w:color="auto" w:fill="auto"/>
        <w:tabs>
          <w:tab w:pos="710" w:val="left"/>
        </w:tabs>
        <w:bidi w:val="0"/>
        <w:spacing w:before="0" w:line="240" w:lineRule="auto"/>
        <w:ind w:left="0" w:right="0" w:firstLine="340"/>
        <w:jc w:val="both"/>
      </w:pPr>
      <w:bookmarkStart w:id="38" w:name="bookmark38"/>
      <w:bookmarkEnd w:id="38"/>
      <w:r>
        <w:rPr>
          <w:color w:val="000000"/>
          <w:spacing w:val="0"/>
          <w:w w:val="100"/>
          <w:position w:val="0"/>
          <w:shd w:val="clear" w:color="auto" w:fill="auto"/>
          <w:lang w:val="cs-CZ" w:eastAsia="cs-CZ" w:bidi="cs-CZ"/>
        </w:rPr>
        <w:t>1x elektronickou verzi projektového řešení stavby, a to ve stejné struktuře a obsahovém členění odpovídající tištěné verzi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 úspěšném uzavření závěrečného VV zhotovitel zajistí kompletaci PD. Kompletní dokumentace včetně dokladové části a oceněného soupisu prací bude předána zástupci objednatele v počtu 2x paré tištěné a elektronicky k dílčímu termínu plnění dle této smlouvy, pro následné projednání v příslušné komisi objednatele (Investiční komise/Dokumentační komise, dále jen „IK/DK“).</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zúčastní projednání projektové dokumentace v příslušné komisi objednatele (IK/DK). Po úspěšném projednání a schválení PD generálním ředitelem Povodí Ohře, státní podnik předá zhotovitel zástupci objednatele v termínu do 1 měsíce zbývající 1x paré tištěné a elektronickou verzi. Při neúspěšném projednání PD v příslušné komisi zhotovitel předělá části PD dle závěrů DK a znovu projedná PD v komisi následující. Jedná-li se o požadavek objednatele neprojednaný na VV, budou dodatečné práce uhrazeny na základě uzavřeného dodatku ke smlouvě o dílo.</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Tištěná paré budou označena otiskem autorizačního razítka a vlastnoručním podpisem autorizované osoby, elektronická verze dokumentace určená pro podání přes informační systém </w:t>
      </w:r>
      <w:r>
        <w:rPr>
          <w:color w:val="000000"/>
          <w:spacing w:val="0"/>
          <w:w w:val="100"/>
          <w:position w:val="0"/>
          <w:shd w:val="clear" w:color="auto" w:fill="auto"/>
          <w:lang w:val="cs-CZ" w:eastAsia="cs-CZ" w:bidi="cs-CZ"/>
        </w:rPr>
        <w:t>stavební správy bude opatřena kvalifikovaným časovým razítkem a elektronickým autorizačním podpisem v příslušném oboru či specializaci.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Objednatel následně smluvně zajistí činnost koordinátora BOZP oprávněnou osobou pro dobu přípravy a realizace stavby.</w:t>
      </w:r>
    </w:p>
    <w:p>
      <w:pPr>
        <w:pStyle w:val="Style2"/>
        <w:keepNext w:val="0"/>
        <w:keepLines w:val="0"/>
        <w:widowControl w:val="0"/>
        <w:shd w:val="clear" w:color="auto" w:fill="auto"/>
        <w:bidi w:val="0"/>
        <w:spacing w:before="0" w:after="560" w:line="240" w:lineRule="auto"/>
        <w:ind w:left="0" w:right="0" w:firstLine="0"/>
        <w:jc w:val="both"/>
      </w:pPr>
      <w:r>
        <w:rPr>
          <w:color w:val="000000"/>
          <w:spacing w:val="0"/>
          <w:w w:val="100"/>
          <w:position w:val="0"/>
          <w:shd w:val="clear" w:color="auto" w:fill="auto"/>
          <w:lang w:val="cs-CZ" w:eastAsia="cs-CZ" w:bidi="cs-CZ"/>
        </w:rPr>
        <w:t>Zhotovitel je povinen v době přípravy, resp. v době zpracovávání PD, poskytnout pověřenému koordinátorovi BOZP podklady, informace a součinnost.</w:t>
      </w:r>
    </w:p>
    <w:p>
      <w:pPr>
        <w:pStyle w:val="Style16"/>
        <w:keepNext/>
        <w:keepLines/>
        <w:widowControl w:val="0"/>
        <w:numPr>
          <w:ilvl w:val="0"/>
          <w:numId w:val="1"/>
        </w:numPr>
        <w:shd w:val="clear" w:color="auto" w:fill="auto"/>
        <w:tabs>
          <w:tab w:pos="817" w:val="left"/>
        </w:tabs>
        <w:bidi w:val="0"/>
        <w:spacing w:before="0" w:line="240" w:lineRule="auto"/>
        <w:ind w:left="0" w:right="0" w:firstLine="0"/>
        <w:jc w:val="center"/>
      </w:pPr>
      <w:bookmarkStart w:id="39" w:name="bookmark39"/>
      <w:bookmarkStart w:id="40" w:name="bookmark40"/>
      <w:bookmarkStart w:id="41" w:name="bookmark41"/>
      <w:bookmarkStart w:id="42" w:name="bookmark42"/>
      <w:bookmarkEnd w:id="41"/>
      <w:r>
        <w:rPr>
          <w:b/>
          <w:bCs/>
          <w:color w:val="000000"/>
          <w:spacing w:val="0"/>
          <w:w w:val="100"/>
          <w:position w:val="0"/>
          <w:shd w:val="clear" w:color="auto" w:fill="auto"/>
          <w:lang w:val="cs-CZ" w:eastAsia="cs-CZ" w:bidi="cs-CZ"/>
        </w:rPr>
        <w:t>TERMÍNY PLNĚNÍ</w:t>
      </w:r>
      <w:bookmarkEnd w:id="39"/>
      <w:bookmarkEnd w:id="40"/>
      <w:bookmarkEnd w:id="42"/>
    </w:p>
    <w:p>
      <w:pPr>
        <w:pStyle w:val="Style16"/>
        <w:keepNext/>
        <w:keepLines/>
        <w:widowControl w:val="0"/>
        <w:numPr>
          <w:ilvl w:val="0"/>
          <w:numId w:val="9"/>
        </w:numPr>
        <w:shd w:val="clear" w:color="auto" w:fill="auto"/>
        <w:tabs>
          <w:tab w:pos="432" w:val="left"/>
        </w:tabs>
        <w:bidi w:val="0"/>
        <w:spacing w:before="0" w:line="240" w:lineRule="auto"/>
        <w:ind w:left="0" w:right="0" w:firstLine="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Smluvní strany se dohodly na následujících lhůtách a podmínkách pro realizaci díla.</w:t>
      </w:r>
      <w:bookmarkEnd w:id="43"/>
      <w:bookmarkEnd w:id="44"/>
      <w:bookmarkEnd w:id="46"/>
    </w:p>
    <w:p>
      <w:pPr>
        <w:pStyle w:val="Style2"/>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11"/>
        </w:numPr>
        <w:shd w:val="clear" w:color="auto" w:fill="auto"/>
        <w:tabs>
          <w:tab w:pos="849" w:val="left"/>
        </w:tabs>
        <w:bidi w:val="0"/>
        <w:spacing w:before="0" w:after="0" w:line="240" w:lineRule="auto"/>
        <w:ind w:left="0" w:right="0" w:firstLine="480"/>
        <w:jc w:val="both"/>
      </w:pPr>
      <w:bookmarkStart w:id="47" w:name="bookmark47"/>
      <w:bookmarkEnd w:id="47"/>
      <w:r>
        <w:rPr>
          <w:color w:val="000000"/>
          <w:spacing w:val="0"/>
          <w:w w:val="100"/>
          <w:position w:val="0"/>
          <w:shd w:val="clear" w:color="auto" w:fill="auto"/>
          <w:lang w:val="cs-CZ" w:eastAsia="cs-CZ" w:bidi="cs-CZ"/>
        </w:rPr>
        <w:t>zahájení prací na předmětu plnění:</w:t>
      </w:r>
    </w:p>
    <w:p>
      <w:pPr>
        <w:pStyle w:val="Style2"/>
        <w:keepNext w:val="0"/>
        <w:keepLines w:val="0"/>
        <w:widowControl w:val="0"/>
        <w:shd w:val="clear" w:color="auto" w:fill="auto"/>
        <w:bidi w:val="0"/>
        <w:spacing w:before="0" w:line="240" w:lineRule="auto"/>
        <w:ind w:left="0" w:right="0" w:firstLine="760"/>
        <w:jc w:val="both"/>
      </w:pPr>
      <w:r>
        <w:rPr>
          <w:b/>
          <w:bCs/>
          <w:color w:val="000000"/>
          <w:spacing w:val="0"/>
          <w:w w:val="100"/>
          <w:position w:val="0"/>
          <w:shd w:val="clear" w:color="auto" w:fill="auto"/>
          <w:lang w:val="cs-CZ" w:eastAsia="cs-CZ" w:bidi="cs-CZ"/>
        </w:rPr>
        <w:t>bez zbytečného odkladu, nejpozději však do 10 týdnů po nabytí účinnosti smlouvy</w:t>
      </w:r>
    </w:p>
    <w:p>
      <w:pPr>
        <w:pStyle w:val="Style2"/>
        <w:keepNext w:val="0"/>
        <w:keepLines w:val="0"/>
        <w:widowControl w:val="0"/>
        <w:numPr>
          <w:ilvl w:val="0"/>
          <w:numId w:val="11"/>
        </w:numPr>
        <w:shd w:val="clear" w:color="auto" w:fill="auto"/>
        <w:tabs>
          <w:tab w:pos="849" w:val="left"/>
        </w:tabs>
        <w:bidi w:val="0"/>
        <w:spacing w:before="0" w:line="240" w:lineRule="auto"/>
        <w:ind w:left="760" w:right="0" w:hanging="280"/>
        <w:jc w:val="both"/>
      </w:pPr>
      <w:bookmarkStart w:id="48" w:name="bookmark48"/>
      <w:bookmarkEnd w:id="48"/>
      <w:r>
        <w:rPr>
          <w:color w:val="000000"/>
          <w:spacing w:val="0"/>
          <w:w w:val="100"/>
          <w:position w:val="0"/>
          <w:shd w:val="clear" w:color="auto" w:fill="auto"/>
          <w:lang w:val="cs-CZ" w:eastAsia="cs-CZ" w:bidi="cs-CZ"/>
        </w:rPr>
        <w:t xml:space="preserve">první dílčí termín – předání kompletní PD (2 x tištěné + elektronicky) po projednání na ZVV: </w:t>
      </w:r>
      <w:r>
        <w:rPr>
          <w:b/>
          <w:bCs/>
          <w:color w:val="000000"/>
          <w:spacing w:val="0"/>
          <w:w w:val="100"/>
          <w:position w:val="0"/>
          <w:shd w:val="clear" w:color="auto" w:fill="auto"/>
          <w:lang w:val="cs-CZ" w:eastAsia="cs-CZ" w:bidi="cs-CZ"/>
        </w:rPr>
        <w:t>nejpozději do 14.03.2025</w:t>
      </w:r>
    </w:p>
    <w:p>
      <w:pPr>
        <w:pStyle w:val="Style2"/>
        <w:keepNext w:val="0"/>
        <w:keepLines w:val="0"/>
        <w:widowControl w:val="0"/>
        <w:numPr>
          <w:ilvl w:val="0"/>
          <w:numId w:val="11"/>
        </w:numPr>
        <w:shd w:val="clear" w:color="auto" w:fill="auto"/>
        <w:tabs>
          <w:tab w:pos="849" w:val="left"/>
        </w:tabs>
        <w:bidi w:val="0"/>
        <w:spacing w:before="0" w:after="0" w:line="240" w:lineRule="auto"/>
        <w:ind w:left="0" w:right="0" w:firstLine="480"/>
        <w:jc w:val="both"/>
      </w:pPr>
      <w:bookmarkStart w:id="49" w:name="bookmark49"/>
      <w:bookmarkEnd w:id="49"/>
      <w:r>
        <w:rPr>
          <w:color w:val="000000"/>
          <w:spacing w:val="0"/>
          <w:w w:val="100"/>
          <w:position w:val="0"/>
          <w:shd w:val="clear" w:color="auto" w:fill="auto"/>
          <w:lang w:val="cs-CZ" w:eastAsia="cs-CZ" w:bidi="cs-CZ"/>
        </w:rPr>
        <w:t>předání a převzetí kompletní PD (1 x tištěné + elektronicky):</w:t>
      </w:r>
    </w:p>
    <w:p>
      <w:pPr>
        <w:pStyle w:val="Style16"/>
        <w:keepNext/>
        <w:keepLines/>
        <w:widowControl w:val="0"/>
        <w:shd w:val="clear" w:color="auto" w:fill="auto"/>
        <w:bidi w:val="0"/>
        <w:spacing w:before="0" w:line="240" w:lineRule="auto"/>
        <w:ind w:left="0" w:right="0" w:firstLine="760"/>
        <w:jc w:val="both"/>
      </w:pPr>
      <w:bookmarkStart w:id="50" w:name="bookmark50"/>
      <w:bookmarkStart w:id="51" w:name="bookmark51"/>
      <w:bookmarkStart w:id="52" w:name="bookmark52"/>
      <w:r>
        <w:rPr>
          <w:b/>
          <w:bCs/>
          <w:color w:val="000000"/>
          <w:spacing w:val="0"/>
          <w:w w:val="100"/>
          <w:position w:val="0"/>
          <w:shd w:val="clear" w:color="auto" w:fill="auto"/>
          <w:lang w:val="cs-CZ" w:eastAsia="cs-CZ" w:bidi="cs-CZ"/>
        </w:rPr>
        <w:t>1 měsíc po schválení v dokumentační komisi (dále jen DK)</w:t>
      </w:r>
      <w:bookmarkEnd w:id="50"/>
      <w:bookmarkEnd w:id="51"/>
      <w:bookmarkEnd w:id="52"/>
    </w:p>
    <w:p>
      <w:pPr>
        <w:pStyle w:val="Style2"/>
        <w:keepNext w:val="0"/>
        <w:keepLines w:val="0"/>
        <w:widowControl w:val="0"/>
        <w:shd w:val="clear" w:color="auto" w:fill="auto"/>
        <w:bidi w:val="0"/>
        <w:spacing w:before="0" w:line="240" w:lineRule="auto"/>
        <w:ind w:left="640" w:right="0" w:firstLine="0"/>
        <w:jc w:val="both"/>
      </w:pPr>
      <w:r>
        <w:rPr>
          <w:color w:val="000000"/>
          <w:spacing w:val="0"/>
          <w:w w:val="100"/>
          <w:position w:val="0"/>
          <w:shd w:val="clear" w:color="auto" w:fill="auto"/>
          <w:lang w:val="cs-CZ" w:eastAsia="cs-CZ" w:bidi="cs-CZ"/>
        </w:rPr>
        <w:t>Místem plnění je Povodí Ohře, státní podnik, se sídlem Bezručova 4219, 430 03 Chomutov odbor plánování projektů a zakázek.</w:t>
      </w:r>
    </w:p>
    <w:p>
      <w:pPr>
        <w:pStyle w:val="Style2"/>
        <w:keepNext w:val="0"/>
        <w:keepLines w:val="0"/>
        <w:widowControl w:val="0"/>
        <w:numPr>
          <w:ilvl w:val="0"/>
          <w:numId w:val="9"/>
        </w:numPr>
        <w:shd w:val="clear" w:color="auto" w:fill="auto"/>
        <w:tabs>
          <w:tab w:pos="432" w:val="left"/>
        </w:tabs>
        <w:bidi w:val="0"/>
        <w:spacing w:before="0" w:line="240" w:lineRule="auto"/>
        <w:ind w:left="480" w:right="0" w:hanging="480"/>
        <w:jc w:val="both"/>
      </w:pPr>
      <w:bookmarkStart w:id="53" w:name="bookmark53"/>
      <w:bookmarkEnd w:id="53"/>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6"/>
        <w:keepNext/>
        <w:keepLines/>
        <w:widowControl w:val="0"/>
        <w:numPr>
          <w:ilvl w:val="0"/>
          <w:numId w:val="9"/>
        </w:numPr>
        <w:shd w:val="clear" w:color="auto" w:fill="auto"/>
        <w:tabs>
          <w:tab w:pos="424" w:val="left"/>
        </w:tabs>
        <w:bidi w:val="0"/>
        <w:spacing w:before="0" w:after="0" w:line="240" w:lineRule="auto"/>
        <w:ind w:left="0" w:right="0" w:firstLine="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Dohoda smluvních stran o prodloužení termínu dokončení díla musí mít formu písemného</w:t>
      </w:r>
      <w:bookmarkEnd w:id="54"/>
      <w:bookmarkEnd w:id="55"/>
      <w:bookmarkEnd w:id="57"/>
    </w:p>
    <w:p>
      <w:pPr>
        <w:pStyle w:val="Style2"/>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dodatku k této smlouvě.</w:t>
      </w:r>
    </w:p>
    <w:p>
      <w:pPr>
        <w:pStyle w:val="Style16"/>
        <w:keepNext/>
        <w:keepLines/>
        <w:widowControl w:val="0"/>
        <w:numPr>
          <w:ilvl w:val="0"/>
          <w:numId w:val="9"/>
        </w:numPr>
        <w:shd w:val="clear" w:color="auto" w:fill="auto"/>
        <w:tabs>
          <w:tab w:pos="424" w:val="left"/>
        </w:tabs>
        <w:bidi w:val="0"/>
        <w:spacing w:before="0" w:after="0" w:line="240" w:lineRule="auto"/>
        <w:ind w:left="0" w:right="0" w:firstLine="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Dílo bude dokončeno zhotovitelem a předáno objednateli písemně na základě zápisu o</w:t>
      </w:r>
      <w:bookmarkEnd w:id="58"/>
      <w:bookmarkEnd w:id="59"/>
      <w:bookmarkEnd w:id="61"/>
    </w:p>
    <w:p>
      <w:pPr>
        <w:pStyle w:val="Style2"/>
        <w:keepNext w:val="0"/>
        <w:keepLines w:val="0"/>
        <w:widowControl w:val="0"/>
        <w:shd w:val="clear" w:color="auto" w:fill="auto"/>
        <w:bidi w:val="0"/>
        <w:spacing w:before="0" w:after="60" w:line="240" w:lineRule="auto"/>
        <w:ind w:left="0" w:right="0" w:firstLine="640"/>
        <w:jc w:val="both"/>
      </w:pPr>
      <w:r>
        <w:rPr>
          <w:color w:val="000000"/>
          <w:spacing w:val="0"/>
          <w:w w:val="100"/>
          <w:position w:val="0"/>
          <w:shd w:val="clear" w:color="auto" w:fill="auto"/>
          <w:lang w:val="cs-CZ" w:eastAsia="cs-CZ" w:bidi="cs-CZ"/>
        </w:rPr>
        <w:t>předání a převzetí díla.</w:t>
      </w:r>
    </w:p>
    <w:p>
      <w:pPr>
        <w:pStyle w:val="Style19"/>
        <w:keepNext/>
        <w:keepLines/>
        <w:widowControl w:val="0"/>
        <w:numPr>
          <w:ilvl w:val="0"/>
          <w:numId w:val="1"/>
        </w:numPr>
        <w:shd w:val="clear" w:color="auto" w:fill="auto"/>
        <w:tabs>
          <w:tab w:pos="469" w:val="left"/>
        </w:tabs>
        <w:bidi w:val="0"/>
        <w:spacing w:before="0" w:after="60" w:line="240" w:lineRule="auto"/>
        <w:ind w:left="0" w:right="0" w:firstLine="0"/>
        <w:jc w:val="center"/>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CENA</w:t>
      </w:r>
      <w:bookmarkEnd w:id="62"/>
      <w:bookmarkEnd w:id="63"/>
      <w:bookmarkEnd w:id="65"/>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Cena díla zahrnuje veškeré náklady zhotovitele související s realizací díla a činí celkem:</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369 000,- Kč bez DPH</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19"/>
        <w:keepNext/>
        <w:keepLines/>
        <w:widowControl w:val="0"/>
        <w:numPr>
          <w:ilvl w:val="0"/>
          <w:numId w:val="1"/>
        </w:numPr>
        <w:shd w:val="clear" w:color="auto" w:fill="auto"/>
        <w:tabs>
          <w:tab w:pos="424" w:val="left"/>
        </w:tabs>
        <w:bidi w:val="0"/>
        <w:spacing w:before="0" w:after="60" w:line="240" w:lineRule="auto"/>
        <w:ind w:left="0" w:right="0" w:firstLine="0"/>
        <w:jc w:val="center"/>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PLATEBNÍ PODMÍNKY</w:t>
      </w:r>
      <w:bookmarkEnd w:id="66"/>
      <w:bookmarkEnd w:id="67"/>
      <w:bookmarkEnd w:id="69"/>
    </w:p>
    <w:p>
      <w:pPr>
        <w:pStyle w:val="Style2"/>
        <w:keepNext w:val="0"/>
        <w:keepLines w:val="0"/>
        <w:widowControl w:val="0"/>
        <w:numPr>
          <w:ilvl w:val="0"/>
          <w:numId w:val="13"/>
        </w:numPr>
        <w:shd w:val="clear" w:color="auto" w:fill="auto"/>
        <w:tabs>
          <w:tab w:pos="424" w:val="left"/>
        </w:tabs>
        <w:bidi w:val="0"/>
        <w:spacing w:before="0" w:after="60" w:line="240" w:lineRule="auto"/>
        <w:ind w:left="0" w:right="0" w:firstLine="0"/>
        <w:jc w:val="both"/>
      </w:pPr>
      <w:bookmarkStart w:id="70" w:name="bookmark70"/>
      <w:bookmarkEnd w:id="70"/>
      <w:r>
        <w:rPr>
          <w:color w:val="000000"/>
          <w:spacing w:val="0"/>
          <w:w w:val="100"/>
          <w:position w:val="0"/>
          <w:shd w:val="clear" w:color="auto" w:fill="auto"/>
          <w:lang w:val="cs-CZ" w:eastAsia="cs-CZ" w:bidi="cs-CZ"/>
        </w:rPr>
        <w:t>Objednatel nebude poskytovat zhotoviteli zálohy.</w:t>
      </w:r>
    </w:p>
    <w:p>
      <w:pPr>
        <w:pStyle w:val="Style2"/>
        <w:keepNext w:val="0"/>
        <w:keepLines w:val="0"/>
        <w:widowControl w:val="0"/>
        <w:numPr>
          <w:ilvl w:val="0"/>
          <w:numId w:val="13"/>
        </w:numPr>
        <w:shd w:val="clear" w:color="auto" w:fill="auto"/>
        <w:tabs>
          <w:tab w:pos="424" w:val="left"/>
        </w:tabs>
        <w:bidi w:val="0"/>
        <w:spacing w:before="0" w:after="60" w:line="240" w:lineRule="auto"/>
        <w:ind w:left="420" w:right="0" w:hanging="420"/>
        <w:jc w:val="both"/>
      </w:pPr>
      <w:bookmarkStart w:id="71" w:name="bookmark71"/>
      <w:bookmarkEnd w:id="71"/>
      <w:r>
        <w:rPr>
          <w:color w:val="000000"/>
          <w:spacing w:val="0"/>
          <w:w w:val="100"/>
          <w:position w:val="0"/>
          <w:shd w:val="clear" w:color="auto" w:fill="auto"/>
          <w:lang w:val="cs-CZ" w:eastAsia="cs-CZ" w:bidi="cs-CZ"/>
        </w:rPr>
        <w:t xml:space="preserve">Cena díla bude hrazena na základě dílčích faktur a konečné faktury, kterou bude provedeno vyúčtování po dokončení, předání a převzetí díla bez vad. Veškeré faktury je zhotovitel povinen prokazatelně doručit objednateli nejpozději </w:t>
      </w:r>
      <w:r>
        <w:rPr>
          <w:b/>
          <w:bCs/>
          <w:color w:val="000000"/>
          <w:spacing w:val="0"/>
          <w:w w:val="100"/>
          <w:position w:val="0"/>
          <w:shd w:val="clear" w:color="auto" w:fill="auto"/>
          <w:lang w:val="cs-CZ" w:eastAsia="cs-CZ" w:bidi="cs-CZ"/>
        </w:rPr>
        <w:t xml:space="preserve">do 10 kalendářních </w:t>
      </w:r>
      <w:r>
        <w:rPr>
          <w:color w:val="000000"/>
          <w:spacing w:val="0"/>
          <w:w w:val="100"/>
          <w:position w:val="0"/>
          <w:shd w:val="clear" w:color="auto" w:fill="auto"/>
          <w:lang w:val="cs-CZ" w:eastAsia="cs-CZ" w:bidi="cs-CZ"/>
        </w:rPr>
        <w:t>dnů ode dne uskutečnění plnění. V případě pozdějšího doručení faktury objednavateli nebude tato objednavatelem přijata a zhotovitel zajistí vystavení nové faktury k datu dalšího dílčího plnění.</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Fakturace bude provedena následovně:</w:t>
      </w:r>
    </w:p>
    <w:p>
      <w:pPr>
        <w:pStyle w:val="Style2"/>
        <w:keepNext w:val="0"/>
        <w:keepLines w:val="0"/>
        <w:widowControl w:val="0"/>
        <w:numPr>
          <w:ilvl w:val="0"/>
          <w:numId w:val="15"/>
        </w:numPr>
        <w:shd w:val="clear" w:color="auto" w:fill="auto"/>
        <w:tabs>
          <w:tab w:pos="817" w:val="left"/>
        </w:tabs>
        <w:bidi w:val="0"/>
        <w:spacing w:before="0" w:after="60" w:line="240" w:lineRule="auto"/>
        <w:ind w:left="760" w:right="0" w:hanging="340"/>
        <w:jc w:val="both"/>
      </w:pPr>
      <w:bookmarkStart w:id="72" w:name="bookmark72"/>
      <w:bookmarkEnd w:id="72"/>
      <w:r>
        <w:rPr>
          <w:color w:val="000000"/>
          <w:spacing w:val="0"/>
          <w:w w:val="100"/>
          <w:position w:val="0"/>
          <w:shd w:val="clear" w:color="auto" w:fill="auto"/>
          <w:lang w:val="cs-CZ" w:eastAsia="cs-CZ" w:bidi="cs-CZ"/>
        </w:rPr>
        <w:t xml:space="preserve">V případě prvního dílčího plnění dnem protokolárního předání a převzetí kompletní PD ve výši 80 % z částky 369 000,- Kč, tj. </w:t>
      </w:r>
      <w:r>
        <w:rPr>
          <w:b/>
          <w:bCs/>
          <w:color w:val="000000"/>
          <w:spacing w:val="0"/>
          <w:w w:val="100"/>
          <w:position w:val="0"/>
          <w:shd w:val="clear" w:color="auto" w:fill="auto"/>
          <w:lang w:val="cs-CZ" w:eastAsia="cs-CZ" w:bidi="cs-CZ"/>
        </w:rPr>
        <w:t>295 200,- Kč bez DPH</w:t>
      </w:r>
      <w:r>
        <w:rPr>
          <w:color w:val="000000"/>
          <w:spacing w:val="0"/>
          <w:w w:val="100"/>
          <w:position w:val="0"/>
          <w:shd w:val="clear" w:color="auto" w:fill="auto"/>
          <w:lang w:val="cs-CZ" w:eastAsia="cs-CZ" w:bidi="cs-CZ"/>
        </w:rPr>
        <w:t>.</w:t>
      </w:r>
    </w:p>
    <w:p>
      <w:pPr>
        <w:pStyle w:val="Style2"/>
        <w:keepNext w:val="0"/>
        <w:keepLines w:val="0"/>
        <w:widowControl w:val="0"/>
        <w:numPr>
          <w:ilvl w:val="0"/>
          <w:numId w:val="15"/>
        </w:numPr>
        <w:shd w:val="clear" w:color="auto" w:fill="auto"/>
        <w:tabs>
          <w:tab w:pos="817" w:val="left"/>
        </w:tabs>
        <w:bidi w:val="0"/>
        <w:spacing w:before="0" w:after="60" w:line="240" w:lineRule="auto"/>
        <w:ind w:left="760" w:right="0" w:hanging="340"/>
        <w:jc w:val="both"/>
      </w:pPr>
      <w:bookmarkStart w:id="73" w:name="bookmark73"/>
      <w:bookmarkEnd w:id="73"/>
      <w:r>
        <w:rPr>
          <w:color w:val="000000"/>
          <w:spacing w:val="0"/>
          <w:w w:val="100"/>
          <w:position w:val="0"/>
          <w:shd w:val="clear" w:color="auto" w:fill="auto"/>
          <w:lang w:val="cs-CZ" w:eastAsia="cs-CZ" w:bidi="cs-CZ"/>
        </w:rPr>
        <w:t xml:space="preserve">V případě celkového plnění dnem podpisu „Rozhodnutí“ o schválení PD stupně generálním ředitelem Povodí Ohře, s. p., po předchozím projednání v dokumentační komisi (DK) ve výši zbývajících 20 % z částky 369 000,- Kč, </w:t>
      </w:r>
      <w:r>
        <w:rPr>
          <w:b/>
          <w:bCs/>
          <w:color w:val="000000"/>
          <w:spacing w:val="0"/>
          <w:w w:val="100"/>
          <w:position w:val="0"/>
          <w:shd w:val="clear" w:color="auto" w:fill="auto"/>
          <w:lang w:val="cs-CZ" w:eastAsia="cs-CZ" w:bidi="cs-CZ"/>
        </w:rPr>
        <w:t>tj. 73 800,- Kč bez DPH.</w:t>
      </w:r>
    </w:p>
    <w:p>
      <w:pPr>
        <w:pStyle w:val="Style2"/>
        <w:keepNext w:val="0"/>
        <w:keepLines w:val="0"/>
        <w:widowControl w:val="0"/>
        <w:shd w:val="clear" w:color="auto" w:fill="auto"/>
        <w:bidi w:val="0"/>
        <w:spacing w:before="0" w:after="60" w:line="240" w:lineRule="auto"/>
        <w:ind w:left="760" w:right="0" w:firstLine="0"/>
        <w:jc w:val="both"/>
      </w:pPr>
      <w:r>
        <w:rPr>
          <w:color w:val="000000"/>
          <w:spacing w:val="0"/>
          <w:w w:val="100"/>
          <w:position w:val="0"/>
          <w:shd w:val="clear" w:color="auto" w:fill="auto"/>
          <w:lang w:val="cs-CZ" w:eastAsia="cs-CZ" w:bidi="cs-CZ"/>
        </w:rPr>
        <w:t>Schválení PD v DK je povinen objednatel oznámit zhotoviteli do 5 pracovních dnů po podpisu Rozhodnutí generálním ředitelem Povodí Ohře, s. p.</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 xml:space="preserve">Každá faktura bude povinně obsahovat příslušné číslo akce, tj. </w:t>
      </w:r>
      <w:r>
        <w:rPr>
          <w:b/>
          <w:bCs/>
          <w:color w:val="000000"/>
          <w:spacing w:val="0"/>
          <w:w w:val="100"/>
          <w:position w:val="0"/>
          <w:shd w:val="clear" w:color="auto" w:fill="auto"/>
          <w:lang w:val="cs-CZ" w:eastAsia="cs-CZ" w:bidi="cs-CZ"/>
        </w:rPr>
        <w:t>502 586.</w:t>
      </w:r>
    </w:p>
    <w:p>
      <w:pPr>
        <w:pStyle w:val="Style2"/>
        <w:keepNext w:val="0"/>
        <w:keepLines w:val="0"/>
        <w:widowControl w:val="0"/>
        <w:numPr>
          <w:ilvl w:val="0"/>
          <w:numId w:val="13"/>
        </w:numPr>
        <w:shd w:val="clear" w:color="auto" w:fill="auto"/>
        <w:tabs>
          <w:tab w:pos="424" w:val="left"/>
        </w:tabs>
        <w:bidi w:val="0"/>
        <w:spacing w:before="0" w:after="60" w:line="240" w:lineRule="auto"/>
        <w:ind w:left="420" w:right="0" w:hanging="420"/>
        <w:jc w:val="both"/>
      </w:pPr>
      <w:bookmarkStart w:id="74" w:name="bookmark74"/>
      <w:bookmarkEnd w:id="74"/>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2"/>
        <w:keepNext w:val="0"/>
        <w:keepLines w:val="0"/>
        <w:widowControl w:val="0"/>
        <w:shd w:val="clear" w:color="auto" w:fill="auto"/>
        <w:bidi w:val="0"/>
        <w:spacing w:before="0" w:after="60" w:line="240" w:lineRule="auto"/>
        <w:ind w:left="420" w:right="0" w:firstLine="0"/>
        <w:jc w:val="both"/>
      </w:pPr>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2"/>
        <w:keepNext w:val="0"/>
        <w:keepLines w:val="0"/>
        <w:widowControl w:val="0"/>
        <w:shd w:val="clear" w:color="auto" w:fill="auto"/>
        <w:bidi w:val="0"/>
        <w:spacing w:before="0" w:after="60" w:line="240" w:lineRule="auto"/>
        <w:ind w:left="0" w:right="0" w:firstLine="42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p>
    <w:p>
      <w:pPr>
        <w:pStyle w:val="Style2"/>
        <w:keepNext w:val="0"/>
        <w:keepLines w:val="0"/>
        <w:widowControl w:val="0"/>
        <w:numPr>
          <w:ilvl w:val="0"/>
          <w:numId w:val="13"/>
        </w:numPr>
        <w:shd w:val="clear" w:color="auto" w:fill="auto"/>
        <w:tabs>
          <w:tab w:pos="424" w:val="left"/>
        </w:tabs>
        <w:bidi w:val="0"/>
        <w:spacing w:before="0" w:line="240" w:lineRule="auto"/>
        <w:ind w:left="420" w:right="0" w:hanging="420"/>
        <w:jc w:val="both"/>
      </w:pPr>
      <w:bookmarkStart w:id="75" w:name="bookmark75"/>
      <w:bookmarkEnd w:id="75"/>
      <w:r>
        <w:rPr>
          <w:color w:val="000000"/>
          <w:spacing w:val="0"/>
          <w:w w:val="100"/>
          <w:position w:val="0"/>
          <w:shd w:val="clear" w:color="auto" w:fill="auto"/>
          <w:lang w:val="cs-CZ" w:eastAsia="cs-CZ" w:bidi="cs-CZ"/>
        </w:rPr>
        <w:t xml:space="preserve">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w:t>
      </w:r>
      <w:r>
        <w:rPr>
          <w:color w:val="000000"/>
          <w:spacing w:val="0"/>
          <w:w w:val="100"/>
          <w:position w:val="0"/>
          <w:shd w:val="clear" w:color="auto" w:fill="auto"/>
          <w:lang w:val="cs-CZ" w:eastAsia="cs-CZ" w:bidi="cs-CZ"/>
        </w:rPr>
        <w:t>správcem daně vyměřena objednavateli jako sankce.</w:t>
      </w:r>
    </w:p>
    <w:p>
      <w:pPr>
        <w:pStyle w:val="Style2"/>
        <w:keepNext w:val="0"/>
        <w:keepLines w:val="0"/>
        <w:widowControl w:val="0"/>
        <w:numPr>
          <w:ilvl w:val="0"/>
          <w:numId w:val="13"/>
        </w:numPr>
        <w:shd w:val="clear" w:color="auto" w:fill="auto"/>
        <w:tabs>
          <w:tab w:pos="425" w:val="left"/>
        </w:tabs>
        <w:bidi w:val="0"/>
        <w:spacing w:before="0" w:line="240" w:lineRule="auto"/>
        <w:ind w:left="0" w:right="0" w:firstLine="0"/>
        <w:jc w:val="both"/>
      </w:pPr>
      <w:bookmarkStart w:id="76" w:name="bookmark76"/>
      <w:bookmarkEnd w:id="76"/>
      <w:r>
        <w:rPr>
          <w:color w:val="000000"/>
          <w:spacing w:val="0"/>
          <w:w w:val="100"/>
          <w:position w:val="0"/>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13"/>
        </w:numPr>
        <w:shd w:val="clear" w:color="auto" w:fill="auto"/>
        <w:tabs>
          <w:tab w:pos="425" w:val="left"/>
        </w:tabs>
        <w:bidi w:val="0"/>
        <w:spacing w:before="0" w:line="240" w:lineRule="auto"/>
        <w:ind w:left="420" w:right="0" w:hanging="420"/>
        <w:jc w:val="both"/>
      </w:pPr>
      <w:bookmarkStart w:id="77" w:name="bookmark77"/>
      <w:bookmarkEnd w:id="77"/>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9"/>
        <w:keepNext/>
        <w:keepLines/>
        <w:widowControl w:val="0"/>
        <w:numPr>
          <w:ilvl w:val="0"/>
          <w:numId w:val="1"/>
        </w:numPr>
        <w:shd w:val="clear" w:color="auto" w:fill="auto"/>
        <w:tabs>
          <w:tab w:pos="732" w:val="left"/>
        </w:tabs>
        <w:bidi w:val="0"/>
        <w:spacing w:before="0" w:line="240" w:lineRule="auto"/>
        <w:ind w:left="0" w:right="0" w:firstLine="0"/>
        <w:jc w:val="center"/>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SANKCE</w:t>
      </w:r>
      <w:bookmarkEnd w:id="78"/>
      <w:bookmarkEnd w:id="79"/>
      <w:bookmarkEnd w:id="81"/>
    </w:p>
    <w:p>
      <w:pPr>
        <w:pStyle w:val="Style2"/>
        <w:keepNext w:val="0"/>
        <w:keepLines w:val="0"/>
        <w:widowControl w:val="0"/>
        <w:numPr>
          <w:ilvl w:val="0"/>
          <w:numId w:val="17"/>
        </w:numPr>
        <w:shd w:val="clear" w:color="auto" w:fill="auto"/>
        <w:tabs>
          <w:tab w:pos="425" w:val="left"/>
        </w:tabs>
        <w:bidi w:val="0"/>
        <w:spacing w:before="0" w:line="240" w:lineRule="auto"/>
        <w:ind w:left="420" w:right="0" w:hanging="420"/>
        <w:jc w:val="both"/>
      </w:pPr>
      <w:bookmarkStart w:id="82" w:name="bookmark82"/>
      <w:bookmarkEnd w:id="82"/>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2"/>
        <w:keepNext w:val="0"/>
        <w:keepLines w:val="0"/>
        <w:widowControl w:val="0"/>
        <w:numPr>
          <w:ilvl w:val="0"/>
          <w:numId w:val="17"/>
        </w:numPr>
        <w:shd w:val="clear" w:color="auto" w:fill="auto"/>
        <w:tabs>
          <w:tab w:pos="425" w:val="left"/>
        </w:tabs>
        <w:bidi w:val="0"/>
        <w:spacing w:before="0" w:line="240" w:lineRule="auto"/>
        <w:ind w:left="420" w:right="0" w:hanging="420"/>
        <w:jc w:val="both"/>
      </w:pPr>
      <w:bookmarkStart w:id="83" w:name="bookmark83"/>
      <w:bookmarkEnd w:id="83"/>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2"/>
        <w:keepNext w:val="0"/>
        <w:keepLines w:val="0"/>
        <w:widowControl w:val="0"/>
        <w:numPr>
          <w:ilvl w:val="0"/>
          <w:numId w:val="17"/>
        </w:numPr>
        <w:shd w:val="clear" w:color="auto" w:fill="auto"/>
        <w:tabs>
          <w:tab w:pos="425" w:val="left"/>
        </w:tabs>
        <w:bidi w:val="0"/>
        <w:spacing w:before="0" w:line="240" w:lineRule="auto"/>
        <w:ind w:left="420" w:right="0" w:hanging="420"/>
        <w:jc w:val="both"/>
      </w:pPr>
      <w:bookmarkStart w:id="84" w:name="bookmark84"/>
      <w:bookmarkEnd w:id="84"/>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2"/>
        <w:keepNext w:val="0"/>
        <w:keepLines w:val="0"/>
        <w:widowControl w:val="0"/>
        <w:numPr>
          <w:ilvl w:val="0"/>
          <w:numId w:val="17"/>
        </w:numPr>
        <w:shd w:val="clear" w:color="auto" w:fill="auto"/>
        <w:tabs>
          <w:tab w:pos="425" w:val="left"/>
        </w:tabs>
        <w:bidi w:val="0"/>
        <w:spacing w:before="0" w:line="240" w:lineRule="auto"/>
        <w:ind w:left="420" w:right="0" w:hanging="420"/>
        <w:jc w:val="both"/>
      </w:pPr>
      <w:bookmarkStart w:id="85" w:name="bookmark85"/>
      <w:bookmarkEnd w:id="85"/>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7"/>
        </w:numPr>
        <w:shd w:val="clear" w:color="auto" w:fill="auto"/>
        <w:tabs>
          <w:tab w:pos="425" w:val="left"/>
        </w:tabs>
        <w:bidi w:val="0"/>
        <w:spacing w:before="0" w:line="240" w:lineRule="auto"/>
        <w:ind w:left="420" w:right="0" w:hanging="420"/>
        <w:jc w:val="both"/>
      </w:pPr>
      <w:bookmarkStart w:id="86" w:name="bookmark86"/>
      <w:bookmarkEnd w:id="8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7"/>
        </w:numPr>
        <w:shd w:val="clear" w:color="auto" w:fill="auto"/>
        <w:tabs>
          <w:tab w:pos="425" w:val="left"/>
        </w:tabs>
        <w:bidi w:val="0"/>
        <w:spacing w:before="0" w:line="240" w:lineRule="auto"/>
        <w:ind w:left="420" w:right="0" w:hanging="420"/>
        <w:jc w:val="both"/>
      </w:pPr>
      <w:bookmarkStart w:id="87" w:name="bookmark87"/>
      <w:bookmarkEnd w:id="8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7"/>
        </w:numPr>
        <w:shd w:val="clear" w:color="auto" w:fill="auto"/>
        <w:tabs>
          <w:tab w:pos="425" w:val="left"/>
        </w:tabs>
        <w:bidi w:val="0"/>
        <w:spacing w:before="0" w:after="320" w:line="240" w:lineRule="auto"/>
        <w:ind w:left="420" w:right="0" w:hanging="420"/>
        <w:jc w:val="both"/>
      </w:pPr>
      <w:bookmarkStart w:id="88" w:name="bookmark88"/>
      <w:bookmarkEnd w:id="88"/>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19"/>
        <w:keepNext/>
        <w:keepLines/>
        <w:widowControl w:val="0"/>
        <w:numPr>
          <w:ilvl w:val="0"/>
          <w:numId w:val="1"/>
        </w:numPr>
        <w:shd w:val="clear" w:color="auto" w:fill="auto"/>
        <w:tabs>
          <w:tab w:pos="732" w:val="left"/>
        </w:tabs>
        <w:bidi w:val="0"/>
        <w:spacing w:before="0" w:line="240" w:lineRule="auto"/>
        <w:ind w:left="0" w:right="0" w:firstLine="0"/>
        <w:jc w:val="center"/>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ZAJIŠTĚNÍ ZÁVAZKU</w:t>
      </w:r>
      <w:bookmarkEnd w:id="89"/>
      <w:bookmarkEnd w:id="90"/>
      <w:bookmarkEnd w:id="92"/>
    </w:p>
    <w:p>
      <w:pPr>
        <w:pStyle w:val="Style2"/>
        <w:keepNext w:val="0"/>
        <w:keepLines w:val="0"/>
        <w:widowControl w:val="0"/>
        <w:numPr>
          <w:ilvl w:val="0"/>
          <w:numId w:val="19"/>
        </w:numPr>
        <w:shd w:val="clear" w:color="auto" w:fill="auto"/>
        <w:tabs>
          <w:tab w:pos="425" w:val="left"/>
        </w:tabs>
        <w:bidi w:val="0"/>
        <w:spacing w:before="0" w:line="240" w:lineRule="auto"/>
        <w:ind w:left="420" w:right="0" w:hanging="420"/>
        <w:jc w:val="both"/>
      </w:pPr>
      <w:bookmarkStart w:id="93" w:name="bookmark93"/>
      <w:bookmarkEnd w:id="93"/>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2"/>
        <w:keepNext w:val="0"/>
        <w:keepLines w:val="0"/>
        <w:widowControl w:val="0"/>
        <w:numPr>
          <w:ilvl w:val="0"/>
          <w:numId w:val="19"/>
        </w:numPr>
        <w:shd w:val="clear" w:color="auto" w:fill="auto"/>
        <w:tabs>
          <w:tab w:pos="425" w:val="left"/>
        </w:tabs>
        <w:bidi w:val="0"/>
        <w:spacing w:before="0" w:line="240" w:lineRule="auto"/>
        <w:ind w:left="420" w:right="0" w:hanging="420"/>
        <w:jc w:val="both"/>
      </w:pPr>
      <w:bookmarkStart w:id="94" w:name="bookmark94"/>
      <w:bookmarkEnd w:id="94"/>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2"/>
        <w:keepNext w:val="0"/>
        <w:keepLines w:val="0"/>
        <w:widowControl w:val="0"/>
        <w:numPr>
          <w:ilvl w:val="0"/>
          <w:numId w:val="19"/>
        </w:numPr>
        <w:shd w:val="clear" w:color="auto" w:fill="auto"/>
        <w:tabs>
          <w:tab w:pos="425" w:val="left"/>
        </w:tabs>
        <w:bidi w:val="0"/>
        <w:spacing w:before="0" w:line="240" w:lineRule="auto"/>
        <w:ind w:left="420" w:right="0" w:hanging="420"/>
        <w:jc w:val="both"/>
      </w:pPr>
      <w:bookmarkStart w:id="95" w:name="bookmark95"/>
      <w:bookmarkEnd w:id="95"/>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w:t>
      </w:r>
    </w:p>
    <w:p>
      <w:pPr>
        <w:pStyle w:val="Style2"/>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orgánů).</w:t>
      </w:r>
    </w:p>
    <w:p>
      <w:pPr>
        <w:pStyle w:val="Style2"/>
        <w:keepNext w:val="0"/>
        <w:keepLines w:val="0"/>
        <w:widowControl w:val="0"/>
        <w:numPr>
          <w:ilvl w:val="0"/>
          <w:numId w:val="19"/>
        </w:numPr>
        <w:shd w:val="clear" w:color="auto" w:fill="auto"/>
        <w:tabs>
          <w:tab w:pos="437" w:val="left"/>
        </w:tabs>
        <w:bidi w:val="0"/>
        <w:spacing w:before="0" w:line="240" w:lineRule="auto"/>
        <w:ind w:left="480" w:right="0" w:hanging="480"/>
        <w:jc w:val="both"/>
      </w:pPr>
      <w:bookmarkStart w:id="96" w:name="bookmark96"/>
      <w:bookmarkEnd w:id="96"/>
      <w:r>
        <w:rPr>
          <w:color w:val="000000"/>
          <w:spacing w:val="0"/>
          <w:w w:val="100"/>
          <w:position w:val="0"/>
          <w:shd w:val="clear" w:color="auto" w:fill="auto"/>
          <w:lang w:val="cs-CZ" w:eastAsia="cs-CZ" w:bidi="cs-CZ"/>
        </w:rPr>
        <w:t>Odpovědnost zhotovitele jakožto projektanta se mj. řídí ustanovením §162 zákona č. 283/2021 Sb. (stavební zákon), ve znění pozdějších předpisů.</w:t>
      </w:r>
    </w:p>
    <w:p>
      <w:pPr>
        <w:pStyle w:val="Style2"/>
        <w:keepNext w:val="0"/>
        <w:keepLines w:val="0"/>
        <w:widowControl w:val="0"/>
        <w:numPr>
          <w:ilvl w:val="0"/>
          <w:numId w:val="19"/>
        </w:numPr>
        <w:shd w:val="clear" w:color="auto" w:fill="auto"/>
        <w:tabs>
          <w:tab w:pos="437" w:val="left"/>
        </w:tabs>
        <w:bidi w:val="0"/>
        <w:spacing w:before="0" w:after="0" w:line="240" w:lineRule="auto"/>
        <w:ind w:left="0" w:right="0" w:firstLine="0"/>
        <w:jc w:val="both"/>
      </w:pPr>
      <w:bookmarkStart w:id="97" w:name="bookmark97"/>
      <w:bookmarkEnd w:id="97"/>
      <w:r>
        <w:rPr>
          <w:color w:val="000000"/>
          <w:spacing w:val="0"/>
          <w:w w:val="100"/>
          <w:position w:val="0"/>
          <w:shd w:val="clear" w:color="auto" w:fill="auto"/>
          <w:lang w:val="cs-CZ" w:eastAsia="cs-CZ" w:bidi="cs-CZ"/>
        </w:rPr>
        <w:t>Zhotovitel zodpovídá za vady díla následovně:</w:t>
      </w:r>
    </w:p>
    <w:p>
      <w:pPr>
        <w:pStyle w:val="Style2"/>
        <w:keepNext w:val="0"/>
        <w:keepLines w:val="0"/>
        <w:widowControl w:val="0"/>
        <w:numPr>
          <w:ilvl w:val="0"/>
          <w:numId w:val="21"/>
        </w:numPr>
        <w:shd w:val="clear" w:color="auto" w:fill="auto"/>
        <w:tabs>
          <w:tab w:pos="851" w:val="left"/>
        </w:tabs>
        <w:bidi w:val="0"/>
        <w:spacing w:before="0" w:after="0" w:line="240" w:lineRule="auto"/>
        <w:ind w:left="840" w:right="0" w:hanging="360"/>
        <w:jc w:val="both"/>
      </w:pPr>
      <w:bookmarkStart w:id="98" w:name="bookmark98"/>
      <w:bookmarkEnd w:id="98"/>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2"/>
        <w:keepNext w:val="0"/>
        <w:keepLines w:val="0"/>
        <w:widowControl w:val="0"/>
        <w:numPr>
          <w:ilvl w:val="0"/>
          <w:numId w:val="21"/>
        </w:numPr>
        <w:shd w:val="clear" w:color="auto" w:fill="auto"/>
        <w:tabs>
          <w:tab w:pos="851" w:val="left"/>
        </w:tabs>
        <w:bidi w:val="0"/>
        <w:spacing w:before="0" w:line="240" w:lineRule="auto"/>
        <w:ind w:left="840" w:right="0" w:hanging="360"/>
        <w:jc w:val="both"/>
      </w:pPr>
      <w:bookmarkStart w:id="99" w:name="bookmark99"/>
      <w:bookmarkEnd w:id="99"/>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2"/>
        <w:keepNext w:val="0"/>
        <w:keepLines w:val="0"/>
        <w:widowControl w:val="0"/>
        <w:numPr>
          <w:ilvl w:val="0"/>
          <w:numId w:val="19"/>
        </w:numPr>
        <w:shd w:val="clear" w:color="auto" w:fill="auto"/>
        <w:tabs>
          <w:tab w:pos="437" w:val="left"/>
        </w:tabs>
        <w:bidi w:val="0"/>
        <w:spacing w:before="0" w:line="240" w:lineRule="auto"/>
        <w:ind w:left="480" w:right="0" w:hanging="480"/>
        <w:jc w:val="both"/>
      </w:pPr>
      <w:bookmarkStart w:id="100" w:name="bookmark100"/>
      <w:bookmarkEnd w:id="100"/>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2"/>
        <w:keepNext w:val="0"/>
        <w:keepLines w:val="0"/>
        <w:widowControl w:val="0"/>
        <w:numPr>
          <w:ilvl w:val="0"/>
          <w:numId w:val="19"/>
        </w:numPr>
        <w:shd w:val="clear" w:color="auto" w:fill="auto"/>
        <w:tabs>
          <w:tab w:pos="437" w:val="left"/>
        </w:tabs>
        <w:bidi w:val="0"/>
        <w:spacing w:before="0" w:line="240" w:lineRule="auto"/>
        <w:ind w:left="480" w:right="0" w:hanging="480"/>
        <w:jc w:val="both"/>
      </w:pPr>
      <w:bookmarkStart w:id="101" w:name="bookmark101"/>
      <w:bookmarkEnd w:id="101"/>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2"/>
        <w:keepNext w:val="0"/>
        <w:keepLines w:val="0"/>
        <w:widowControl w:val="0"/>
        <w:numPr>
          <w:ilvl w:val="0"/>
          <w:numId w:val="19"/>
        </w:numPr>
        <w:shd w:val="clear" w:color="auto" w:fill="auto"/>
        <w:tabs>
          <w:tab w:pos="437" w:val="left"/>
        </w:tabs>
        <w:bidi w:val="0"/>
        <w:spacing w:before="0" w:line="240" w:lineRule="auto"/>
        <w:ind w:left="480" w:right="0" w:hanging="480"/>
        <w:jc w:val="both"/>
      </w:pPr>
      <w:bookmarkStart w:id="102" w:name="bookmark102"/>
      <w:bookmarkEnd w:id="102"/>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2"/>
        <w:keepNext w:val="0"/>
        <w:keepLines w:val="0"/>
        <w:widowControl w:val="0"/>
        <w:numPr>
          <w:ilvl w:val="0"/>
          <w:numId w:val="19"/>
        </w:numPr>
        <w:shd w:val="clear" w:color="auto" w:fill="auto"/>
        <w:tabs>
          <w:tab w:pos="437" w:val="left"/>
        </w:tabs>
        <w:bidi w:val="0"/>
        <w:spacing w:before="0" w:line="240" w:lineRule="auto"/>
        <w:ind w:left="480" w:right="0" w:hanging="480"/>
        <w:jc w:val="both"/>
      </w:pPr>
      <w:bookmarkStart w:id="103" w:name="bookmark103"/>
      <w:bookmarkEnd w:id="103"/>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2"/>
        <w:keepNext w:val="0"/>
        <w:keepLines w:val="0"/>
        <w:widowControl w:val="0"/>
        <w:numPr>
          <w:ilvl w:val="0"/>
          <w:numId w:val="19"/>
        </w:numPr>
        <w:shd w:val="clear" w:color="auto" w:fill="auto"/>
        <w:tabs>
          <w:tab w:pos="491" w:val="left"/>
        </w:tabs>
        <w:bidi w:val="0"/>
        <w:spacing w:before="0" w:after="580" w:line="240" w:lineRule="auto"/>
        <w:ind w:left="480" w:right="0" w:hanging="480"/>
        <w:jc w:val="both"/>
      </w:pPr>
      <w:bookmarkStart w:id="104" w:name="bookmark104"/>
      <w:bookmarkEnd w:id="104"/>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19"/>
        <w:keepNext/>
        <w:keepLines/>
        <w:widowControl w:val="0"/>
        <w:numPr>
          <w:ilvl w:val="0"/>
          <w:numId w:val="1"/>
        </w:numPr>
        <w:shd w:val="clear" w:color="auto" w:fill="auto"/>
        <w:tabs>
          <w:tab w:pos="757" w:val="left"/>
        </w:tabs>
        <w:bidi w:val="0"/>
        <w:spacing w:before="0" w:line="240" w:lineRule="auto"/>
        <w:ind w:left="0" w:right="0" w:firstLine="0"/>
        <w:jc w:val="center"/>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LICENČNÍ PODMÍNKY</w:t>
      </w:r>
      <w:bookmarkEnd w:id="105"/>
      <w:bookmarkEnd w:id="106"/>
      <w:bookmarkEnd w:id="108"/>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9"/>
        <w:keepNext/>
        <w:keepLines/>
        <w:widowControl w:val="0"/>
        <w:numPr>
          <w:ilvl w:val="0"/>
          <w:numId w:val="1"/>
        </w:numPr>
        <w:shd w:val="clear" w:color="auto" w:fill="auto"/>
        <w:tabs>
          <w:tab w:pos="757" w:val="left"/>
        </w:tabs>
        <w:bidi w:val="0"/>
        <w:spacing w:before="0" w:line="240" w:lineRule="auto"/>
        <w:ind w:left="0" w:right="0" w:firstLine="0"/>
        <w:jc w:val="center"/>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NÁHRADA ŠKODY</w:t>
      </w:r>
      <w:bookmarkEnd w:id="109"/>
      <w:bookmarkEnd w:id="110"/>
      <w:bookmarkEnd w:id="112"/>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9"/>
        <w:keepNext/>
        <w:keepLines/>
        <w:widowControl w:val="0"/>
        <w:numPr>
          <w:ilvl w:val="0"/>
          <w:numId w:val="1"/>
        </w:numPr>
        <w:shd w:val="clear" w:color="auto" w:fill="auto"/>
        <w:tabs>
          <w:tab w:pos="757" w:val="left"/>
        </w:tabs>
        <w:bidi w:val="0"/>
        <w:spacing w:before="0" w:line="240" w:lineRule="auto"/>
        <w:ind w:left="0" w:right="0" w:firstLine="0"/>
        <w:jc w:val="center"/>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OSTATNÍ USTANOVEN Í</w:t>
      </w:r>
      <w:bookmarkEnd w:id="113"/>
      <w:bookmarkEnd w:id="114"/>
      <w:bookmarkEnd w:id="116"/>
    </w:p>
    <w:p>
      <w:pPr>
        <w:pStyle w:val="Style2"/>
        <w:keepNext w:val="0"/>
        <w:keepLines w:val="0"/>
        <w:widowControl w:val="0"/>
        <w:numPr>
          <w:ilvl w:val="0"/>
          <w:numId w:val="23"/>
        </w:numPr>
        <w:shd w:val="clear" w:color="auto" w:fill="auto"/>
        <w:tabs>
          <w:tab w:pos="437" w:val="left"/>
        </w:tabs>
        <w:bidi w:val="0"/>
        <w:spacing w:before="0" w:line="240" w:lineRule="auto"/>
        <w:ind w:left="480" w:right="0" w:hanging="480"/>
        <w:jc w:val="both"/>
      </w:pPr>
      <w:bookmarkStart w:id="117" w:name="bookmark117"/>
      <w:bookmarkEnd w:id="117"/>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2"/>
        <w:keepNext w:val="0"/>
        <w:keepLines w:val="0"/>
        <w:widowControl w:val="0"/>
        <w:numPr>
          <w:ilvl w:val="0"/>
          <w:numId w:val="23"/>
        </w:numPr>
        <w:shd w:val="clear" w:color="auto" w:fill="auto"/>
        <w:tabs>
          <w:tab w:pos="418" w:val="left"/>
        </w:tabs>
        <w:bidi w:val="0"/>
        <w:spacing w:before="0" w:after="200" w:line="240" w:lineRule="auto"/>
        <w:ind w:left="420" w:right="0" w:hanging="420"/>
        <w:jc w:val="both"/>
      </w:pPr>
      <w:bookmarkStart w:id="118" w:name="bookmark118"/>
      <w:bookmarkEnd w:id="118"/>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2"/>
        <w:keepNext w:val="0"/>
        <w:keepLines w:val="0"/>
        <w:widowControl w:val="0"/>
        <w:numPr>
          <w:ilvl w:val="0"/>
          <w:numId w:val="23"/>
        </w:numPr>
        <w:shd w:val="clear" w:color="auto" w:fill="auto"/>
        <w:tabs>
          <w:tab w:pos="418" w:val="left"/>
        </w:tabs>
        <w:bidi w:val="0"/>
        <w:spacing w:before="0" w:after="0" w:line="240" w:lineRule="auto"/>
        <w:ind w:left="420" w:right="0" w:hanging="420"/>
        <w:jc w:val="both"/>
      </w:pPr>
      <w:bookmarkStart w:id="119" w:name="bookmark119"/>
      <w:bookmarkEnd w:id="119"/>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2"/>
        <w:keepNext w:val="0"/>
        <w:keepLines w:val="0"/>
        <w:widowControl w:val="0"/>
        <w:numPr>
          <w:ilvl w:val="0"/>
          <w:numId w:val="23"/>
        </w:numPr>
        <w:shd w:val="clear" w:color="auto" w:fill="auto"/>
        <w:tabs>
          <w:tab w:pos="418" w:val="left"/>
        </w:tabs>
        <w:bidi w:val="0"/>
        <w:spacing w:before="0" w:after="0" w:line="240" w:lineRule="auto"/>
        <w:ind w:left="420" w:right="0" w:hanging="420"/>
        <w:jc w:val="both"/>
      </w:pPr>
      <w:bookmarkStart w:id="120" w:name="bookmark120"/>
      <w:bookmarkEnd w:id="120"/>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2"/>
        <w:keepNext w:val="0"/>
        <w:keepLines w:val="0"/>
        <w:widowControl w:val="0"/>
        <w:numPr>
          <w:ilvl w:val="0"/>
          <w:numId w:val="23"/>
        </w:numPr>
        <w:shd w:val="clear" w:color="auto" w:fill="auto"/>
        <w:tabs>
          <w:tab w:pos="418" w:val="left"/>
        </w:tabs>
        <w:bidi w:val="0"/>
        <w:spacing w:before="0" w:line="240" w:lineRule="auto"/>
        <w:ind w:left="420" w:right="0" w:hanging="420"/>
        <w:jc w:val="both"/>
      </w:pPr>
      <w:bookmarkStart w:id="121" w:name="bookmark121"/>
      <w:bookmarkEnd w:id="121"/>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16"/>
        <w:keepNext/>
        <w:keepLines/>
        <w:widowControl w:val="0"/>
        <w:numPr>
          <w:ilvl w:val="0"/>
          <w:numId w:val="23"/>
        </w:numPr>
        <w:shd w:val="clear" w:color="auto" w:fill="auto"/>
        <w:tabs>
          <w:tab w:pos="418" w:val="left"/>
        </w:tabs>
        <w:bidi w:val="0"/>
        <w:spacing w:before="0" w:after="580" w:line="240" w:lineRule="auto"/>
        <w:ind w:right="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22"/>
      <w:bookmarkEnd w:id="123"/>
      <w:bookmarkEnd w:id="125"/>
    </w:p>
    <w:p>
      <w:pPr>
        <w:pStyle w:val="Style19"/>
        <w:keepNext/>
        <w:keepLines/>
        <w:widowControl w:val="0"/>
        <w:numPr>
          <w:ilvl w:val="0"/>
          <w:numId w:val="1"/>
        </w:numPr>
        <w:shd w:val="clear" w:color="auto" w:fill="auto"/>
        <w:tabs>
          <w:tab w:pos="689" w:val="left"/>
        </w:tabs>
        <w:bidi w:val="0"/>
        <w:spacing w:before="0" w:line="240" w:lineRule="auto"/>
        <w:ind w:left="0" w:right="0" w:firstLine="0"/>
        <w:jc w:val="center"/>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COMPLIANCE DOLOŽKA</w:t>
      </w:r>
      <w:bookmarkEnd w:id="126"/>
      <w:bookmarkEnd w:id="127"/>
      <w:bookmarkEnd w:id="129"/>
    </w:p>
    <w:p>
      <w:pPr>
        <w:pStyle w:val="Style16"/>
        <w:keepNext/>
        <w:keepLines/>
        <w:widowControl w:val="0"/>
        <w:numPr>
          <w:ilvl w:val="0"/>
          <w:numId w:val="25"/>
        </w:numPr>
        <w:shd w:val="clear" w:color="auto" w:fill="auto"/>
        <w:tabs>
          <w:tab w:pos="418" w:val="left"/>
        </w:tabs>
        <w:bidi w:val="0"/>
        <w:spacing w:before="0" w:line="240" w:lineRule="auto"/>
        <w:ind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30"/>
      <w:bookmarkEnd w:id="131"/>
      <w:bookmarkEnd w:id="133"/>
    </w:p>
    <w:p>
      <w:pPr>
        <w:pStyle w:val="Style16"/>
        <w:keepNext/>
        <w:keepLines/>
        <w:widowControl w:val="0"/>
        <w:numPr>
          <w:ilvl w:val="0"/>
          <w:numId w:val="25"/>
        </w:numPr>
        <w:shd w:val="clear" w:color="auto" w:fill="auto"/>
        <w:tabs>
          <w:tab w:pos="418" w:val="left"/>
        </w:tabs>
        <w:bidi w:val="0"/>
        <w:spacing w:before="0" w:line="240" w:lineRule="auto"/>
        <w:ind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34"/>
      <w:bookmarkEnd w:id="135"/>
      <w:bookmarkEnd w:id="137"/>
    </w:p>
    <w:p>
      <w:pPr>
        <w:pStyle w:val="Style16"/>
        <w:keepNext/>
        <w:keepLines/>
        <w:widowControl w:val="0"/>
        <w:numPr>
          <w:ilvl w:val="0"/>
          <w:numId w:val="25"/>
        </w:numPr>
        <w:shd w:val="clear" w:color="auto" w:fill="auto"/>
        <w:tabs>
          <w:tab w:pos="418" w:val="left"/>
        </w:tabs>
        <w:bidi w:val="0"/>
        <w:spacing w:before="0" w:after="0" w:line="240" w:lineRule="auto"/>
        <w:ind w:left="0" w:right="0" w:firstLine="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Zhotovitel prohlašuje, že se seznámil se zásadami, hodnotami a cíli Compliance programu</w:t>
      </w:r>
      <w:bookmarkEnd w:id="138"/>
      <w:bookmarkEnd w:id="139"/>
      <w:bookmarkEnd w:id="141"/>
    </w:p>
    <w:p>
      <w:pPr>
        <w:pStyle w:val="Style2"/>
        <w:keepNext w:val="0"/>
        <w:keepLines w:val="0"/>
        <w:widowControl w:val="0"/>
        <w:shd w:val="clear" w:color="auto" w:fill="auto"/>
        <w:tabs>
          <w:tab w:pos="3516" w:val="left"/>
          <w:tab w:pos="6492" w:val="left"/>
          <w:tab w:pos="9276" w:val="left"/>
        </w:tabs>
        <w:bidi w:val="0"/>
        <w:spacing w:before="0" w:after="0" w:line="240" w:lineRule="auto"/>
        <w:ind w:left="0" w:right="0" w:firstLine="42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line="240" w:lineRule="auto"/>
        <w:ind w:left="420" w:right="0" w:firstLine="2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6"/>
        <w:keepNext/>
        <w:keepLines/>
        <w:widowControl w:val="0"/>
        <w:numPr>
          <w:ilvl w:val="0"/>
          <w:numId w:val="25"/>
        </w:numPr>
        <w:shd w:val="clear" w:color="auto" w:fill="auto"/>
        <w:tabs>
          <w:tab w:pos="418" w:val="left"/>
        </w:tabs>
        <w:bidi w:val="0"/>
        <w:spacing w:before="0" w:line="240" w:lineRule="auto"/>
        <w:ind w:right="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42"/>
      <w:bookmarkEnd w:id="143"/>
      <w:bookmarkEnd w:id="145"/>
    </w:p>
    <w:p>
      <w:pPr>
        <w:pStyle w:val="Style19"/>
        <w:keepNext/>
        <w:keepLines/>
        <w:widowControl w:val="0"/>
        <w:numPr>
          <w:ilvl w:val="0"/>
          <w:numId w:val="1"/>
        </w:numPr>
        <w:shd w:val="clear" w:color="auto" w:fill="auto"/>
        <w:tabs>
          <w:tab w:pos="689" w:val="left"/>
        </w:tabs>
        <w:bidi w:val="0"/>
        <w:spacing w:before="0" w:line="240" w:lineRule="auto"/>
        <w:ind w:left="0" w:right="0" w:firstLine="0"/>
        <w:jc w:val="center"/>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OCHRANA A ZPRACOVÁNÍ OSOBNÍCH ÚDAJŮ</w:t>
      </w:r>
      <w:bookmarkEnd w:id="146"/>
      <w:bookmarkEnd w:id="147"/>
      <w:bookmarkEnd w:id="149"/>
    </w:p>
    <w:p>
      <w:pPr>
        <w:pStyle w:val="Style2"/>
        <w:keepNext w:val="0"/>
        <w:keepLines w:val="0"/>
        <w:widowControl w:val="0"/>
        <w:shd w:val="clear" w:color="auto" w:fill="auto"/>
        <w:bidi w:val="0"/>
        <w:spacing w:before="0" w:line="240" w:lineRule="auto"/>
        <w:ind w:left="420" w:right="0" w:firstLine="2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w:t>
      </w:r>
      <w:r>
        <w:rPr>
          <w:color w:val="000000"/>
          <w:spacing w:val="0"/>
          <w:w w:val="100"/>
          <w:position w:val="0"/>
          <w:shd w:val="clear" w:color="auto" w:fill="auto"/>
          <w:lang w:val="cs-CZ" w:eastAsia="cs-CZ" w:bidi="cs-CZ"/>
        </w:rPr>
        <w:t>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w:t>
      </w:r>
    </w:p>
    <w:p>
      <w:pPr>
        <w:pStyle w:val="Style2"/>
        <w:keepNext w:val="0"/>
        <w:keepLines w:val="0"/>
        <w:widowControl w:val="0"/>
        <w:shd w:val="clear" w:color="auto" w:fill="auto"/>
        <w:bidi w:val="0"/>
        <w:spacing w:before="0" w:after="320" w:line="240" w:lineRule="auto"/>
        <w:ind w:left="0" w:right="0" w:firstLine="420"/>
        <w:jc w:val="both"/>
      </w:pP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19"/>
        <w:keepNext/>
        <w:keepLines/>
        <w:widowControl w:val="0"/>
        <w:numPr>
          <w:ilvl w:val="0"/>
          <w:numId w:val="1"/>
        </w:numPr>
        <w:shd w:val="clear" w:color="auto" w:fill="auto"/>
        <w:tabs>
          <w:tab w:pos="691" w:val="left"/>
        </w:tabs>
        <w:bidi w:val="0"/>
        <w:spacing w:before="0" w:line="240" w:lineRule="auto"/>
        <w:ind w:left="0" w:right="0" w:firstLine="0"/>
        <w:jc w:val="center"/>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ZÁVĚREČNÁ USTANOVENÍ</w:t>
      </w:r>
      <w:bookmarkEnd w:id="150"/>
      <w:bookmarkEnd w:id="151"/>
      <w:bookmarkEnd w:id="153"/>
    </w:p>
    <w:p>
      <w:pPr>
        <w:pStyle w:val="Style2"/>
        <w:keepNext w:val="0"/>
        <w:keepLines w:val="0"/>
        <w:widowControl w:val="0"/>
        <w:numPr>
          <w:ilvl w:val="0"/>
          <w:numId w:val="27"/>
        </w:numPr>
        <w:shd w:val="clear" w:color="auto" w:fill="auto"/>
        <w:tabs>
          <w:tab w:pos="400" w:val="left"/>
        </w:tabs>
        <w:bidi w:val="0"/>
        <w:spacing w:before="0" w:line="240" w:lineRule="auto"/>
        <w:ind w:left="420" w:right="0" w:hanging="420"/>
        <w:jc w:val="both"/>
      </w:pPr>
      <w:bookmarkStart w:id="154" w:name="bookmark154"/>
      <w:bookmarkEnd w:id="154"/>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2"/>
        <w:keepNext w:val="0"/>
        <w:keepLines w:val="0"/>
        <w:widowControl w:val="0"/>
        <w:numPr>
          <w:ilvl w:val="0"/>
          <w:numId w:val="27"/>
        </w:numPr>
        <w:shd w:val="clear" w:color="auto" w:fill="auto"/>
        <w:tabs>
          <w:tab w:pos="400" w:val="left"/>
        </w:tabs>
        <w:bidi w:val="0"/>
        <w:spacing w:before="0" w:line="283" w:lineRule="auto"/>
        <w:ind w:left="420" w:right="0" w:hanging="420"/>
        <w:jc w:val="both"/>
      </w:pPr>
      <w:bookmarkStart w:id="155" w:name="bookmark155"/>
      <w:bookmarkEnd w:id="155"/>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2"/>
        <w:keepNext w:val="0"/>
        <w:keepLines w:val="0"/>
        <w:widowControl w:val="0"/>
        <w:numPr>
          <w:ilvl w:val="0"/>
          <w:numId w:val="27"/>
        </w:numPr>
        <w:shd w:val="clear" w:color="auto" w:fill="auto"/>
        <w:tabs>
          <w:tab w:pos="400" w:val="left"/>
        </w:tabs>
        <w:bidi w:val="0"/>
        <w:spacing w:before="0" w:after="0" w:line="240" w:lineRule="auto"/>
        <w:ind w:left="420" w:right="0" w:hanging="420"/>
        <w:jc w:val="both"/>
      </w:pPr>
      <w:bookmarkStart w:id="156" w:name="bookmark156"/>
      <w:bookmarkEnd w:id="156"/>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2"/>
        <w:keepNext w:val="0"/>
        <w:keepLines w:val="0"/>
        <w:widowControl w:val="0"/>
        <w:numPr>
          <w:ilvl w:val="0"/>
          <w:numId w:val="27"/>
        </w:numPr>
        <w:shd w:val="clear" w:color="auto" w:fill="auto"/>
        <w:tabs>
          <w:tab w:pos="400" w:val="left"/>
        </w:tabs>
        <w:bidi w:val="0"/>
        <w:spacing w:before="0" w:line="240" w:lineRule="auto"/>
        <w:ind w:left="420" w:right="0" w:hanging="420"/>
        <w:jc w:val="both"/>
      </w:pPr>
      <w:bookmarkStart w:id="157" w:name="bookmark157"/>
      <w:bookmarkEnd w:id="157"/>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2"/>
        <w:keepNext w:val="0"/>
        <w:keepLines w:val="0"/>
        <w:widowControl w:val="0"/>
        <w:numPr>
          <w:ilvl w:val="0"/>
          <w:numId w:val="27"/>
        </w:numPr>
        <w:shd w:val="clear" w:color="auto" w:fill="auto"/>
        <w:tabs>
          <w:tab w:pos="400" w:val="left"/>
        </w:tabs>
        <w:bidi w:val="0"/>
        <w:spacing w:before="0" w:line="240" w:lineRule="auto"/>
        <w:ind w:left="420" w:right="0" w:hanging="420"/>
        <w:jc w:val="both"/>
      </w:pPr>
      <w:bookmarkStart w:id="158" w:name="bookmark158"/>
      <w:bookmarkEnd w:id="158"/>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2"/>
        <w:keepNext w:val="0"/>
        <w:keepLines w:val="0"/>
        <w:widowControl w:val="0"/>
        <w:numPr>
          <w:ilvl w:val="0"/>
          <w:numId w:val="27"/>
        </w:numPr>
        <w:shd w:val="clear" w:color="auto" w:fill="auto"/>
        <w:tabs>
          <w:tab w:pos="400" w:val="left"/>
        </w:tabs>
        <w:bidi w:val="0"/>
        <w:spacing w:before="0" w:line="240" w:lineRule="auto"/>
        <w:ind w:left="420" w:right="0" w:hanging="420"/>
        <w:jc w:val="both"/>
      </w:pPr>
      <w:bookmarkStart w:id="159" w:name="bookmark159"/>
      <w:bookmarkEnd w:id="159"/>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2"/>
        <w:keepNext w:val="0"/>
        <w:keepLines w:val="0"/>
        <w:widowControl w:val="0"/>
        <w:numPr>
          <w:ilvl w:val="0"/>
          <w:numId w:val="27"/>
        </w:numPr>
        <w:shd w:val="clear" w:color="auto" w:fill="auto"/>
        <w:tabs>
          <w:tab w:pos="400" w:val="left"/>
        </w:tabs>
        <w:bidi w:val="0"/>
        <w:spacing w:before="0" w:line="240" w:lineRule="auto"/>
        <w:ind w:left="420" w:right="0" w:hanging="420"/>
        <w:jc w:val="both"/>
      </w:pPr>
      <w:bookmarkStart w:id="160" w:name="bookmark160"/>
      <w:bookmarkEnd w:id="160"/>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2"/>
        <w:keepNext w:val="0"/>
        <w:keepLines w:val="0"/>
        <w:widowControl w:val="0"/>
        <w:numPr>
          <w:ilvl w:val="0"/>
          <w:numId w:val="27"/>
        </w:numPr>
        <w:shd w:val="clear" w:color="auto" w:fill="auto"/>
        <w:tabs>
          <w:tab w:pos="400" w:val="left"/>
        </w:tabs>
        <w:bidi w:val="0"/>
        <w:spacing w:before="0" w:line="240" w:lineRule="auto"/>
        <w:ind w:left="420" w:right="0" w:hanging="420"/>
        <w:jc w:val="both"/>
      </w:pPr>
      <w:bookmarkStart w:id="161" w:name="bookmark161"/>
      <w:bookmarkEnd w:id="161"/>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2"/>
        <w:keepNext w:val="0"/>
        <w:keepLines w:val="0"/>
        <w:widowControl w:val="0"/>
        <w:numPr>
          <w:ilvl w:val="0"/>
          <w:numId w:val="27"/>
        </w:numPr>
        <w:shd w:val="clear" w:color="auto" w:fill="auto"/>
        <w:tabs>
          <w:tab w:pos="400" w:val="left"/>
        </w:tabs>
        <w:bidi w:val="0"/>
        <w:spacing w:before="0" w:line="240" w:lineRule="auto"/>
        <w:ind w:left="0" w:right="0" w:firstLine="0"/>
        <w:jc w:val="both"/>
      </w:pPr>
      <w:bookmarkStart w:id="162" w:name="bookmark162"/>
      <w:bookmarkEnd w:id="162"/>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2"/>
        <w:keepNext w:val="0"/>
        <w:keepLines w:val="0"/>
        <w:widowControl w:val="0"/>
        <w:numPr>
          <w:ilvl w:val="0"/>
          <w:numId w:val="27"/>
        </w:numPr>
        <w:shd w:val="clear" w:color="auto" w:fill="auto"/>
        <w:tabs>
          <w:tab w:pos="463" w:val="left"/>
        </w:tabs>
        <w:bidi w:val="0"/>
        <w:spacing w:before="0" w:line="240" w:lineRule="auto"/>
        <w:ind w:left="420" w:right="0" w:hanging="420"/>
        <w:jc w:val="both"/>
      </w:pPr>
      <w:bookmarkStart w:id="163" w:name="bookmark163"/>
      <w:bookmarkEnd w:id="163"/>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2"/>
        <w:keepNext w:val="0"/>
        <w:keepLines w:val="0"/>
        <w:widowControl w:val="0"/>
        <w:numPr>
          <w:ilvl w:val="0"/>
          <w:numId w:val="27"/>
        </w:numPr>
        <w:shd w:val="clear" w:color="auto" w:fill="auto"/>
        <w:tabs>
          <w:tab w:pos="463" w:val="left"/>
        </w:tabs>
        <w:bidi w:val="0"/>
        <w:spacing w:before="0" w:line="240" w:lineRule="auto"/>
        <w:ind w:left="420" w:right="0" w:hanging="420"/>
        <w:jc w:val="both"/>
      </w:pPr>
      <w:bookmarkStart w:id="164" w:name="bookmark164"/>
      <w:bookmarkEnd w:id="164"/>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w:t>
        <w:br w:type="page"/>
      </w:r>
      <w:r>
        <w:rPr>
          <w:color w:val="000000"/>
          <w:spacing w:val="0"/>
          <w:w w:val="100"/>
          <w:position w:val="0"/>
          <w:shd w:val="clear" w:color="auto" w:fill="auto"/>
          <w:lang w:val="cs-CZ" w:eastAsia="cs-CZ" w:bidi="cs-CZ"/>
        </w:rPr>
        <w:t>zavazují bez zbytečného odkladu zahájit jednání, jehož cílem bude nahrazení takového neplatného ustanovení ustanovením platným, které bude nejblíže účelu a smyslu neplatného ustanovení.</w:t>
      </w:r>
    </w:p>
    <w:p>
      <w:pPr>
        <w:pStyle w:val="Style2"/>
        <w:keepNext w:val="0"/>
        <w:keepLines w:val="0"/>
        <w:widowControl w:val="0"/>
        <w:numPr>
          <w:ilvl w:val="0"/>
          <w:numId w:val="27"/>
        </w:numPr>
        <w:shd w:val="clear" w:color="auto" w:fill="auto"/>
        <w:tabs>
          <w:tab w:pos="502" w:val="left"/>
        </w:tabs>
        <w:bidi w:val="0"/>
        <w:spacing w:before="0" w:line="240" w:lineRule="auto"/>
        <w:ind w:left="420" w:right="0" w:hanging="420"/>
        <w:jc w:val="both"/>
      </w:pPr>
      <w:bookmarkStart w:id="165" w:name="bookmark165"/>
      <w:bookmarkEnd w:id="165"/>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502" w:val="left"/>
        </w:tabs>
        <w:bidi w:val="0"/>
        <w:spacing w:before="0" w:line="240" w:lineRule="auto"/>
        <w:ind w:left="420" w:right="0" w:hanging="420"/>
        <w:jc w:val="both"/>
      </w:pPr>
      <w:bookmarkStart w:id="166" w:name="bookmark166"/>
      <w:bookmarkEnd w:id="166"/>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2"/>
        <w:keepNext w:val="0"/>
        <w:keepLines w:val="0"/>
        <w:widowControl w:val="0"/>
        <w:numPr>
          <w:ilvl w:val="0"/>
          <w:numId w:val="27"/>
        </w:numPr>
        <w:shd w:val="clear" w:color="auto" w:fill="auto"/>
        <w:tabs>
          <w:tab w:pos="502" w:val="left"/>
        </w:tabs>
        <w:bidi w:val="0"/>
        <w:spacing w:before="0" w:line="240" w:lineRule="auto"/>
        <w:ind w:left="0" w:right="0" w:firstLine="0"/>
        <w:jc w:val="both"/>
      </w:pPr>
      <w:bookmarkStart w:id="167" w:name="bookmark167"/>
      <w:bookmarkEnd w:id="167"/>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7"/>
        </w:numPr>
        <w:shd w:val="clear" w:color="auto" w:fill="auto"/>
        <w:tabs>
          <w:tab w:pos="502" w:val="left"/>
        </w:tabs>
        <w:bidi w:val="0"/>
        <w:spacing w:before="0" w:line="240" w:lineRule="auto"/>
        <w:ind w:left="420" w:right="0" w:hanging="420"/>
        <w:jc w:val="both"/>
      </w:pPr>
      <w:bookmarkStart w:id="168" w:name="bookmark168"/>
      <w:bookmarkEnd w:id="16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7"/>
        </w:numPr>
        <w:shd w:val="clear" w:color="auto" w:fill="auto"/>
        <w:tabs>
          <w:tab w:pos="502" w:val="left"/>
        </w:tabs>
        <w:bidi w:val="0"/>
        <w:spacing w:before="0" w:line="240" w:lineRule="auto"/>
        <w:ind w:left="420" w:right="0" w:hanging="420"/>
        <w:jc w:val="both"/>
      </w:pPr>
      <w:bookmarkStart w:id="169" w:name="bookmark169"/>
      <w:bookmarkEnd w:id="16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line="240" w:lineRule="auto"/>
        <w:ind w:left="0" w:right="0" w:firstLine="42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line="240" w:lineRule="auto"/>
        <w:ind w:left="0" w:right="0" w:firstLine="420"/>
        <w:jc w:val="both"/>
      </w:pPr>
      <w:r>
        <w:rPr>
          <w:color w:val="000000"/>
          <w:spacing w:val="0"/>
          <w:w w:val="100"/>
          <w:position w:val="0"/>
          <w:shd w:val="clear" w:color="auto" w:fill="auto"/>
          <w:lang w:val="cs-CZ" w:eastAsia="cs-CZ" w:bidi="cs-CZ"/>
        </w:rPr>
        <w:t>Priorita 1): Příloha č.1: Cenová nabídka</w:t>
      </w:r>
    </w:p>
    <w:p>
      <w:pPr>
        <w:pStyle w:val="Style2"/>
        <w:keepNext w:val="0"/>
        <w:keepLines w:val="0"/>
        <w:widowControl w:val="0"/>
        <w:shd w:val="clear" w:color="auto" w:fill="auto"/>
        <w:bidi w:val="0"/>
        <w:spacing w:before="0" w:line="240" w:lineRule="auto"/>
        <w:ind w:left="0" w:right="0" w:firstLine="420"/>
        <w:jc w:val="both"/>
      </w:pPr>
      <w:r>
        <w:rPr>
          <w:color w:val="000000"/>
          <w:spacing w:val="0"/>
          <w:w w:val="100"/>
          <w:position w:val="0"/>
          <w:shd w:val="clear" w:color="auto" w:fill="auto"/>
          <w:lang w:val="cs-CZ" w:eastAsia="cs-CZ" w:bidi="cs-CZ"/>
        </w:rPr>
        <w:t>Priorita 2): Příloha č.2: Čestné prohlášení o společensky odpovědném plnění veřejné zakázky</w:t>
      </w:r>
    </w:p>
    <w:p>
      <w:pPr>
        <w:pStyle w:val="Style2"/>
        <w:keepNext w:val="0"/>
        <w:keepLines w:val="0"/>
        <w:widowControl w:val="0"/>
        <w:shd w:val="clear" w:color="auto" w:fill="auto"/>
        <w:bidi w:val="0"/>
        <w:spacing w:before="0" w:after="500" w:line="240" w:lineRule="auto"/>
        <w:ind w:left="0" w:right="0" w:firstLine="420"/>
        <w:jc w:val="both"/>
      </w:pPr>
      <w:r>
        <w:rPr>
          <w:color w:val="000000"/>
          <w:spacing w:val="0"/>
          <w:w w:val="100"/>
          <w:position w:val="0"/>
          <w:shd w:val="clear" w:color="auto" w:fill="auto"/>
          <w:lang w:val="cs-CZ" w:eastAsia="cs-CZ" w:bidi="cs-CZ"/>
        </w:rPr>
        <w:t>Priorita 2): Příloha č.3: Čestné prohlášení k finančním sankcím</w:t>
      </w:r>
    </w:p>
    <w:p>
      <w:pPr>
        <w:pStyle w:val="Style2"/>
        <w:keepNext w:val="0"/>
        <w:keepLines w:val="0"/>
        <w:widowControl w:val="0"/>
        <w:shd w:val="clear" w:color="auto" w:fill="auto"/>
        <w:bidi w:val="0"/>
        <w:spacing w:before="0" w:after="1460" w:line="240" w:lineRule="auto"/>
        <w:ind w:left="180" w:right="0" w:firstLine="0"/>
        <w:jc w:val="both"/>
      </w:pPr>
      <w:r>
        <mc:AlternateContent>
          <mc:Choice Requires="wps">
            <w:drawing>
              <wp:anchor distT="0" distB="1444625" distL="114300" distR="114300" simplePos="0" relativeHeight="125829378" behindDoc="0" locked="0" layoutInCell="1" allowOverlap="1">
                <wp:simplePos x="0" y="0"/>
                <wp:positionH relativeFrom="page">
                  <wp:posOffset>4451985</wp:posOffset>
                </wp:positionH>
                <wp:positionV relativeFrom="paragraph">
                  <wp:posOffset>12700</wp:posOffset>
                </wp:positionV>
                <wp:extent cx="1993265" cy="225425"/>
                <wp:wrapSquare wrapText="left"/>
                <wp:docPr id="1" name="Shape 1"/>
                <a:graphic xmlns:a="http://schemas.openxmlformats.org/drawingml/2006/main">
                  <a:graphicData uri="http://schemas.microsoft.com/office/word/2010/wordprocessingShape">
                    <wps:wsp>
                      <wps:cNvSpPr txBox="1"/>
                      <wps:spPr>
                        <a:xfrm>
                          <a:ext cx="199326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0.55000000000001pt;margin-top:1.pt;width:156.95000000000002pt;height:17.75pt;z-index:-125829375;mso-wrap-distance-left:9.pt;mso-wrap-distance-right:9.pt;mso-wrap-distance-bottom:113.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w:t>
                      </w:r>
                    </w:p>
                  </w:txbxContent>
                </v:textbox>
                <w10:wrap type="square" side="left" anchorx="page"/>
              </v:shape>
            </w:pict>
          </mc:Fallback>
        </mc:AlternateContent>
      </w:r>
      <w:r>
        <mc:AlternateContent>
          <mc:Choice Requires="wps">
            <w:drawing>
              <wp:anchor distT="1280160" distB="0" distL="278765" distR="349250" simplePos="0" relativeHeight="125829380" behindDoc="0" locked="0" layoutInCell="1" allowOverlap="1">
                <wp:simplePos x="0" y="0"/>
                <wp:positionH relativeFrom="page">
                  <wp:posOffset>4616450</wp:posOffset>
                </wp:positionH>
                <wp:positionV relativeFrom="paragraph">
                  <wp:posOffset>1292860</wp:posOffset>
                </wp:positionV>
                <wp:extent cx="1593850" cy="389890"/>
                <wp:wrapSquare wrapText="left"/>
                <wp:docPr id="3" name="Shape 3"/>
                <a:graphic xmlns:a="http://schemas.openxmlformats.org/drawingml/2006/main">
                  <a:graphicData uri="http://schemas.microsoft.com/office/word/2010/wordprocessingShape">
                    <wps:wsp>
                      <wps:cNvSpPr txBox="1"/>
                      <wps:spPr>
                        <a:xfrm>
                          <a:ext cx="1593850"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společnosti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„VP PROJEKTING“ s.r.o.</w:t>
                            </w:r>
                          </w:p>
                        </w:txbxContent>
                      </wps:txbx>
                      <wps:bodyPr lIns="0" tIns="0" rIns="0" bIns="0">
                        <a:noAutoFit/>
                      </wps:bodyPr>
                    </wps:wsp>
                  </a:graphicData>
                </a:graphic>
              </wp:anchor>
            </w:drawing>
          </mc:Choice>
          <mc:Fallback>
            <w:pict>
              <v:shape id="_x0000_s1029" type="#_x0000_t202" style="position:absolute;margin-left:363.5pt;margin-top:101.8pt;width:125.5pt;height:30.699999999999999pt;z-index:-125829373;mso-wrap-distance-left:21.949999999999999pt;mso-wrap-distance-top:100.8pt;mso-wrap-distance-right:2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společnosti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„VP PROJEKTING“ s.r.o.</w:t>
                      </w:r>
                    </w:p>
                  </w:txbxContent>
                </v:textbox>
                <w10:wrap type="square" side="left" anchorx="page"/>
              </v:shape>
            </w:pict>
          </mc:Fallback>
        </mc:AlternateContent>
      </w:r>
      <w:r>
        <w:rPr>
          <w:color w:val="000000"/>
          <w:spacing w:val="0"/>
          <w:w w:val="100"/>
          <w:position w:val="0"/>
          <w:shd w:val="clear" w:color="auto" w:fill="auto"/>
          <w:lang w:val="cs-CZ" w:eastAsia="cs-CZ" w:bidi="cs-CZ"/>
        </w:rPr>
        <w:t>v Chomutově, dne: oprávněný zástupce objednatele v Karlových Varech, dne:</w:t>
      </w:r>
    </w:p>
    <w:p>
      <w:pPr>
        <w:pStyle w:val="Style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ekonomický ředitel</w:t>
      </w:r>
    </w:p>
    <w:p>
      <w:pPr>
        <w:pStyle w:val="Style2"/>
        <w:keepNext w:val="0"/>
        <w:keepLines w:val="0"/>
        <w:widowControl w:val="0"/>
        <w:shd w:val="clear" w:color="auto" w:fill="auto"/>
        <w:bidi w:val="0"/>
        <w:spacing w:before="0" w:line="240" w:lineRule="auto"/>
        <w:ind w:left="0" w:right="0" w:firstLine="180"/>
        <w:jc w:val="both"/>
      </w:pPr>
      <w:r>
        <w:rPr>
          <w:color w:val="000000"/>
          <w:spacing w:val="0"/>
          <w:w w:val="100"/>
          <w:position w:val="0"/>
          <w:shd w:val="clear" w:color="auto" w:fill="auto"/>
          <w:lang w:val="cs-CZ" w:eastAsia="cs-CZ" w:bidi="cs-CZ"/>
        </w:rPr>
        <w:t>Povodí Ohře, státní podnik jednatel</w:t>
      </w:r>
    </w:p>
    <w:sectPr>
      <w:headerReference w:type="default" r:id="rId5"/>
      <w:footerReference w:type="default" r:id="rId6"/>
      <w:footnotePr>
        <w:pos w:val="pageBottom"/>
        <w:numFmt w:val="decimal"/>
        <w:numRestart w:val="continuous"/>
      </w:footnotePr>
      <w:pgSz w:w="11909" w:h="16838"/>
      <w:pgMar w:top="1315" w:left="1200" w:right="916" w:bottom="3144"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6049010</wp:posOffset>
              </wp:positionH>
              <wp:positionV relativeFrom="page">
                <wp:posOffset>10033635</wp:posOffset>
              </wp:positionV>
              <wp:extent cx="978535" cy="198120"/>
              <wp:wrapNone/>
              <wp:docPr id="7" name="Shape 7"/>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3" type="#_x0000_t202" style="position:absolute;margin-left:476.30000000000001pt;margin-top:790.05000000000007pt;width:77.049999999999997pt;height:15.6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5259705</wp:posOffset>
              </wp:positionH>
              <wp:positionV relativeFrom="page">
                <wp:posOffset>405130</wp:posOffset>
              </wp:positionV>
              <wp:extent cx="1069975" cy="353695"/>
              <wp:wrapNone/>
              <wp:docPr id="5" name="Shape 5"/>
              <a:graphic xmlns:a="http://schemas.openxmlformats.org/drawingml/2006/main">
                <a:graphicData uri="http://schemas.microsoft.com/office/word/2010/wordprocessingShape">
                  <wps:wsp>
                    <wps:cNvSpPr txBox="1"/>
                    <wps:spPr>
                      <a:xfrm>
                        <a:ext cx="1069975" cy="3536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w:t>
                          </w:r>
                        </w:p>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1035/2024</w:t>
                          </w:r>
                        </w:p>
                      </w:txbxContent>
                    </wps:txbx>
                    <wps:bodyPr wrap="none" lIns="0" tIns="0" rIns="0" bIns="0">
                      <a:spAutoFit/>
                    </wps:bodyPr>
                  </wps:wsp>
                </a:graphicData>
              </a:graphic>
            </wp:anchor>
          </w:drawing>
        </mc:Choice>
        <mc:Fallback>
          <w:pict>
            <v:shape id="_x0000_s1031" type="#_x0000_t202" style="position:absolute;margin-left:414.15000000000003pt;margin-top:31.900000000000002pt;width:84.25pt;height:27.8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w:t>
                    </w:r>
                  </w:p>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1035/2024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36"/>
      <w:szCs w:val="36"/>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jc w:val="center"/>
    </w:pPr>
    <w:rPr>
      <w:rFonts w:ascii="Arial" w:eastAsia="Arial" w:hAnsi="Arial" w:cs="Arial"/>
      <w:b/>
      <w:bCs/>
      <w:i w:val="0"/>
      <w:iCs w:val="0"/>
      <w:smallCaps w:val="0"/>
      <w:strike w:val="0"/>
      <w:sz w:val="36"/>
      <w:szCs w:val="36"/>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80"/>
      <w:ind w:left="420" w:hanging="420"/>
      <w:outlineLvl w:val="1"/>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80"/>
      <w:jc w:val="center"/>
      <w:outlineLvl w:val="2"/>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Pána Pavel</dc:creator>
  <cp:keywords/>
</cp:coreProperties>
</file>