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PŘÍLOHA Č. 5 – ČESTNÉ PROHLÁŠENÍ K FINANČNÍM SANKCÍM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30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 VE VZTAHU K RUSKÝM / BĚLORUSKÝM SUBJEKTŮM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zakázky / veřejné zakázky: „Propojení zbytkové jámy Libouš s vodním dílem Nechranice - studie proveditelnosti“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40" w:line="30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Identifikační údaje vybraného dodavatele: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160"/>
        <w:jc w:val="lef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3568065</wp:posOffset>
                </wp:positionH>
                <wp:positionV relativeFrom="paragraph">
                  <wp:posOffset>215900</wp:posOffset>
                </wp:positionV>
                <wp:extent cx="652145" cy="25590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145" cy="255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035 79 727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0.94999999999999pt;margin-top:17.pt;width:51.350000000000001pt;height:20.150000000000002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035 79 727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Obchodní firma / název / jméno a příjmení: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INSET s.r.o.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69" w:val="left"/>
        </w:tabs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035 79 727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Vybraný dodavatel tímto ve vztahu k výše nadepsané zakázce / veřejné zakázky prohlašuje, že: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340" w:right="0" w:hanging="34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•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v rozsahu více než 10 % nabídkové ceny,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8" w:val="left"/>
        </w:tabs>
        <w:bidi w:val="0"/>
        <w:spacing w:before="0" w:after="0" w:line="317" w:lineRule="auto"/>
        <w:ind w:left="620" w:right="0" w:hanging="28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ruským státním příslušníkem, fyzickou či právnickou osobou nebo subjektem či orgánem se sídlem v Rusku,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8" w:val="left"/>
        </w:tabs>
        <w:bidi w:val="0"/>
        <w:spacing w:before="0" w:after="0" w:line="317" w:lineRule="auto"/>
        <w:ind w:left="62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z více než 50 % přímo či nepřímo vlastněn některým ze subjektů uvedených v písmeni a), ani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8" w:val="left"/>
        </w:tabs>
        <w:bidi w:val="0"/>
        <w:spacing w:before="0" w:line="317" w:lineRule="auto"/>
        <w:ind w:left="0" w:right="0" w:firstLine="34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nejedná jménem nebo na pokyn některého ze subjektů uvedených v písmeni a) nebo b)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340" w:right="0" w:hanging="34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•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208/2014, o omezujících opatřeních vůči některým osobám, subjektům, orgánům vzhledem k situaci na Ukrajině, nebo nařízení Rady (ES) č. 765/2006 ze dne 18. května 2006 o omezujících opatřeních vůči prezidentu Lukašenkovi a některým představitelům Běloruska (ve znění pozdějších aktualizací)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/>
        <w:ind w:left="340" w:right="0" w:hanging="34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•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4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Obchodní manažer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Podepsáno na základě plné moci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0" w:val="left"/>
        </w:tabs>
        <w:bidi w:val="0"/>
        <w:spacing w:before="0" w:after="0" w:line="300" w:lineRule="auto"/>
        <w:ind w:left="0" w:right="0" w:firstLine="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 čestného prohlášení vynechat.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0" w:val="left"/>
        </w:tabs>
        <w:bidi w:val="0"/>
        <w:spacing w:before="0" w:after="0" w:line="360" w:lineRule="auto"/>
        <w:ind w:left="0" w:right="0" w:firstLine="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Aktualizovaný seznam sankcionovaných osob je uveden například na internetových stránkách Finančního analytického úřadu zde </w:t>
      </w:r>
      <w:r>
        <w:fldChar w:fldCharType="begin"/>
      </w:r>
      <w:r>
        <w:rPr/>
        <w:instrText> HYPERLINK "https://www.financnianalytickyurad.cz/blog/zarazeni" </w:instrText>
      </w:r>
      <w:r>
        <w:fldChar w:fldCharType="separate"/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https://www.financnianalytickyurad.cz/blog/zarazeni</w:t>
      </w:r>
      <w:r>
        <w:fldChar w:fldCharType="end"/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-dalsich-osob-na-sankcni-seznam-proti-rusku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sectPr>
      <w:footnotePr>
        <w:pos w:val="pageBottom"/>
        <w:numFmt w:val="decimal"/>
        <w:numRestart w:val="continuous"/>
      </w:footnotePr>
      <w:pgSz w:w="11909" w:h="16838"/>
      <w:pgMar w:top="2006" w:left="1362" w:right="1393" w:bottom="1633" w:header="1578" w:footer="120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vertAlign w:val="superscript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color w:val="73767D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40" w:line="31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220" w:line="286" w:lineRule="auto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73767D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line="32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Stantejsky Jakub</dc:creator>
  <cp:keywords/>
</cp:coreProperties>
</file>