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76200" distL="114300" distR="114300" simplePos="0" relativeHeight="125829378" behindDoc="0" locked="0" layoutInCell="1" allowOverlap="1">
                <wp:simplePos x="0" y="0"/>
                <wp:positionH relativeFrom="page">
                  <wp:posOffset>617220</wp:posOffset>
                </wp:positionH>
                <wp:positionV relativeFrom="paragraph">
                  <wp:posOffset>203200</wp:posOffset>
                </wp:positionV>
                <wp:extent cx="457200" cy="14033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57200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Soupis prací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.600000000000001pt;margin-top:16.pt;width:36.pt;height:11.050000000000001pt;z-index:-125829375;mso-wrap-distance-left:9.pt;mso-wrap-distance-right:9.pt;mso-wrap-distance-bottom:6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Soupis prací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Propojení zbytkové jámy Libouš s vodním dílem Nechranice - studie proveditelnosti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12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Název uchazeče: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9605" w:val="left"/>
        </w:tabs>
        <w:bidi w:val="0"/>
        <w:spacing w:before="0" w:after="0" w:line="240" w:lineRule="auto"/>
        <w:ind w:left="0" w:right="0" w:firstLine="0"/>
        <w:jc w:val="righ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Vodohospodářský rozvoj a výstavba a.s.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]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Cena v Kč bez DPH</w:t>
      </w:r>
    </w:p>
    <w:tbl>
      <w:tblPr>
        <w:tblOverlap w:val="never"/>
        <w:jc w:val="center"/>
        <w:tblLayout w:type="fixed"/>
      </w:tblPr>
      <w:tblGrid>
        <w:gridCol w:w="8362"/>
        <w:gridCol w:w="1344"/>
      </w:tblGrid>
      <w:tr>
        <w:trPr>
          <w:trHeight w:val="322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Inženýrsko geologický průzkum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Jádrový vrt - předpoklad 300 m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(viz specifikace části 1)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1,080,000</w:t>
            </w:r>
          </w:p>
        </w:tc>
      </w:tr>
      <w:tr>
        <w:trPr>
          <w:trHeight w:val="27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Statická penetrační zkouška (CTP) ze 2/3 elektrickým hrotem předpoklad 1300 m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CTP - mechanickým hrotem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(viz specifikace části 1)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692,8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 xml:space="preserve">CTP - elektrickým hrotem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(viz specifikace části 1)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73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512,1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Odběr vzorků zemin + laboratoř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260,0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Inženýring - zajištění vstupů a provedení vrtů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72,000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závěrečné zprávy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400,0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E1EAF3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části 1 celkem: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3,016,920</w:t>
            </w:r>
          </w:p>
        </w:tc>
      </w:tr>
      <w:tr>
        <w:trPr>
          <w:trHeight w:val="288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Studie proveditelnosti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Řešení variant propoje v rozsahu zpracované studie VD TBD + konzultace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120,0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Vyvolané úpravy (přeložky)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Návrh sklonu svahů a břehů (nádrže, koryta)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150,0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Zohlednění vodohospodářského řešení a posouzení kvality vody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200,0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Zapracování výsledků IGP (zaměření) + prověření technické realizace projektu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150,0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Odhad finančních nákladů (realizačních a provozních) + MPV elaborát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Analýza rizik (realizačních a provozních) + návrh opatření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harmonogramu prací, včetně zpracování harmonogramu napouštění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Zhodnocení provedeného předběžného IGP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45,000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Navržení následného IGP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Nezávislé posouzení variant řešení odborně způsobilou osobou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100,0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Harmonogram následné přípravy (dokumentace), realizace, napouštění nádrže + závěrečné doporučení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739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  <w:t>450,0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00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E1EAF3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části 2 celkem: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1EAF3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tabs>
                <w:tab w:pos="44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00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1,565,000</w:t>
            </w:r>
          </w:p>
        </w:tc>
      </w:tr>
    </w:tbl>
    <w:p>
      <w:pPr>
        <w:widowControl w:val="0"/>
        <w:spacing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tabs>
          <w:tab w:pos="8698" w:val="left"/>
        </w:tabs>
        <w:bidi w:val="0"/>
        <w:spacing w:before="0" w:after="0" w:line="240" w:lineRule="auto"/>
        <w:ind w:left="14" w:right="0" w:firstLine="0"/>
        <w:jc w:val="left"/>
        <w:rPr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Nabídková cena celkem: (1+2)</w:t>
        <w:tab/>
      </w:r>
      <w:r>
        <w:rPr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4,581,920</w:t>
      </w:r>
    </w:p>
    <w:tbl>
      <w:tblPr>
        <w:tblOverlap w:val="never"/>
        <w:jc w:val="center"/>
        <w:tblLayout w:type="fixed"/>
      </w:tblPr>
      <w:tblGrid>
        <w:gridCol w:w="754"/>
        <w:gridCol w:w="3662"/>
        <w:gridCol w:w="1234"/>
        <w:gridCol w:w="734"/>
        <w:gridCol w:w="1978"/>
        <w:gridCol w:w="1344"/>
      </w:tblGrid>
      <w:tr>
        <w:trPr>
          <w:trHeight w:val="394" w:hRule="exact"/>
        </w:trPr>
        <w:tc>
          <w:tcPr>
            <w:gridSpan w:val="6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Specifikace části 1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Činnost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Počet jedn.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Jednotk 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Jedn. cena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Celkem Kč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E1EAF3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left w:val="single" w:sz="4"/>
              <w:right w:val="single" w:sz="4"/>
            </w:tcBorders>
            <w:shd w:val="clear" w:color="auto" w:fill="E1EAF3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IGP - VRTY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Jádrový vrt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1EAF3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3,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60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18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vertAlign w:val="subscript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1,080,000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CTP - mechanickým hrotem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1EAF3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vertAlign w:val="superscript"/>
                <w:lang w:val="cs-CZ" w:eastAsia="cs-CZ" w:bidi="cs-CZ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692,8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CTP - elektrickým hrotem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434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bm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E1EAF3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1,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512,1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20</w:t>
            </w:r>
          </w:p>
        </w:tc>
      </w:tr>
      <w:tr>
        <w:trPr>
          <w:trHeight w:val="312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8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IGP vrty celkem: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70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E1EAF3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2,284,920</w:t>
            </w:r>
          </w:p>
        </w:tc>
      </w:tr>
    </w:tbl>
    <w:sectPr>
      <w:footnotePr>
        <w:pos w:val="pageBottom"/>
        <w:numFmt w:val="decimal"/>
        <w:numRestart w:val="continuous"/>
      </w:footnotePr>
      <w:pgSz w:w="11909" w:h="16838"/>
      <w:pgMar w:top="1344" w:left="972" w:right="1202" w:bottom="1344" w:header="916" w:footer="916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before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ind w:firstLine="2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Ing. Santnerová Lucie</dc:creator>
  <cp:keywords/>
</cp:coreProperties>
</file>