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125FA" w14:textId="77777777" w:rsidR="00C90636" w:rsidRPr="004315B7" w:rsidRDefault="00C90636" w:rsidP="00C90636">
      <w:pPr>
        <w:spacing w:line="276" w:lineRule="auto"/>
        <w:jc w:val="center"/>
        <w:rPr>
          <w:rFonts w:eastAsiaTheme="minorEastAsia"/>
          <w:b/>
          <w:bCs/>
        </w:rPr>
      </w:pPr>
      <w:r w:rsidRPr="004315B7">
        <w:rPr>
          <w:rFonts w:eastAsiaTheme="minorEastAsia"/>
          <w:b/>
          <w:bCs/>
        </w:rPr>
        <w:t>SMLOUVA O SPOLUPRÁCI</w:t>
      </w:r>
    </w:p>
    <w:p w14:paraId="192ABC44" w14:textId="77777777" w:rsidR="00C90636" w:rsidRPr="004315B7" w:rsidRDefault="00C90636" w:rsidP="00C90636">
      <w:pPr>
        <w:spacing w:line="276" w:lineRule="auto"/>
        <w:jc w:val="center"/>
        <w:rPr>
          <w:rFonts w:eastAsiaTheme="minorEastAsia"/>
          <w:b/>
          <w:bCs/>
          <w:i/>
        </w:rPr>
      </w:pPr>
      <w:r w:rsidRPr="004315B7">
        <w:rPr>
          <w:rFonts w:eastAsiaTheme="minorEastAsia"/>
          <w:b/>
          <w:bCs/>
          <w:i/>
        </w:rPr>
        <w:t xml:space="preserve">uzavřená dle </w:t>
      </w:r>
      <w:proofErr w:type="spellStart"/>
      <w:r w:rsidRPr="004315B7">
        <w:rPr>
          <w:rFonts w:eastAsiaTheme="minorEastAsia"/>
          <w:b/>
          <w:bCs/>
          <w:i/>
        </w:rPr>
        <w:t>ust</w:t>
      </w:r>
      <w:proofErr w:type="spellEnd"/>
      <w:r w:rsidRPr="004315B7">
        <w:rPr>
          <w:rFonts w:eastAsiaTheme="minorEastAsia"/>
          <w:b/>
          <w:bCs/>
          <w:i/>
        </w:rPr>
        <w:t>. § 1746 odst. 2 občanského zákoníku v platném znění mezi níže uvedenými smluvními stranami</w:t>
      </w:r>
    </w:p>
    <w:p w14:paraId="17854B61" w14:textId="064BEE74" w:rsidR="00C90636" w:rsidRPr="004315B7" w:rsidRDefault="00C90636" w:rsidP="00C90636">
      <w:pPr>
        <w:spacing w:line="276" w:lineRule="auto"/>
        <w:jc w:val="center"/>
        <w:rPr>
          <w:rFonts w:eastAsiaTheme="minorEastAsia"/>
          <w:b/>
          <w:bCs/>
          <w:i/>
        </w:rPr>
      </w:pPr>
      <w:r w:rsidRPr="004315B7">
        <w:rPr>
          <w:rFonts w:eastAsiaTheme="minorEastAsia"/>
          <w:b/>
          <w:bCs/>
          <w:i/>
        </w:rPr>
        <w:t>číslo PAD: 12</w:t>
      </w:r>
      <w:r w:rsidR="00A91C73" w:rsidRPr="004315B7">
        <w:rPr>
          <w:rFonts w:eastAsiaTheme="minorEastAsia"/>
          <w:b/>
          <w:bCs/>
          <w:i/>
        </w:rPr>
        <w:t>2</w:t>
      </w:r>
      <w:r w:rsidRPr="004315B7">
        <w:rPr>
          <w:rFonts w:eastAsiaTheme="minorEastAsia"/>
          <w:b/>
          <w:bCs/>
          <w:i/>
        </w:rPr>
        <w:t>/48956341/2024</w:t>
      </w:r>
    </w:p>
    <w:p w14:paraId="6FA9976F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rPr>
          <w:shd w:val="clear" w:color="auto" w:fill="FFFFFF"/>
        </w:rPr>
      </w:pPr>
      <w:r w:rsidRPr="004315B7">
        <w:rPr>
          <w:rFonts w:eastAsiaTheme="minorEastAsia"/>
          <w:b/>
          <w:bCs/>
          <w:color w:val="000000" w:themeColor="text1"/>
        </w:rPr>
        <w:br/>
      </w:r>
      <w:r w:rsidRPr="004315B7">
        <w:rPr>
          <w:b/>
          <w:shd w:val="clear" w:color="auto" w:fill="FFFFFF"/>
        </w:rPr>
        <w:t xml:space="preserve">Rosa </w:t>
      </w:r>
      <w:proofErr w:type="spellStart"/>
      <w:r w:rsidRPr="004315B7">
        <w:rPr>
          <w:b/>
          <w:shd w:val="clear" w:color="auto" w:fill="FFFFFF"/>
        </w:rPr>
        <w:t>Bohemica</w:t>
      </w:r>
      <w:proofErr w:type="spellEnd"/>
      <w:r w:rsidRPr="004315B7">
        <w:rPr>
          <w:b/>
          <w:shd w:val="clear" w:color="auto" w:fill="FFFFFF"/>
        </w:rPr>
        <w:t>, z. s.</w:t>
      </w:r>
      <w:r w:rsidRPr="004315B7">
        <w:br/>
      </w:r>
      <w:r w:rsidRPr="004315B7">
        <w:rPr>
          <w:shd w:val="clear" w:color="auto" w:fill="FFFFFF"/>
        </w:rPr>
        <w:t>sídlo: Viktora Huga 4, 150 00 Praha 5</w:t>
      </w:r>
    </w:p>
    <w:p w14:paraId="58237D4D" w14:textId="77777777" w:rsidR="00C90636" w:rsidRPr="004315B7" w:rsidRDefault="00C90636" w:rsidP="00C90636">
      <w:pPr>
        <w:tabs>
          <w:tab w:val="left" w:pos="7087"/>
        </w:tabs>
        <w:spacing w:after="100" w:line="276" w:lineRule="auto"/>
      </w:pPr>
      <w:r w:rsidRPr="004315B7">
        <w:rPr>
          <w:shd w:val="clear" w:color="auto" w:fill="FFFFFF"/>
        </w:rPr>
        <w:t>IČO: 09640339</w:t>
      </w:r>
      <w:r w:rsidRPr="004315B7">
        <w:br/>
      </w:r>
      <w:r w:rsidRPr="004315B7">
        <w:rPr>
          <w:shd w:val="clear" w:color="auto" w:fill="FFFFFF"/>
        </w:rPr>
        <w:t>zastoupená Gabrielou Viktorová</w:t>
      </w:r>
      <w:r w:rsidRPr="004315B7">
        <w:t>, vedoucí festivalu</w:t>
      </w:r>
    </w:p>
    <w:p w14:paraId="648AD61A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rPr>
          <w:rFonts w:eastAsiaTheme="minorEastAsia"/>
        </w:rPr>
      </w:pPr>
      <w:r w:rsidRPr="004315B7">
        <w:t>(dále jen „</w:t>
      </w:r>
      <w:r w:rsidRPr="004315B7">
        <w:rPr>
          <w:b/>
        </w:rPr>
        <w:t>RB</w:t>
      </w:r>
      <w:r w:rsidRPr="004315B7">
        <w:t>“)</w:t>
      </w:r>
    </w:p>
    <w:p w14:paraId="3D448933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jc w:val="center"/>
        <w:rPr>
          <w:rFonts w:eastAsiaTheme="minorEastAsia"/>
        </w:rPr>
      </w:pPr>
      <w:r w:rsidRPr="004315B7">
        <w:rPr>
          <w:rFonts w:eastAsiaTheme="minorEastAsia"/>
        </w:rPr>
        <w:t>na straně jedné a</w:t>
      </w:r>
    </w:p>
    <w:p w14:paraId="095036A2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rPr>
          <w:rFonts w:eastAsiaTheme="minorEastAsia"/>
          <w:b/>
          <w:bCs/>
        </w:rPr>
      </w:pPr>
    </w:p>
    <w:p w14:paraId="654C94CE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rPr>
          <w:rFonts w:eastAsiaTheme="minorEastAsia"/>
        </w:rPr>
      </w:pPr>
      <w:r w:rsidRPr="004315B7">
        <w:rPr>
          <w:rFonts w:eastAsiaTheme="minorEastAsia"/>
          <w:b/>
          <w:bCs/>
        </w:rPr>
        <w:t>Památník Antonína Dvořáka ve Vysoké u Příbramě, PO.</w:t>
      </w:r>
      <w:r w:rsidRPr="004315B7">
        <w:br/>
      </w:r>
      <w:r w:rsidRPr="004315B7">
        <w:rPr>
          <w:rFonts w:eastAsiaTheme="minorEastAsia"/>
        </w:rPr>
        <w:t>Vysoká u Příbramě 69, 262 42, pošta Rožmitál pod Třemšínem</w:t>
      </w:r>
      <w:r w:rsidRPr="004315B7">
        <w:rPr>
          <w:rFonts w:eastAsiaTheme="minorEastAsia"/>
        </w:rPr>
        <w:br/>
        <w:t>IČ: 48956341</w:t>
      </w:r>
      <w:r w:rsidRPr="004315B7">
        <w:rPr>
          <w:rFonts w:eastAsiaTheme="minorEastAsia"/>
        </w:rPr>
        <w:br/>
        <w:t>Zastoupená: Vojtěchem Poláčkem, ředitelem</w:t>
      </w:r>
    </w:p>
    <w:p w14:paraId="45F58644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rPr>
          <w:rFonts w:eastAsiaTheme="minorEastAsia"/>
        </w:rPr>
      </w:pPr>
      <w:r w:rsidRPr="004315B7">
        <w:rPr>
          <w:rFonts w:eastAsiaTheme="minorEastAsia"/>
        </w:rPr>
        <w:t>(dále jen „</w:t>
      </w:r>
      <w:r w:rsidRPr="004315B7">
        <w:rPr>
          <w:rFonts w:eastAsiaTheme="minorEastAsia"/>
          <w:b/>
          <w:bCs/>
        </w:rPr>
        <w:t>Pořadatel</w:t>
      </w:r>
      <w:r w:rsidRPr="004315B7">
        <w:rPr>
          <w:rFonts w:eastAsiaTheme="minorEastAsia"/>
        </w:rPr>
        <w:t>“) na straně druhé</w:t>
      </w:r>
    </w:p>
    <w:p w14:paraId="772CB9F6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jc w:val="center"/>
        <w:rPr>
          <w:rFonts w:eastAsiaTheme="minorEastAsia"/>
        </w:rPr>
      </w:pPr>
      <w:r w:rsidRPr="004315B7">
        <w:rPr>
          <w:rFonts w:eastAsiaTheme="minorEastAsia"/>
        </w:rPr>
        <w:t>společně pouze „strany“</w:t>
      </w:r>
    </w:p>
    <w:p w14:paraId="09E71BB7" w14:textId="77777777" w:rsidR="00C90636" w:rsidRPr="004315B7" w:rsidRDefault="00C90636" w:rsidP="00C90636">
      <w:pPr>
        <w:tabs>
          <w:tab w:val="left" w:pos="7087"/>
        </w:tabs>
        <w:spacing w:after="100" w:line="276" w:lineRule="auto"/>
        <w:rPr>
          <w:rFonts w:eastAsiaTheme="minorEastAsia"/>
        </w:rPr>
      </w:pPr>
      <w:r w:rsidRPr="004315B7">
        <w:rPr>
          <w:rFonts w:eastAsiaTheme="minorEastAsia"/>
        </w:rPr>
        <w:t>uzavírají Smlouvu o spolupráci při realizaci předmětu smlouvy.</w:t>
      </w:r>
    </w:p>
    <w:p w14:paraId="021EED03" w14:textId="77777777" w:rsidR="00C90636" w:rsidRPr="004315B7" w:rsidRDefault="00C90636" w:rsidP="00C90636">
      <w:pPr>
        <w:spacing w:line="276" w:lineRule="auto"/>
        <w:rPr>
          <w:rFonts w:eastAsiaTheme="minorEastAsia"/>
          <w:b/>
          <w:bCs/>
        </w:rPr>
      </w:pPr>
    </w:p>
    <w:p w14:paraId="15848A6B" w14:textId="77777777" w:rsidR="00C90636" w:rsidRPr="004315B7" w:rsidRDefault="00C90636" w:rsidP="00C90636">
      <w:pPr>
        <w:tabs>
          <w:tab w:val="left" w:pos="2692"/>
        </w:tabs>
        <w:rPr>
          <w:rFonts w:eastAsiaTheme="minorEastAsia"/>
        </w:rPr>
      </w:pPr>
    </w:p>
    <w:p w14:paraId="18BEDD73" w14:textId="77777777" w:rsidR="00C90636" w:rsidRPr="004315B7" w:rsidRDefault="00C90636" w:rsidP="00C90636">
      <w:pPr>
        <w:spacing w:after="100" w:line="288" w:lineRule="auto"/>
        <w:jc w:val="center"/>
        <w:rPr>
          <w:rFonts w:eastAsiaTheme="minorEastAsia"/>
          <w:b/>
          <w:bCs/>
          <w:color w:val="000000" w:themeColor="text1"/>
        </w:rPr>
      </w:pPr>
      <w:r w:rsidRPr="004315B7">
        <w:rPr>
          <w:rFonts w:eastAsiaTheme="minorEastAsia"/>
          <w:b/>
          <w:bCs/>
          <w:color w:val="000000" w:themeColor="text1"/>
        </w:rPr>
        <w:t>I. Předmět smlouvy</w:t>
      </w:r>
    </w:p>
    <w:p w14:paraId="6D424F8E" w14:textId="07F33C3F" w:rsidR="00C90636" w:rsidRPr="004315B7" w:rsidRDefault="00C90636" w:rsidP="00C90636">
      <w:pPr>
        <w:pStyle w:val="Odstavecseseznamem"/>
        <w:numPr>
          <w:ilvl w:val="0"/>
          <w:numId w:val="2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Předmětem smlouvy je spolupráce mezi stranami při přípravě a provedení koncertu Mše D Dur op. 86 “Lužanská“.</w:t>
      </w:r>
    </w:p>
    <w:p w14:paraId="23F2DF11" w14:textId="56244F08" w:rsidR="00C90636" w:rsidRPr="004315B7" w:rsidRDefault="00C90636" w:rsidP="00C90636">
      <w:pPr>
        <w:pStyle w:val="Odstavecseseznamem"/>
        <w:numPr>
          <w:ilvl w:val="0"/>
          <w:numId w:val="2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Představení bude realizováno dne 25. září 2024 v</w:t>
      </w:r>
      <w:r w:rsidRPr="004315B7">
        <w:t xml:space="preserve"> k</w:t>
      </w:r>
      <w:r w:rsidRPr="004315B7">
        <w:rPr>
          <w:rFonts w:eastAsiaTheme="minorEastAsia"/>
          <w:color w:val="000000" w:themeColor="text1"/>
        </w:rPr>
        <w:t xml:space="preserve">ostele svaté </w:t>
      </w:r>
      <w:proofErr w:type="gramStart"/>
      <w:r w:rsidRPr="004315B7">
        <w:rPr>
          <w:rFonts w:eastAsiaTheme="minorEastAsia"/>
          <w:color w:val="000000" w:themeColor="text1"/>
        </w:rPr>
        <w:t>Maří</w:t>
      </w:r>
      <w:proofErr w:type="gramEnd"/>
      <w:r w:rsidRPr="004315B7">
        <w:rPr>
          <w:rFonts w:eastAsiaTheme="minorEastAsia"/>
          <w:color w:val="000000" w:themeColor="text1"/>
        </w:rPr>
        <w:t xml:space="preserve"> Magdalény v Bohutíně.</w:t>
      </w:r>
    </w:p>
    <w:p w14:paraId="376458FB" w14:textId="77777777" w:rsidR="00C90636" w:rsidRPr="004315B7" w:rsidRDefault="00C90636" w:rsidP="00C90636">
      <w:pPr>
        <w:rPr>
          <w:rFonts w:eastAsiaTheme="minorEastAsia"/>
          <w:bCs/>
          <w:color w:val="000000" w:themeColor="text1"/>
        </w:rPr>
      </w:pPr>
    </w:p>
    <w:p w14:paraId="1FB66BCE" w14:textId="77777777" w:rsidR="00C90636" w:rsidRPr="004315B7" w:rsidRDefault="00C90636" w:rsidP="00C90636">
      <w:pPr>
        <w:spacing w:after="100" w:line="288" w:lineRule="auto"/>
        <w:jc w:val="center"/>
        <w:rPr>
          <w:rFonts w:eastAsiaTheme="minorEastAsia"/>
          <w:b/>
          <w:bCs/>
          <w:color w:val="000000" w:themeColor="text1"/>
        </w:rPr>
      </w:pPr>
      <w:r w:rsidRPr="004315B7">
        <w:rPr>
          <w:rFonts w:eastAsiaTheme="minorEastAsia"/>
          <w:b/>
          <w:bCs/>
          <w:color w:val="000000" w:themeColor="text1"/>
        </w:rPr>
        <w:t>II. Práva a povinnosti smluvních stran</w:t>
      </w:r>
    </w:p>
    <w:p w14:paraId="3452706A" w14:textId="7737EE39" w:rsidR="00C90636" w:rsidRPr="004315B7" w:rsidRDefault="00C90636" w:rsidP="00C90636">
      <w:pPr>
        <w:pStyle w:val="Odstavecseseznamem"/>
        <w:numPr>
          <w:ilvl w:val="0"/>
          <w:numId w:val="3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 xml:space="preserve">RB se zavazuje realizovat představení v místě a čase stanoveném v Článku I. této smlouvy. </w:t>
      </w:r>
    </w:p>
    <w:p w14:paraId="6DE78F1C" w14:textId="77777777" w:rsidR="0035585B" w:rsidRDefault="00C90636" w:rsidP="0035585B">
      <w:pPr>
        <w:pStyle w:val="Odstavecseseznamem"/>
        <w:numPr>
          <w:ilvl w:val="0"/>
          <w:numId w:val="3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RB se zavazuje zajistit zvukové a potřebné technické zázemí pro provedení představení.</w:t>
      </w:r>
      <w:r w:rsidRPr="004315B7">
        <w:t xml:space="preserve"> </w:t>
      </w:r>
      <w:r w:rsidRPr="004315B7">
        <w:rPr>
          <w:rFonts w:eastAsiaTheme="minorEastAsia"/>
          <w:color w:val="000000" w:themeColor="text1"/>
        </w:rPr>
        <w:t>Technickým zázemím se v rámci této smlouvy rozumí veškeré technické prostředky a postupy bezprostředně související s uměleckým výkonem.</w:t>
      </w:r>
    </w:p>
    <w:p w14:paraId="379A9E00" w14:textId="4FDD0A78" w:rsidR="00C90636" w:rsidRPr="0035585B" w:rsidRDefault="00C90636" w:rsidP="0035585B">
      <w:pPr>
        <w:pStyle w:val="Odstavecseseznamem"/>
        <w:numPr>
          <w:ilvl w:val="0"/>
          <w:numId w:val="3"/>
        </w:numPr>
        <w:spacing w:after="100"/>
        <w:rPr>
          <w:rFonts w:eastAsiaTheme="minorEastAsia"/>
          <w:color w:val="000000" w:themeColor="text1"/>
        </w:rPr>
      </w:pPr>
      <w:r w:rsidRPr="0035585B">
        <w:rPr>
          <w:rFonts w:eastAsiaTheme="minorEastAsia"/>
          <w:color w:val="000000" w:themeColor="text1"/>
        </w:rPr>
        <w:t xml:space="preserve">Pořadatel se zavazuje spolupracovat na technickém a organizačním zajištění akce dle instrukcí a požadavků </w:t>
      </w:r>
      <w:r w:rsidR="004315B7" w:rsidRPr="0035585B">
        <w:rPr>
          <w:rFonts w:eastAsiaTheme="minorEastAsia"/>
          <w:color w:val="000000" w:themeColor="text1"/>
        </w:rPr>
        <w:t>RB</w:t>
      </w:r>
      <w:r w:rsidRPr="0035585B">
        <w:rPr>
          <w:rFonts w:eastAsiaTheme="minorEastAsia"/>
          <w:color w:val="000000" w:themeColor="text1"/>
        </w:rPr>
        <w:t xml:space="preserve">, a to zejména </w:t>
      </w:r>
      <w:r w:rsidR="004315B7" w:rsidRPr="0035585B">
        <w:rPr>
          <w:rFonts w:eastAsiaTheme="minorEastAsia"/>
          <w:color w:val="000000" w:themeColor="text1"/>
        </w:rPr>
        <w:t xml:space="preserve">zpřístupněním kostela o kapacitě cca 200 míst, poskytnutím </w:t>
      </w:r>
      <w:r w:rsidRPr="0035585B">
        <w:rPr>
          <w:rFonts w:eastAsiaTheme="minorEastAsia"/>
          <w:color w:val="000000" w:themeColor="text1"/>
        </w:rPr>
        <w:t>vlastního personálu pro organizačně produkční práce</w:t>
      </w:r>
      <w:r w:rsidR="004315B7" w:rsidRPr="0035585B">
        <w:rPr>
          <w:rFonts w:eastAsiaTheme="minorEastAsia"/>
          <w:color w:val="000000" w:themeColor="text1"/>
        </w:rPr>
        <w:t xml:space="preserve"> a propagováním akce v místě.</w:t>
      </w:r>
    </w:p>
    <w:p w14:paraId="41AC2FBB" w14:textId="77777777" w:rsidR="00C90636" w:rsidRPr="004315B7" w:rsidRDefault="00C90636" w:rsidP="00C90636">
      <w:pPr>
        <w:pStyle w:val="Odstavecseseznamem"/>
        <w:spacing w:after="100"/>
        <w:rPr>
          <w:rFonts w:eastAsiaTheme="minorEastAsia"/>
          <w:color w:val="000000" w:themeColor="text1"/>
        </w:rPr>
      </w:pPr>
    </w:p>
    <w:p w14:paraId="05AFE896" w14:textId="77777777" w:rsidR="00C90636" w:rsidRPr="004315B7" w:rsidRDefault="00C90636" w:rsidP="00C90636">
      <w:pPr>
        <w:spacing w:after="100" w:line="288" w:lineRule="auto"/>
        <w:jc w:val="center"/>
        <w:rPr>
          <w:rFonts w:eastAsiaTheme="minorEastAsia"/>
          <w:b/>
          <w:bCs/>
          <w:color w:val="000000" w:themeColor="text1"/>
        </w:rPr>
      </w:pPr>
      <w:r w:rsidRPr="004315B7">
        <w:rPr>
          <w:rFonts w:eastAsiaTheme="minorEastAsia"/>
          <w:b/>
          <w:bCs/>
          <w:color w:val="000000" w:themeColor="text1"/>
        </w:rPr>
        <w:t>III. Cena představení</w:t>
      </w:r>
    </w:p>
    <w:p w14:paraId="487A7931" w14:textId="7C8E17FC" w:rsidR="00C90636" w:rsidRPr="004315B7" w:rsidRDefault="00C90636" w:rsidP="00C90636">
      <w:pPr>
        <w:pStyle w:val="Odstavecseseznamem"/>
        <w:numPr>
          <w:ilvl w:val="0"/>
          <w:numId w:val="1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Cena představení dle předmětu smlouvy v Čl. I včetně technického zajištění představení odhadem činí 140 000 Kč (sto čtyřicet tisíc korun českých).</w:t>
      </w:r>
    </w:p>
    <w:p w14:paraId="1D881735" w14:textId="4CB92602" w:rsidR="00C90636" w:rsidRPr="004315B7" w:rsidRDefault="00C90636" w:rsidP="00C90636">
      <w:pPr>
        <w:pStyle w:val="Odstavecseseznamem"/>
        <w:numPr>
          <w:ilvl w:val="0"/>
          <w:numId w:val="1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lastRenderedPageBreak/>
        <w:t>Pořadatel se na uvedené ceně podílí finančním příspěvkem</w:t>
      </w:r>
      <w:r w:rsidR="00105BC6" w:rsidRPr="004315B7">
        <w:rPr>
          <w:rFonts w:eastAsiaTheme="minorEastAsia"/>
          <w:color w:val="000000" w:themeColor="text1"/>
        </w:rPr>
        <w:t xml:space="preserve"> 60 % z odhadované ceny představení, tj.</w:t>
      </w:r>
      <w:r w:rsidRPr="004315B7">
        <w:rPr>
          <w:rFonts w:eastAsiaTheme="minorEastAsia"/>
          <w:color w:val="000000" w:themeColor="text1"/>
        </w:rPr>
        <w:t xml:space="preserve"> </w:t>
      </w:r>
      <w:r w:rsidR="00105BC6" w:rsidRPr="004315B7">
        <w:rPr>
          <w:rFonts w:eastAsiaTheme="minorEastAsia"/>
          <w:color w:val="000000" w:themeColor="text1"/>
        </w:rPr>
        <w:t>9</w:t>
      </w:r>
      <w:r w:rsidRPr="004315B7">
        <w:rPr>
          <w:rFonts w:eastAsiaTheme="minorEastAsia"/>
          <w:color w:val="000000" w:themeColor="text1"/>
        </w:rPr>
        <w:t>0 000 Kč (</w:t>
      </w:r>
      <w:r w:rsidR="00105BC6" w:rsidRPr="004315B7">
        <w:rPr>
          <w:rFonts w:eastAsiaTheme="minorEastAsia"/>
          <w:color w:val="000000" w:themeColor="text1"/>
        </w:rPr>
        <w:t>devadesát</w:t>
      </w:r>
      <w:r w:rsidRPr="004315B7">
        <w:rPr>
          <w:rFonts w:eastAsiaTheme="minorEastAsia"/>
          <w:color w:val="000000" w:themeColor="text1"/>
        </w:rPr>
        <w:t xml:space="preserve"> tisíc korun českých)</w:t>
      </w:r>
      <w:r w:rsidR="00105BC6" w:rsidRPr="004315B7">
        <w:rPr>
          <w:rFonts w:eastAsiaTheme="minorEastAsia"/>
          <w:color w:val="000000" w:themeColor="text1"/>
        </w:rPr>
        <w:t>.</w:t>
      </w:r>
    </w:p>
    <w:p w14:paraId="08EF0DE5" w14:textId="31F25CB2" w:rsidR="00C90636" w:rsidRPr="004315B7" w:rsidRDefault="00C90636" w:rsidP="00C90636">
      <w:pPr>
        <w:pStyle w:val="Odstavecseseznamem"/>
        <w:numPr>
          <w:ilvl w:val="0"/>
          <w:numId w:val="1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 xml:space="preserve">Uvedená cena bude zaplacena Pořadatelem na účet </w:t>
      </w:r>
      <w:r w:rsidR="00105BC6" w:rsidRPr="004315B7">
        <w:rPr>
          <w:rFonts w:eastAsiaTheme="minorEastAsia"/>
          <w:color w:val="000000" w:themeColor="text1"/>
        </w:rPr>
        <w:t>RB</w:t>
      </w:r>
      <w:r w:rsidRPr="004315B7">
        <w:rPr>
          <w:rFonts w:eastAsiaTheme="minorEastAsia"/>
          <w:color w:val="000000" w:themeColor="text1"/>
        </w:rPr>
        <w:t xml:space="preserve"> na základě faktur</w:t>
      </w:r>
      <w:r w:rsidR="00105BC6" w:rsidRPr="004315B7">
        <w:rPr>
          <w:rFonts w:eastAsiaTheme="minorEastAsia"/>
          <w:color w:val="000000" w:themeColor="text1"/>
        </w:rPr>
        <w:t>y</w:t>
      </w:r>
      <w:r w:rsidRPr="004315B7">
        <w:rPr>
          <w:rFonts w:eastAsiaTheme="minorEastAsia"/>
          <w:color w:val="000000" w:themeColor="text1"/>
        </w:rPr>
        <w:t>, kter</w:t>
      </w:r>
      <w:r w:rsidR="00105BC6" w:rsidRPr="004315B7">
        <w:rPr>
          <w:rFonts w:eastAsiaTheme="minorEastAsia"/>
          <w:color w:val="000000" w:themeColor="text1"/>
        </w:rPr>
        <w:t>ou</w:t>
      </w:r>
      <w:r w:rsidRPr="004315B7">
        <w:rPr>
          <w:rFonts w:eastAsiaTheme="minorEastAsia"/>
          <w:color w:val="000000" w:themeColor="text1"/>
        </w:rPr>
        <w:t xml:space="preserve"> se splatností 14 dnů vystaví </w:t>
      </w:r>
      <w:r w:rsidR="00105BC6" w:rsidRPr="004315B7">
        <w:rPr>
          <w:rFonts w:eastAsiaTheme="minorEastAsia"/>
          <w:color w:val="000000" w:themeColor="text1"/>
        </w:rPr>
        <w:t>RB</w:t>
      </w:r>
      <w:r w:rsidRPr="004315B7">
        <w:rPr>
          <w:rFonts w:eastAsiaTheme="minorEastAsia"/>
          <w:color w:val="000000" w:themeColor="text1"/>
        </w:rPr>
        <w:t xml:space="preserve"> po realizaci předmětu smlouvy dle Čl. I.</w:t>
      </w:r>
    </w:p>
    <w:p w14:paraId="55F4C229" w14:textId="6B91C8C6" w:rsidR="00C90636" w:rsidRPr="004315B7" w:rsidRDefault="00105BC6" w:rsidP="00C90636">
      <w:pPr>
        <w:pStyle w:val="Odstavecseseznamem"/>
        <w:numPr>
          <w:ilvl w:val="0"/>
          <w:numId w:val="1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RB</w:t>
      </w:r>
      <w:r w:rsidR="00C90636" w:rsidRPr="004315B7">
        <w:rPr>
          <w:rFonts w:eastAsiaTheme="minorEastAsia"/>
          <w:color w:val="000000" w:themeColor="text1"/>
        </w:rPr>
        <w:t xml:space="preserve"> investuje do realizace představení zbylé finanční prostředky nutné k realizaci akce, očekávaná další investice </w:t>
      </w:r>
      <w:r w:rsidR="00626721">
        <w:rPr>
          <w:rFonts w:eastAsiaTheme="minorEastAsia"/>
          <w:color w:val="000000" w:themeColor="text1"/>
        </w:rPr>
        <w:t>RB</w:t>
      </w:r>
      <w:r w:rsidR="00C90636" w:rsidRPr="004315B7">
        <w:rPr>
          <w:rFonts w:eastAsiaTheme="minorEastAsia"/>
          <w:color w:val="000000" w:themeColor="text1"/>
        </w:rPr>
        <w:t xml:space="preserve"> je </w:t>
      </w:r>
      <w:r w:rsidRPr="004315B7">
        <w:rPr>
          <w:rFonts w:eastAsiaTheme="minorEastAsia"/>
          <w:color w:val="000000" w:themeColor="text1"/>
        </w:rPr>
        <w:t>6</w:t>
      </w:r>
      <w:r w:rsidR="00C90636" w:rsidRPr="004315B7">
        <w:rPr>
          <w:rFonts w:eastAsiaTheme="minorEastAsia"/>
          <w:color w:val="000000" w:themeColor="text1"/>
        </w:rPr>
        <w:t>0 000 Kč.</w:t>
      </w:r>
    </w:p>
    <w:p w14:paraId="29C99309" w14:textId="5DC74342" w:rsidR="00C90636" w:rsidRPr="004315B7" w:rsidRDefault="00C90636" w:rsidP="00C90636">
      <w:pPr>
        <w:pStyle w:val="Odstavecseseznamem"/>
        <w:numPr>
          <w:ilvl w:val="0"/>
          <w:numId w:val="1"/>
        </w:numPr>
        <w:spacing w:after="100"/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 xml:space="preserve">Tržby z realizace představení se po odečtení poplatků distributora vstupenek dělí v poměru vkladů smluvních stran do realizace projektu. </w:t>
      </w:r>
      <w:r w:rsidR="00105BC6" w:rsidRPr="004315B7">
        <w:rPr>
          <w:rFonts w:eastAsiaTheme="minorEastAsia"/>
          <w:color w:val="000000" w:themeColor="text1"/>
        </w:rPr>
        <w:t>P</w:t>
      </w:r>
      <w:r w:rsidRPr="004315B7">
        <w:rPr>
          <w:rFonts w:eastAsiaTheme="minorEastAsia"/>
          <w:color w:val="000000" w:themeColor="text1"/>
        </w:rPr>
        <w:t xml:space="preserve">odíl Pořadatele na vstupném je </w:t>
      </w:r>
      <w:r w:rsidR="00105BC6" w:rsidRPr="004315B7">
        <w:rPr>
          <w:rFonts w:eastAsiaTheme="minorEastAsia"/>
          <w:color w:val="000000" w:themeColor="text1"/>
        </w:rPr>
        <w:t>6</w:t>
      </w:r>
      <w:r w:rsidRPr="004315B7">
        <w:rPr>
          <w:rFonts w:eastAsiaTheme="minorEastAsia"/>
          <w:color w:val="000000" w:themeColor="text1"/>
        </w:rPr>
        <w:t>0 %, konečné vyúčtování proběhne po uskutečnění akce.</w:t>
      </w:r>
      <w:r w:rsidR="00F476C5">
        <w:rPr>
          <w:rFonts w:eastAsiaTheme="minorEastAsia"/>
          <w:color w:val="000000" w:themeColor="text1"/>
        </w:rPr>
        <w:t xml:space="preserve"> </w:t>
      </w:r>
      <w:r w:rsidR="00105BC6" w:rsidRPr="004315B7">
        <w:rPr>
          <w:rFonts w:eastAsiaTheme="minorEastAsia"/>
          <w:color w:val="000000" w:themeColor="text1"/>
        </w:rPr>
        <w:t>RB se zavazuje vyplatit Pořadateli ze vstupného minimálně 16 800 Kč nehledě na celkovou výši vybraného vstupného.</w:t>
      </w:r>
    </w:p>
    <w:p w14:paraId="351A8894" w14:textId="30920570" w:rsidR="00C90636" w:rsidRPr="004315B7" w:rsidRDefault="00C90636" w:rsidP="00C90636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 xml:space="preserve">Vstupenky prodává </w:t>
      </w:r>
      <w:r w:rsidR="00523736" w:rsidRPr="004315B7">
        <w:rPr>
          <w:rFonts w:eastAsiaTheme="minorEastAsia"/>
          <w:color w:val="000000" w:themeColor="text1"/>
        </w:rPr>
        <w:t>RB</w:t>
      </w:r>
      <w:r w:rsidRPr="004315B7">
        <w:rPr>
          <w:rFonts w:eastAsiaTheme="minorEastAsia"/>
          <w:color w:val="000000" w:themeColor="text1"/>
        </w:rPr>
        <w:t xml:space="preserve"> i Pořadatel. Po skončení prodeje se obě strany budou informovat o bilanci prodeje, tak aby mohly být vytvořeny podklady pro dělení vstupného dle </w:t>
      </w:r>
      <w:proofErr w:type="spellStart"/>
      <w:r w:rsidRPr="004315B7">
        <w:rPr>
          <w:rFonts w:eastAsiaTheme="minorEastAsia"/>
          <w:color w:val="000000" w:themeColor="text1"/>
        </w:rPr>
        <w:t>ods</w:t>
      </w:r>
      <w:proofErr w:type="spellEnd"/>
      <w:r w:rsidRPr="004315B7">
        <w:rPr>
          <w:rFonts w:eastAsiaTheme="minorEastAsia"/>
          <w:color w:val="000000" w:themeColor="text1"/>
        </w:rPr>
        <w:t>. 5. Čl. III této smlouvy.</w:t>
      </w:r>
    </w:p>
    <w:p w14:paraId="55F6541B" w14:textId="77777777" w:rsidR="00C90636" w:rsidRPr="004315B7" w:rsidRDefault="00C90636" w:rsidP="00C90636">
      <w:pPr>
        <w:spacing w:after="100"/>
        <w:rPr>
          <w:rFonts w:eastAsiaTheme="minorEastAsia"/>
          <w:color w:val="000000" w:themeColor="text1"/>
        </w:rPr>
      </w:pPr>
    </w:p>
    <w:p w14:paraId="66056E71" w14:textId="77777777" w:rsidR="00C90636" w:rsidRPr="004315B7" w:rsidRDefault="00C90636" w:rsidP="00C90636">
      <w:pPr>
        <w:pStyle w:val="Odstavecseseznamem"/>
        <w:spacing w:after="100" w:line="288" w:lineRule="auto"/>
        <w:jc w:val="center"/>
        <w:rPr>
          <w:rFonts w:eastAsiaTheme="minorEastAsia"/>
          <w:b/>
          <w:bCs/>
          <w:color w:val="000000" w:themeColor="text1"/>
        </w:rPr>
      </w:pPr>
      <w:r w:rsidRPr="004315B7">
        <w:rPr>
          <w:rFonts w:eastAsiaTheme="minorEastAsia"/>
          <w:b/>
          <w:bCs/>
          <w:color w:val="000000" w:themeColor="text1"/>
        </w:rPr>
        <w:t>IV. Trvání a ukončení smlouvy</w:t>
      </w:r>
    </w:p>
    <w:p w14:paraId="796ACEB2" w14:textId="77777777" w:rsidR="00C90636" w:rsidRPr="004315B7" w:rsidRDefault="00C90636" w:rsidP="00C90636">
      <w:pPr>
        <w:pStyle w:val="Odstavecseseznamem"/>
        <w:numPr>
          <w:ilvl w:val="0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 xml:space="preserve">Tato smlouva je uzavřena na dobu určitou a její účinnost </w:t>
      </w:r>
      <w:proofErr w:type="gramStart"/>
      <w:r w:rsidRPr="004315B7">
        <w:rPr>
          <w:rFonts w:eastAsiaTheme="minorEastAsia"/>
          <w:color w:val="000000" w:themeColor="text1"/>
        </w:rPr>
        <w:t>končí</w:t>
      </w:r>
      <w:proofErr w:type="gramEnd"/>
      <w:r w:rsidRPr="004315B7">
        <w:rPr>
          <w:rFonts w:eastAsiaTheme="minorEastAsia"/>
          <w:color w:val="000000" w:themeColor="text1"/>
        </w:rPr>
        <w:t xml:space="preserve"> vypořádáním smluvních stran.</w:t>
      </w:r>
    </w:p>
    <w:p w14:paraId="11888737" w14:textId="77777777" w:rsidR="00C90636" w:rsidRPr="004315B7" w:rsidRDefault="00C90636" w:rsidP="00C90636">
      <w:pPr>
        <w:pStyle w:val="Odstavecseseznamem"/>
        <w:numPr>
          <w:ilvl w:val="0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Smlouva může být před uplynutím doby, na kterou je sjednána, ukončena (zrušena) jedním z následujících způsobů:</w:t>
      </w:r>
    </w:p>
    <w:p w14:paraId="3DB808E5" w14:textId="77777777" w:rsidR="00C90636" w:rsidRPr="004315B7" w:rsidRDefault="00C90636" w:rsidP="00C90636">
      <w:pPr>
        <w:pStyle w:val="Odstavecseseznamem"/>
        <w:numPr>
          <w:ilvl w:val="1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písemnou dohodou smluvních stran, jejíž součástí je i vypořádání vzájemných závazků a pohledávek, ke dni stanovenému v takové dohodě;</w:t>
      </w:r>
    </w:p>
    <w:p w14:paraId="583A10B5" w14:textId="77777777" w:rsidR="00C90636" w:rsidRPr="004315B7" w:rsidRDefault="00C90636" w:rsidP="00C90636">
      <w:pPr>
        <w:pStyle w:val="Odstavecseseznamem"/>
        <w:numPr>
          <w:ilvl w:val="1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písemným odstoupením některé ze smluvních stran zejména v případě kdy druhá smluvní strana neplní řádně povinnosti dle smlouvy, byla na tuto skutečnost písemně upozorněna a nezjednala nápravu ani v dodatečně poskytnuté přiměřené lhůtě, která nesmí být kratší než 15 kalendářních dnů, pokud se strany nedohodnou jinak;</w:t>
      </w:r>
    </w:p>
    <w:p w14:paraId="469FCF96" w14:textId="77777777" w:rsidR="00C90636" w:rsidRPr="004315B7" w:rsidRDefault="00C90636" w:rsidP="00C90636">
      <w:pPr>
        <w:pStyle w:val="Odstavecseseznamem"/>
        <w:numPr>
          <w:ilvl w:val="1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písemnou výpovědí smlouvy některou ze smluvních stran doručenou straně druhé. Výpovědní lhůta činí 1 měsíc a začíná běžet první den měsíce následujícího po datu doručení výpovědi druhé smluvní straně.</w:t>
      </w:r>
    </w:p>
    <w:p w14:paraId="7BEB938B" w14:textId="77777777" w:rsidR="00C90636" w:rsidRPr="004315B7" w:rsidRDefault="00C90636" w:rsidP="00C90636">
      <w:pPr>
        <w:pStyle w:val="Odstavecseseznamem"/>
        <w:numPr>
          <w:ilvl w:val="0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Odstoupení od smlouvy musí být písemné a nabývá účinnosti dnem doručení druhé smluvní straně. V případě pochybností se tento právní úkon považuje za doručený 3. pracovním dnem po jeho odeslání odstupující smluvní stranou. Odstoupení od smlouvy se nedotýká nároku na náhradu škody.</w:t>
      </w:r>
    </w:p>
    <w:p w14:paraId="17882479" w14:textId="77777777" w:rsidR="00C90636" w:rsidRPr="004315B7" w:rsidRDefault="00C90636" w:rsidP="00C90636">
      <w:pPr>
        <w:pStyle w:val="Odstavecseseznamem"/>
        <w:numPr>
          <w:ilvl w:val="0"/>
          <w:numId w:val="6"/>
        </w:numPr>
        <w:rPr>
          <w:rFonts w:eastAsiaTheme="minorEastAsia"/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>Pokud dojde k některé ze situací uvedených výše, jsou smluvní strany povinny s ohledem na příslušnou situaci provést vzájemné vypořádání do 30 kalendářních dnů ode dne, kdy nastanou účinky právního úkonu.</w:t>
      </w:r>
    </w:p>
    <w:p w14:paraId="5CEBFBDD" w14:textId="77777777" w:rsidR="00C90636" w:rsidRPr="004315B7" w:rsidRDefault="00C90636" w:rsidP="00C90636">
      <w:pPr>
        <w:rPr>
          <w:rFonts w:eastAsiaTheme="minorEastAsia"/>
          <w:color w:val="000000" w:themeColor="text1"/>
        </w:rPr>
      </w:pPr>
    </w:p>
    <w:p w14:paraId="642A392E" w14:textId="77777777" w:rsidR="00C90636" w:rsidRPr="004315B7" w:rsidRDefault="00C90636" w:rsidP="00C90636">
      <w:pPr>
        <w:rPr>
          <w:rFonts w:eastAsiaTheme="minorEastAsia"/>
          <w:color w:val="000000" w:themeColor="text1"/>
        </w:rPr>
      </w:pPr>
    </w:p>
    <w:p w14:paraId="42E08921" w14:textId="77777777" w:rsidR="00C90636" w:rsidRPr="004315B7" w:rsidRDefault="00C90636" w:rsidP="00C90636">
      <w:pPr>
        <w:rPr>
          <w:rFonts w:eastAsiaTheme="minorEastAsia"/>
          <w:color w:val="000000" w:themeColor="text1"/>
        </w:rPr>
      </w:pPr>
    </w:p>
    <w:p w14:paraId="3AF994A6" w14:textId="77777777" w:rsidR="00C90636" w:rsidRPr="004315B7" w:rsidRDefault="00C90636" w:rsidP="00C90636">
      <w:pPr>
        <w:spacing w:after="100"/>
        <w:ind w:left="360"/>
        <w:rPr>
          <w:rFonts w:eastAsiaTheme="minorEastAsia"/>
          <w:color w:val="000000" w:themeColor="text1"/>
        </w:rPr>
      </w:pPr>
    </w:p>
    <w:p w14:paraId="13C88018" w14:textId="77777777" w:rsidR="00C90636" w:rsidRPr="004315B7" w:rsidRDefault="00C90636" w:rsidP="00C90636">
      <w:pPr>
        <w:spacing w:after="100" w:line="288" w:lineRule="auto"/>
        <w:jc w:val="center"/>
        <w:rPr>
          <w:rFonts w:eastAsiaTheme="minorEastAsia"/>
          <w:b/>
          <w:bCs/>
          <w:color w:val="000000" w:themeColor="text1"/>
        </w:rPr>
      </w:pPr>
      <w:r w:rsidRPr="004315B7">
        <w:rPr>
          <w:rFonts w:eastAsiaTheme="minorEastAsia"/>
          <w:b/>
          <w:bCs/>
          <w:color w:val="000000" w:themeColor="text1"/>
        </w:rPr>
        <w:t>V. Další ustanovení</w:t>
      </w:r>
    </w:p>
    <w:p w14:paraId="6D22AA14" w14:textId="4136A7EE" w:rsidR="00C90636" w:rsidRPr="004315B7" w:rsidRDefault="0035585B" w:rsidP="00C90636">
      <w:pPr>
        <w:pStyle w:val="Odstavecseseznamem"/>
        <w:numPr>
          <w:ilvl w:val="0"/>
          <w:numId w:val="5"/>
        </w:numPr>
        <w:spacing w:after="60"/>
        <w:contextualSpacing w:val="0"/>
        <w:rPr>
          <w:color w:val="000000" w:themeColor="text1"/>
        </w:rPr>
      </w:pPr>
      <w:r w:rsidRPr="0035585B">
        <w:rPr>
          <w:rFonts w:eastAsiaTheme="minorEastAsia"/>
          <w:color w:val="000000" w:themeColor="text1"/>
        </w:rPr>
        <w:t>Akce se uskuteční na základě usnesení Rady kraje usnesením č. 029-12/2024/RK ze dne 21. 3. 2024.</w:t>
      </w:r>
      <w:r w:rsidR="00C90636" w:rsidRPr="004315B7">
        <w:rPr>
          <w:rFonts w:eastAsiaTheme="minorEastAsia"/>
          <w:color w:val="000000" w:themeColor="text1"/>
        </w:rPr>
        <w:t xml:space="preserve"> </w:t>
      </w:r>
    </w:p>
    <w:p w14:paraId="65E3BF98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contextualSpacing w:val="0"/>
        <w:rPr>
          <w:color w:val="000000" w:themeColor="text1"/>
        </w:rPr>
      </w:pPr>
      <w:r w:rsidRPr="004315B7">
        <w:rPr>
          <w:color w:val="000000" w:themeColor="text1"/>
        </w:rPr>
        <w:t xml:space="preserve">Nedojde-li vzhledem k zásahu vyšší moci nebo vzhledem k neovlivnitelným okolnostem k odehrání některého představení stanoveného v článku I. této smlouvy, vyvinou obě strany úsilí k nalezení řešení takové situace. </w:t>
      </w:r>
    </w:p>
    <w:p w14:paraId="6D3A0DA5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rPr>
          <w:color w:val="000000" w:themeColor="text1"/>
        </w:rPr>
      </w:pPr>
      <w:r w:rsidRPr="004315B7">
        <w:rPr>
          <w:color w:val="000000" w:themeColor="text1"/>
        </w:rPr>
        <w:lastRenderedPageBreak/>
        <w:t>Jednotlivé články smlouvy mohou být doplňovány, měněny nebo rušeny písemnými, vzájemně dohodnutými, vzestupně a postupně číslovanými dodatky podepsanými oprávněnými zástupci smluvních stran.</w:t>
      </w:r>
    </w:p>
    <w:p w14:paraId="672A7491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rPr>
          <w:color w:val="000000" w:themeColor="text1"/>
        </w:rPr>
      </w:pPr>
      <w:r w:rsidRPr="004315B7">
        <w:rPr>
          <w:color w:val="000000" w:themeColor="text1"/>
        </w:rPr>
        <w:t>Práva a závazky touto smlouvou výslovně neupravené se řídí právním řádem České republiky, zejména zákonem č. 89/2012 Sb., Občanským zákoníkem v platném znění (NOZ).</w:t>
      </w:r>
    </w:p>
    <w:p w14:paraId="62C6C1CE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contextualSpacing w:val="0"/>
        <w:rPr>
          <w:color w:val="000000" w:themeColor="text1"/>
        </w:rPr>
      </w:pPr>
      <w:r w:rsidRPr="004315B7">
        <w:rPr>
          <w:color w:val="000000" w:themeColor="text1"/>
        </w:rPr>
        <w:t>Případné spory, které by vzešly ze smlouvy, budou přednostně řešeny smírnou cestou. Nedojde-li k dohodě smluvních stran, bude spor řešen u věcně a místně příslušného obecného soudu.</w:t>
      </w:r>
    </w:p>
    <w:p w14:paraId="7E05E196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rPr>
          <w:color w:val="000000" w:themeColor="text1"/>
        </w:rPr>
      </w:pPr>
      <w:r w:rsidRPr="004315B7">
        <w:rPr>
          <w:color w:val="000000" w:themeColor="text1"/>
        </w:rPr>
        <w:t>Smluvní strany prohlašují, že si smlouvu přečetly, plně porozuměly jejímu obsahu a s jejím zněním souhlasí. Dále prohlašují, že smlouvu uzavírají svobodně a vážně, nikoliv v tísni ani za nápadně nevýhodných podmínek. Na důkaz těchto prohlášení připojují své vlastnoruční podpisy osoby oprávněné jednat jménem smluvních stran.</w:t>
      </w:r>
    </w:p>
    <w:p w14:paraId="42AC2AF5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contextualSpacing w:val="0"/>
        <w:rPr>
          <w:color w:val="000000" w:themeColor="text1"/>
        </w:rPr>
      </w:pPr>
      <w:r w:rsidRPr="004315B7">
        <w:rPr>
          <w:color w:val="000000" w:themeColor="text1"/>
        </w:rPr>
        <w:t>Tato smlouva nabývá platnosti dnem jejího podpisu oběma stranami.</w:t>
      </w:r>
    </w:p>
    <w:p w14:paraId="61F8CF65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contextualSpacing w:val="0"/>
        <w:rPr>
          <w:color w:val="000000" w:themeColor="text1"/>
        </w:rPr>
      </w:pPr>
      <w:r w:rsidRPr="004315B7">
        <w:rPr>
          <w:color w:val="000000" w:themeColor="text1"/>
        </w:rPr>
        <w:t>Kontakty smluvní stran jsou v rámci této smlouvy stanoveny takto:</w:t>
      </w:r>
    </w:p>
    <w:p w14:paraId="21394017" w14:textId="4E2BA832" w:rsidR="00C90636" w:rsidRPr="004315B7" w:rsidRDefault="00C90636" w:rsidP="00C90636">
      <w:pPr>
        <w:pStyle w:val="Odstavecseseznamem"/>
        <w:numPr>
          <w:ilvl w:val="1"/>
          <w:numId w:val="4"/>
        </w:numPr>
        <w:spacing w:after="60"/>
        <w:contextualSpacing w:val="0"/>
        <w:rPr>
          <w:color w:val="000000" w:themeColor="text1"/>
        </w:rPr>
      </w:pPr>
      <w:r w:rsidRPr="004315B7">
        <w:rPr>
          <w:color w:val="000000" w:themeColor="text1"/>
        </w:rPr>
        <w:t xml:space="preserve">kontaktní osobou za </w:t>
      </w:r>
      <w:r w:rsidR="00523736" w:rsidRPr="004315B7">
        <w:rPr>
          <w:color w:val="000000" w:themeColor="text1"/>
        </w:rPr>
        <w:t>RB</w:t>
      </w:r>
      <w:r w:rsidRPr="004315B7">
        <w:rPr>
          <w:color w:val="000000" w:themeColor="text1"/>
        </w:rPr>
        <w:t xml:space="preserve"> je </w:t>
      </w:r>
      <w:r w:rsidR="00523736" w:rsidRPr="004315B7">
        <w:rPr>
          <w:color w:val="000000" w:themeColor="text1"/>
        </w:rPr>
        <w:t>Gabriela Viktorová</w:t>
      </w:r>
      <w:r w:rsidRPr="004315B7">
        <w:rPr>
          <w:color w:val="000000" w:themeColor="text1"/>
        </w:rPr>
        <w:t>,</w:t>
      </w:r>
    </w:p>
    <w:p w14:paraId="2C5C8980" w14:textId="06CEEDA4" w:rsidR="00C90636" w:rsidRPr="004315B7" w:rsidRDefault="00C90636" w:rsidP="00C90636">
      <w:pPr>
        <w:pStyle w:val="Odstavecseseznamem"/>
        <w:numPr>
          <w:ilvl w:val="1"/>
          <w:numId w:val="4"/>
        </w:numPr>
        <w:spacing w:after="60"/>
        <w:contextualSpacing w:val="0"/>
        <w:rPr>
          <w:color w:val="000000" w:themeColor="text1"/>
        </w:rPr>
      </w:pPr>
      <w:r w:rsidRPr="004315B7">
        <w:rPr>
          <w:color w:val="000000" w:themeColor="text1"/>
        </w:rPr>
        <w:t>kontaktní osobou za Památník Antonína Dvořáka je Vojtěch Poláček.</w:t>
      </w:r>
    </w:p>
    <w:p w14:paraId="7513B07D" w14:textId="77777777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rPr>
          <w:color w:val="000000" w:themeColor="text1"/>
        </w:rPr>
      </w:pPr>
      <w:r w:rsidRPr="004315B7">
        <w:rPr>
          <w:color w:val="000000" w:themeColor="text1"/>
        </w:rPr>
        <w:t xml:space="preserve">Doručovací adresou pro účely této smlouvy je vždy sídlo smluvní strany, uvedené v záhlaví smlouvy, pokud se strany vzájemně nedohodly na jiné adrese výlučně pro doručování písemností. </w:t>
      </w:r>
    </w:p>
    <w:p w14:paraId="0F66A612" w14:textId="2AF2E526" w:rsidR="00C90636" w:rsidRPr="004315B7" w:rsidRDefault="00C90636" w:rsidP="00C90636">
      <w:pPr>
        <w:pStyle w:val="Odstavecseseznamem"/>
        <w:numPr>
          <w:ilvl w:val="0"/>
          <w:numId w:val="5"/>
        </w:numPr>
        <w:spacing w:after="60"/>
        <w:contextualSpacing w:val="0"/>
        <w:rPr>
          <w:color w:val="000000" w:themeColor="text1"/>
        </w:rPr>
      </w:pPr>
      <w:r w:rsidRPr="004315B7">
        <w:rPr>
          <w:rFonts w:eastAsiaTheme="minorEastAsia"/>
          <w:color w:val="000000" w:themeColor="text1"/>
        </w:rPr>
        <w:t xml:space="preserve">Tato smlouva je připravena ve dvou vyhotoveních, z nichž jedno si ponechá Pořadatel a druhé </w:t>
      </w:r>
      <w:proofErr w:type="gramStart"/>
      <w:r w:rsidRPr="004315B7">
        <w:rPr>
          <w:rFonts w:eastAsiaTheme="minorEastAsia"/>
          <w:color w:val="000000" w:themeColor="text1"/>
        </w:rPr>
        <w:t>obdrží</w:t>
      </w:r>
      <w:proofErr w:type="gramEnd"/>
      <w:r w:rsidRPr="004315B7">
        <w:rPr>
          <w:rFonts w:eastAsiaTheme="minorEastAsia"/>
          <w:color w:val="000000" w:themeColor="text1"/>
        </w:rPr>
        <w:t xml:space="preserve"> </w:t>
      </w:r>
      <w:r w:rsidR="00523736" w:rsidRPr="004315B7">
        <w:rPr>
          <w:rFonts w:eastAsiaTheme="minorEastAsia"/>
          <w:color w:val="000000" w:themeColor="text1"/>
        </w:rPr>
        <w:t>RB</w:t>
      </w:r>
      <w:r w:rsidRPr="004315B7">
        <w:rPr>
          <w:rFonts w:eastAsiaTheme="minorEastAsia"/>
          <w:color w:val="000000" w:themeColor="text1"/>
        </w:rPr>
        <w:t>.</w:t>
      </w:r>
    </w:p>
    <w:p w14:paraId="6FFDC159" w14:textId="77777777" w:rsidR="00C90636" w:rsidRPr="004315B7" w:rsidRDefault="00C90636" w:rsidP="00C90636">
      <w:pPr>
        <w:pStyle w:val="Standardntext"/>
        <w:spacing w:after="100" w:line="288" w:lineRule="auto"/>
        <w:rPr>
          <w:rFonts w:eastAsiaTheme="minorEastAsia"/>
          <w:noProof w:val="0"/>
          <w:szCs w:val="24"/>
        </w:rPr>
      </w:pPr>
    </w:p>
    <w:p w14:paraId="74EF781A" w14:textId="77777777" w:rsidR="00C90636" w:rsidRPr="004315B7" w:rsidRDefault="00C90636" w:rsidP="00C90636">
      <w:pPr>
        <w:pStyle w:val="Standardntext"/>
        <w:rPr>
          <w:rFonts w:eastAsiaTheme="minorEastAsia"/>
          <w:noProof w:val="0"/>
          <w:szCs w:val="24"/>
        </w:rPr>
      </w:pPr>
      <w:r w:rsidRPr="004315B7">
        <w:rPr>
          <w:rFonts w:eastAsiaTheme="minorEastAsia"/>
          <w:noProof w:val="0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4390"/>
        <w:gridCol w:w="4682"/>
      </w:tblGrid>
      <w:tr w:rsidR="00C90636" w:rsidRPr="004315B7" w14:paraId="0BAAC856" w14:textId="77777777" w:rsidTr="00776633">
        <w:tc>
          <w:tcPr>
            <w:tcW w:w="4390" w:type="dxa"/>
            <w:shd w:val="clear" w:color="auto" w:fill="auto"/>
          </w:tcPr>
          <w:p w14:paraId="21DF788E" w14:textId="77777777" w:rsidR="00C90636" w:rsidRPr="004315B7" w:rsidRDefault="00C90636" w:rsidP="00776633">
            <w:pPr>
              <w:pStyle w:val="Standardntext"/>
              <w:jc w:val="both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noProof w:val="0"/>
                <w:szCs w:val="24"/>
              </w:rPr>
              <w:t xml:space="preserve">v                     dne </w:t>
            </w:r>
          </w:p>
        </w:tc>
        <w:tc>
          <w:tcPr>
            <w:tcW w:w="4682" w:type="dxa"/>
            <w:shd w:val="clear" w:color="auto" w:fill="auto"/>
          </w:tcPr>
          <w:p w14:paraId="1520A3D9" w14:textId="77777777" w:rsidR="00C90636" w:rsidRPr="004315B7" w:rsidRDefault="00C90636" w:rsidP="00776633">
            <w:pPr>
              <w:pStyle w:val="Standardntext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noProof w:val="0"/>
                <w:szCs w:val="24"/>
              </w:rPr>
              <w:t xml:space="preserve">v                        dne </w:t>
            </w:r>
          </w:p>
          <w:p w14:paraId="203A8185" w14:textId="77777777" w:rsidR="00C90636" w:rsidRPr="004315B7" w:rsidRDefault="00C90636" w:rsidP="00776633">
            <w:pPr>
              <w:pStyle w:val="Standardntext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noProof w:val="0"/>
                <w:szCs w:val="24"/>
              </w:rPr>
              <w:t xml:space="preserve">                       </w:t>
            </w:r>
          </w:p>
          <w:p w14:paraId="7F877BF1" w14:textId="77777777" w:rsidR="00C90636" w:rsidRPr="004315B7" w:rsidRDefault="00C90636" w:rsidP="00776633">
            <w:pPr>
              <w:pStyle w:val="Standardntext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noProof w:val="0"/>
                <w:szCs w:val="24"/>
              </w:rPr>
              <w:t xml:space="preserve">                      </w:t>
            </w:r>
          </w:p>
        </w:tc>
      </w:tr>
      <w:tr w:rsidR="00C90636" w:rsidRPr="004315B7" w14:paraId="0CF68769" w14:textId="77777777" w:rsidTr="00776633">
        <w:trPr>
          <w:trHeight w:val="825"/>
        </w:trPr>
        <w:tc>
          <w:tcPr>
            <w:tcW w:w="4390" w:type="dxa"/>
            <w:shd w:val="clear" w:color="auto" w:fill="auto"/>
          </w:tcPr>
          <w:p w14:paraId="31D4416B" w14:textId="77777777" w:rsidR="00C90636" w:rsidRPr="004315B7" w:rsidRDefault="00C90636" w:rsidP="00776633">
            <w:pPr>
              <w:pStyle w:val="Standardntext"/>
              <w:jc w:val="both"/>
              <w:rPr>
                <w:rFonts w:eastAsiaTheme="minorEastAsia"/>
                <w:noProof w:val="0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6DE65DC" w14:textId="77777777" w:rsidR="00C90636" w:rsidRPr="004315B7" w:rsidRDefault="00C90636" w:rsidP="00776633">
            <w:pPr>
              <w:pStyle w:val="Standardntext"/>
              <w:rPr>
                <w:rFonts w:eastAsiaTheme="minorEastAsia"/>
                <w:noProof w:val="0"/>
                <w:szCs w:val="24"/>
              </w:rPr>
            </w:pPr>
          </w:p>
        </w:tc>
      </w:tr>
      <w:tr w:rsidR="00C90636" w:rsidRPr="004315B7" w14:paraId="5C79C6DD" w14:textId="77777777" w:rsidTr="00776633">
        <w:trPr>
          <w:trHeight w:val="825"/>
        </w:trPr>
        <w:tc>
          <w:tcPr>
            <w:tcW w:w="4390" w:type="dxa"/>
            <w:shd w:val="clear" w:color="auto" w:fill="auto"/>
          </w:tcPr>
          <w:p w14:paraId="68B57C7E" w14:textId="4284BEA5" w:rsidR="00C90636" w:rsidRPr="004315B7" w:rsidRDefault="00C90636" w:rsidP="00776633">
            <w:pPr>
              <w:pStyle w:val="Standardntext"/>
              <w:jc w:val="center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CC2F859" wp14:editId="68F524E8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10794</wp:posOffset>
                      </wp:positionV>
                      <wp:extent cx="1811020" cy="0"/>
                      <wp:effectExtent l="0" t="0" r="0" b="0"/>
                      <wp:wrapNone/>
                      <wp:docPr id="1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110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565F4" id="Přímá spojnic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.2pt,.85pt" to="17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J/yQEAAAoEAAAOAAAAZHJzL2Uyb0RvYy54bWysU01v2zAMvQ/YfxB0X2znMBRGnB4atJdi&#10;K9btB6gyFQuVREHUYuffT5JjZ1/AsGEXwhLfI/me6N3tZA07QSCNruPNpuYMnMReu2PHv3y+f3fD&#10;GUXhemHQQcfPQPx2//bNbvQtbHFA00NgqYijdvQdH2L0bVWRHMAK2qAHl5IKgxUxHcOx6oMYU3Vr&#10;qm1dv69GDL0PKIEo3R7mJN+X+kqBjB+VIojMdDzNFksMJb7kWO13oj0G4QctL2OIf5jCCu1S07XU&#10;QUTBvgb9SymrZUBCFTcSbYVKaQlFQ1LT1D+peR6Eh6IlmUN+tYn+X1n54XTnnkIeXU7u2T+ifKVk&#10;SjV6atdkPpCfYZMKNsPT7GwqRp5XI2GKTKbL5qZp6m3yWy65SrQL0QeKD4CW5Y+OG+2yRtGK0yPF&#10;3Fq0CyRfG5cjodH9vTamHPJ2wJ0J7CTSu8apye+YeD+gcpGDoGEG0ZkOGC+4XLMonEUVefFsYO73&#10;CRTTfZZR5iq7eO0mpAQXl47GJXSmqTTbSqz/TLzgMxXKnv4NeWWUzujiSrbaYfhd96tJasYvDsy6&#10;swUv2J+fwvL4aeGKp5efI2/09+dCv/7C+28AAAD//wMAUEsDBBQABgAIAAAAIQCpl9/E3QAAAAYB&#10;AAAPAAAAZHJzL2Rvd25yZXYueG1sTI7NTsMwEITvSLyDtUjcqANEoYQ4FQIhFVQOlEqFmxsvSUq8&#10;DrabBp6ehQsc50czXzEbbScG9KF1pOB0koBAqpxpqVawer47mYIIUZPRnSNU8IkBZuXhQaFz4/b0&#10;hMMy1oJHKORaQRNjn0sZqgatDhPXI3H25rzVkaWvpfF6z+O2k2dJkkmrW+KHRvd402D1vtxZBR+L&#10;+9Vi+rhdu/T2Zfvq1/Ph4Wuu1PHReH0FIuIY/8rwg8/oUDLTxu3IBNEpyNKUm+xfgOD4PL3MQGx+&#10;tSwL+R+//AYAAP//AwBQSwECLQAUAAYACAAAACEAtoM4kv4AAADhAQAAEwAAAAAAAAAAAAAAAAAA&#10;AAAAW0NvbnRlbnRfVHlwZXNdLnhtbFBLAQItABQABgAIAAAAIQA4/SH/1gAAAJQBAAALAAAAAAAA&#10;AAAAAAAAAC8BAABfcmVscy8ucmVsc1BLAQItABQABgAIAAAAIQDp7PJ/yQEAAAoEAAAOAAAAAAAA&#10;AAAAAAAAAC4CAABkcnMvZTJvRG9jLnhtbFBLAQItABQABgAIAAAAIQCpl9/E3QAAAAYBAAAPAAAA&#10;AAAAAAAAAAAAACMEAABkcnMvZG93bnJldi54bWxQSwUGAAAAAAQABADzAAAALQUAAAAA&#10;" strokecolor="black [3213]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  <w:r w:rsidRPr="004315B7">
              <w:rPr>
                <w:rFonts w:eastAsiaTheme="minorEastAsia"/>
                <w:noProof w:val="0"/>
                <w:szCs w:val="24"/>
              </w:rPr>
              <w:t xml:space="preserve">za </w:t>
            </w:r>
            <w:r w:rsidR="00523736" w:rsidRPr="004315B7">
              <w:rPr>
                <w:rFonts w:eastAsiaTheme="minorEastAsia"/>
                <w:noProof w:val="0"/>
                <w:szCs w:val="24"/>
              </w:rPr>
              <w:t xml:space="preserve">Rosa </w:t>
            </w:r>
            <w:proofErr w:type="spellStart"/>
            <w:r w:rsidR="00523736" w:rsidRPr="004315B7">
              <w:rPr>
                <w:rFonts w:eastAsiaTheme="minorEastAsia"/>
                <w:noProof w:val="0"/>
                <w:szCs w:val="24"/>
              </w:rPr>
              <w:t>Bohemica</w:t>
            </w:r>
            <w:proofErr w:type="spellEnd"/>
          </w:p>
          <w:p w14:paraId="1575D434" w14:textId="51C204ED" w:rsidR="00C90636" w:rsidRPr="004315B7" w:rsidRDefault="00523736" w:rsidP="00776633">
            <w:pPr>
              <w:pStyle w:val="Standardntext"/>
              <w:jc w:val="center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color w:val="000000" w:themeColor="text1"/>
                <w:szCs w:val="24"/>
              </w:rPr>
              <w:t>Gabriela Viktorová</w:t>
            </w:r>
          </w:p>
        </w:tc>
        <w:tc>
          <w:tcPr>
            <w:tcW w:w="4682" w:type="dxa"/>
            <w:shd w:val="clear" w:color="auto" w:fill="auto"/>
          </w:tcPr>
          <w:p w14:paraId="645A8DFA" w14:textId="31F85942" w:rsidR="00C90636" w:rsidRPr="004315B7" w:rsidRDefault="00C90636" w:rsidP="00776633">
            <w:pPr>
              <w:pStyle w:val="Standardntext"/>
              <w:jc w:val="center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EBE4C5D" wp14:editId="10A8ACC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10794</wp:posOffset>
                      </wp:positionV>
                      <wp:extent cx="1834515" cy="0"/>
                      <wp:effectExtent l="0" t="0" r="0" b="0"/>
                      <wp:wrapNone/>
                      <wp:docPr id="2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45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A05C3" id="Přímá spojnic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.5pt,.85pt" to="17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NQywEAAAoEAAAOAAAAZHJzL2Uyb0RvYy54bWysU01v1DAQvSPxHyzf2SSFoirabA9dlUsF&#10;FYUf4DrjjYXtsTxmk/332M4my5eEQFxGsee9mXnPk+3tZA07QiCNruPNpuYMnMReu0PHP3+6f3XD&#10;GUXhemHQQcdPQPx29/LFdvQtXOGApofAUhFH7eg7PsTo26oiOYAVtEEPLiUVBitiOoZD1QcxpurW&#10;VFd1/bYaMfQ+oASidLufk3xX6isFMn5QiiAy0/E0WywxlPicY7XbivYQhB+0PI8h/mEKK7RLTddS&#10;exEF+xr0L6WslgEJVdxItBUqpSUUDUlNU/+k5mkQHoqWZA751Sb6f2Xl++Odewx5dDm5J/+A8gsl&#10;U6rRU7sm84H8DJtUsBmeZmdTMfK0GglTZDJdNjev31w315zJJVeJdiH6QPEdoGX5o+NGu6xRtOL4&#10;QDG3Fu0CydfG5UhodH+vjSmHvB1wZwI7ivSucWryOybeD6hcZC9omEF0oj3GMy7XLApnUUVePBmY&#10;+30ExXSfZZS5yi5eugkpwcWlo3EJnWkqzbYS6z8Tz/hMhbKnf0NeGaUzuriSrXYYftf9YpKa8YsD&#10;s+5swTP2p8ewPH5auOLp+efIG/39udAvv/DuGwAAAP//AwBQSwMEFAAGAAgAAAAhAH81fW3fAAAA&#10;BgEAAA8AAABkcnMvZG93bnJldi54bWxMj8FOwzAQRO9I/IO1SNyoUwptCXEqBEIqqBwolQo3N16S&#10;lHgdbDcNfD0Ll3KcndXMm2zW20Z06EPtSMFwkIBAKpypqVSwerk/m4IIUZPRjSNU8IUBZvnxUaZT&#10;4/b0jN0yloJDKKRaQRVjm0oZigqtDgPXIrH37rzVkaUvpfF6z+G2kedJMpZW18QNlW7xtsLiY7mz&#10;Cj4XD6vF9Gm7dhd3r9s3v553j99zpU5P+ptrEBH7eHiGX3xGh5yZNm5HJohGwXjEUyLfJyDYHl0O&#10;r0Bs/rTMM/kfP/8BAAD//wMAUEsBAi0AFAAGAAgAAAAhALaDOJL+AAAA4QEAABMAAAAAAAAAAAAA&#10;AAAAAAAAAFtDb250ZW50X1R5cGVzXS54bWxQSwECLQAUAAYACAAAACEAOP0h/9YAAACUAQAACwAA&#10;AAAAAAAAAAAAAAAvAQAAX3JlbHMvLnJlbHNQSwECLQAUAAYACAAAACEAzXDzUMsBAAAKBAAADgAA&#10;AAAAAAAAAAAAAAAuAgAAZHJzL2Uyb0RvYy54bWxQSwECLQAUAAYACAAAACEAfzV9bd8AAAAGAQAA&#10;DwAAAAAAAAAAAAAAAAAlBAAAZHJzL2Rvd25yZXYueG1sUEsFBgAAAAAEAAQA8wAAADEFAAAAAA==&#10;" strokecolor="black [3213]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  <w:r w:rsidRPr="004315B7">
              <w:rPr>
                <w:rFonts w:eastAsiaTheme="minorEastAsia"/>
                <w:noProof w:val="0"/>
                <w:szCs w:val="24"/>
              </w:rPr>
              <w:t>za Pořadatele</w:t>
            </w:r>
          </w:p>
          <w:p w14:paraId="0105ADC7" w14:textId="17B3A981" w:rsidR="00C90636" w:rsidRPr="004315B7" w:rsidRDefault="00C90636" w:rsidP="00776633">
            <w:pPr>
              <w:pStyle w:val="Standardntext"/>
              <w:jc w:val="center"/>
              <w:rPr>
                <w:rFonts w:eastAsiaTheme="minorEastAsia"/>
                <w:noProof w:val="0"/>
                <w:szCs w:val="24"/>
              </w:rPr>
            </w:pPr>
            <w:r w:rsidRPr="004315B7">
              <w:rPr>
                <w:rFonts w:eastAsiaTheme="minorEastAsia"/>
                <w:noProof w:val="0"/>
                <w:szCs w:val="24"/>
              </w:rPr>
              <w:t xml:space="preserve"> Vojtěch Poláček</w:t>
            </w:r>
          </w:p>
          <w:p w14:paraId="51E86BBB" w14:textId="77777777" w:rsidR="00C90636" w:rsidRPr="004315B7" w:rsidRDefault="00C90636" w:rsidP="00776633">
            <w:pPr>
              <w:pStyle w:val="Standardntext"/>
              <w:jc w:val="center"/>
              <w:rPr>
                <w:rFonts w:eastAsiaTheme="minorEastAsia"/>
                <w:noProof w:val="0"/>
                <w:szCs w:val="24"/>
              </w:rPr>
            </w:pPr>
          </w:p>
        </w:tc>
      </w:tr>
    </w:tbl>
    <w:p w14:paraId="2962F13B" w14:textId="2DFF190E" w:rsidR="00602011" w:rsidRPr="004315B7" w:rsidRDefault="00602011"/>
    <w:sectPr w:rsidR="00602011" w:rsidRPr="0043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92A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4C5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514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660C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3396E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452830">
    <w:abstractNumId w:val="3"/>
  </w:num>
  <w:num w:numId="2" w16cid:durableId="1786995621">
    <w:abstractNumId w:val="6"/>
  </w:num>
  <w:num w:numId="3" w16cid:durableId="2038890934">
    <w:abstractNumId w:val="2"/>
  </w:num>
  <w:num w:numId="4" w16cid:durableId="1984695214">
    <w:abstractNumId w:val="1"/>
  </w:num>
  <w:num w:numId="5" w16cid:durableId="1490361898">
    <w:abstractNumId w:val="5"/>
  </w:num>
  <w:num w:numId="6" w16cid:durableId="1740445392">
    <w:abstractNumId w:val="4"/>
  </w:num>
  <w:num w:numId="7" w16cid:durableId="119125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36"/>
    <w:rsid w:val="00105BC6"/>
    <w:rsid w:val="0035585B"/>
    <w:rsid w:val="00396F47"/>
    <w:rsid w:val="00415913"/>
    <w:rsid w:val="004315B7"/>
    <w:rsid w:val="00523736"/>
    <w:rsid w:val="00587DE0"/>
    <w:rsid w:val="00602011"/>
    <w:rsid w:val="00626721"/>
    <w:rsid w:val="00A178C4"/>
    <w:rsid w:val="00A60467"/>
    <w:rsid w:val="00A91C73"/>
    <w:rsid w:val="00C90636"/>
    <w:rsid w:val="00D94DDA"/>
    <w:rsid w:val="00F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E7D"/>
  <w15:chartTrackingRefBased/>
  <w15:docId w15:val="{AA163368-A44D-4326-B634-32A42CE3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6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6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6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6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6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6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6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6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6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6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6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636"/>
    <w:rPr>
      <w:b/>
      <w:bCs/>
      <w:smallCaps/>
      <w:color w:val="0F4761" w:themeColor="accent1" w:themeShade="BF"/>
      <w:spacing w:val="5"/>
    </w:rPr>
  </w:style>
  <w:style w:type="paragraph" w:customStyle="1" w:styleId="Standardntext">
    <w:name w:val="Standardní text"/>
    <w:basedOn w:val="Normln"/>
    <w:rsid w:val="00C90636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3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37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373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73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5042</Characters>
  <Application>Microsoft Office Word</Application>
  <DocSecurity>0</DocSecurity>
  <Lines>93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Vojtěch Poláček</cp:lastModifiedBy>
  <cp:revision>2</cp:revision>
  <dcterms:created xsi:type="dcterms:W3CDTF">2024-10-04T15:42:00Z</dcterms:created>
  <dcterms:modified xsi:type="dcterms:W3CDTF">2024-10-04T15:42:00Z</dcterms:modified>
</cp:coreProperties>
</file>