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21DA" w:rsidP="00D021DA" w:rsidRDefault="00D021DA" w14:paraId="4C19C0F4" w14:textId="7777777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Příloha č. 1</w:t>
      </w:r>
    </w:p>
    <w:p w:rsidR="00D021DA" w:rsidP="00D021DA" w:rsidRDefault="00D021DA" w14:paraId="130C2AC8" w14:textId="77777777">
      <w:pPr>
        <w:jc w:val="center"/>
        <w:rPr>
          <w:rFonts w:cstheme="minorHAnsi"/>
          <w:b/>
          <w:bCs/>
        </w:rPr>
      </w:pPr>
      <w:r w:rsidRPr="00F45741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ODMÍNKY UŽITÍ OBJEKTU CLAM-GALLASOVA PALÁCE</w:t>
      </w:r>
    </w:p>
    <w:p w:rsidRPr="00C05968" w:rsidR="00D021DA" w:rsidP="47FC2DF6" w:rsidRDefault="00D021DA" w14:paraId="54D201D6" w14:textId="056CE293">
      <w:pPr>
        <w:jc w:val="center"/>
        <w:rPr>
          <w:rFonts w:cs="Calibri" w:cstheme="minorAscii"/>
        </w:rPr>
      </w:pPr>
      <w:r w:rsidRPr="5BB8D4DC" w:rsidR="00D021DA">
        <w:rPr>
          <w:rFonts w:cs="Calibri" w:cstheme="minorAscii"/>
        </w:rPr>
        <w:t xml:space="preserve">Ke smlouvě </w:t>
      </w:r>
      <w:r w:rsidRPr="5BB8D4DC" w:rsidR="00F40D9B">
        <w:rPr>
          <w:rFonts w:cs="Calibri" w:cstheme="minorAscii"/>
        </w:rPr>
        <w:t>MUZ</w:t>
      </w:r>
      <w:r w:rsidRPr="5BB8D4DC" w:rsidR="00F40D9B">
        <w:rPr>
          <w:rFonts w:cs="Calibri" w:cstheme="minorAscii"/>
        </w:rPr>
        <w:t>/</w:t>
      </w:r>
      <w:r w:rsidRPr="5BB8D4DC" w:rsidR="71B903CB">
        <w:rPr>
          <w:rFonts w:cs="Calibri" w:cstheme="minorAscii"/>
        </w:rPr>
        <w:t>272</w:t>
      </w:r>
      <w:r w:rsidRPr="5BB8D4DC" w:rsidR="00F40D9B">
        <w:rPr>
          <w:rFonts w:cs="Calibri" w:cstheme="minorAscii"/>
        </w:rPr>
        <w:t>/</w:t>
      </w:r>
      <w:r w:rsidRPr="5BB8D4DC" w:rsidR="00F40D9B">
        <w:rPr>
          <w:rFonts w:cs="Calibri" w:cstheme="minorAscii"/>
        </w:rPr>
        <w:t>2024</w:t>
      </w:r>
    </w:p>
    <w:p w:rsidRPr="00C05968" w:rsidR="00D021DA" w:rsidP="00D021DA" w:rsidRDefault="00D021DA" w14:paraId="179D5E03" w14:textId="77777777">
      <w:pPr>
        <w:jc w:val="center"/>
        <w:rPr>
          <w:rFonts w:cstheme="minorHAnsi"/>
        </w:rPr>
      </w:pPr>
      <w:r w:rsidRPr="00C05968">
        <w:rPr>
          <w:rFonts w:cstheme="minorHAnsi"/>
        </w:rPr>
        <w:t>V objektu Clam-Gallasova paláce, Husova 158/20, 110 00 Praha 1</w:t>
      </w:r>
    </w:p>
    <w:p w:rsidRPr="00F45741" w:rsidR="00D021DA" w:rsidP="00D021DA" w:rsidRDefault="00D021DA" w14:paraId="0B2C68D1" w14:textId="77777777">
      <w:pPr>
        <w:jc w:val="center"/>
        <w:rPr>
          <w:rFonts w:cstheme="minorHAnsi"/>
          <w:b/>
          <w:bCs/>
        </w:rPr>
      </w:pPr>
    </w:p>
    <w:p w:rsidRPr="00F45741" w:rsidR="00D021DA" w:rsidP="00D021DA" w:rsidRDefault="00D021DA" w14:paraId="41BDD798" w14:textId="77777777">
      <w:pPr>
        <w:pBdr>
          <w:top w:val="single" w:color="auto" w:sz="4" w:space="1"/>
        </w:pBdr>
        <w:rPr>
          <w:rFonts w:cstheme="minorHAnsi"/>
          <w:b/>
          <w:bCs/>
        </w:rPr>
      </w:pPr>
    </w:p>
    <w:p w:rsidR="0049283A" w:rsidP="004556FB" w:rsidRDefault="0049283A" w14:paraId="4A0991F3" w14:textId="52423556">
      <w:pPr>
        <w:jc w:val="both"/>
      </w:pPr>
      <w:r>
        <w:t xml:space="preserve">Kapacita </w:t>
      </w:r>
    </w:p>
    <w:p w:rsidR="0049283A" w:rsidP="004556FB" w:rsidRDefault="0049283A" w14:paraId="6C30F35D" w14:textId="77777777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Nádvoří (m. č. 007) max. 250 osob</w:t>
      </w:r>
    </w:p>
    <w:p w:rsidR="0049283A" w:rsidP="004556FB" w:rsidRDefault="0049283A" w14:paraId="362CC745" w14:textId="77777777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Podkroví (m. č. 412) max. 20 osob</w:t>
      </w:r>
    </w:p>
    <w:p w:rsidR="0049283A" w:rsidP="004556FB" w:rsidRDefault="0049283A" w14:paraId="6EE57742" w14:textId="2521D8A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Kapacita jednoho patra paláce je max. 299 osob, kapacita sálů je max. 249 osob/2NP </w:t>
      </w:r>
      <w:r w:rsidR="002253A9">
        <w:rPr>
          <w:rFonts w:eastAsia="Times New Roman"/>
        </w:rPr>
        <w:br/>
      </w:r>
      <w:r>
        <w:rPr>
          <w:rFonts w:eastAsia="Times New Roman"/>
        </w:rPr>
        <w:t>a 164 osob/3NP, kapacita pro pořádání akcí na sezení 149 osob / patro</w:t>
      </w:r>
    </w:p>
    <w:p w:rsidR="007C1981" w:rsidP="004556FB" w:rsidRDefault="007C1981" w14:paraId="15E10117" w14:textId="77777777">
      <w:pPr>
        <w:jc w:val="both"/>
      </w:pPr>
    </w:p>
    <w:p w:rsidR="0049283A" w:rsidP="004556FB" w:rsidRDefault="0049283A" w14:paraId="198778D0" w14:textId="6B4D7727">
      <w:pPr>
        <w:jc w:val="both"/>
      </w:pPr>
      <w:r>
        <w:t>Doprava</w:t>
      </w:r>
      <w:r w:rsidR="003F7F13">
        <w:t xml:space="preserve"> </w:t>
      </w:r>
      <w:r w:rsidR="007329A6">
        <w:t>/</w:t>
      </w:r>
      <w:r w:rsidR="003F7F13">
        <w:t xml:space="preserve"> </w:t>
      </w:r>
      <w:r w:rsidR="007329A6">
        <w:t>Parkování</w:t>
      </w:r>
    </w:p>
    <w:p w:rsidR="0049283A" w:rsidP="004556FB" w:rsidRDefault="0049283A" w14:paraId="7D327AA2" w14:textId="77777777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Hlavní vjezd je z Husovy ulice (světlá výška 3,3 m, světlá šířka 2,5 m, max. 3,5 tuny)</w:t>
      </w:r>
    </w:p>
    <w:p w:rsidR="0049283A" w:rsidP="004556FB" w:rsidRDefault="0049283A" w14:paraId="1497861A" w14:textId="084011D6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Na hlavním nádvoří </w:t>
      </w:r>
      <w:r w:rsidR="00F675AF">
        <w:rPr>
          <w:rFonts w:eastAsia="Times New Roman"/>
        </w:rPr>
        <w:t xml:space="preserve">je možné </w:t>
      </w:r>
      <w:r w:rsidR="00920424">
        <w:rPr>
          <w:rFonts w:eastAsia="Times New Roman"/>
        </w:rPr>
        <w:t xml:space="preserve">vyložit náklad, </w:t>
      </w:r>
      <w:r w:rsidR="00F675AF">
        <w:rPr>
          <w:rFonts w:eastAsia="Times New Roman"/>
        </w:rPr>
        <w:t xml:space="preserve">ale </w:t>
      </w:r>
      <w:r>
        <w:rPr>
          <w:rFonts w:eastAsia="Times New Roman"/>
        </w:rPr>
        <w:t xml:space="preserve">není </w:t>
      </w:r>
      <w:r w:rsidR="00920424">
        <w:rPr>
          <w:rFonts w:eastAsia="Times New Roman"/>
        </w:rPr>
        <w:t xml:space="preserve">zde </w:t>
      </w:r>
      <w:r>
        <w:rPr>
          <w:rFonts w:eastAsia="Times New Roman"/>
        </w:rPr>
        <w:t>žádné oficiální parkovací stání</w:t>
      </w:r>
    </w:p>
    <w:p w:rsidR="00374B71" w:rsidP="004556FB" w:rsidRDefault="00374B71" w14:paraId="1623D691" w14:textId="2EBF09A7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Parkování je možné </w:t>
      </w:r>
      <w:r w:rsidR="00A1135B">
        <w:rPr>
          <w:rFonts w:eastAsia="Times New Roman"/>
        </w:rPr>
        <w:t>na parkovacích zónách v přilehlém okolí</w:t>
      </w:r>
      <w:r w:rsidR="00D35CF6">
        <w:rPr>
          <w:rFonts w:eastAsia="Times New Roman"/>
        </w:rPr>
        <w:t xml:space="preserve"> </w:t>
      </w:r>
    </w:p>
    <w:p w:rsidR="00142ED9" w:rsidP="004556FB" w:rsidRDefault="00142ED9" w14:paraId="357258D0" w14:textId="3DDC99CB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>Po předchozí domluvě lze k přepravě osob využít výtah</w:t>
      </w:r>
      <w:r w:rsidR="00FF1BC8">
        <w:rPr>
          <w:rFonts w:eastAsia="Times New Roman"/>
        </w:rPr>
        <w:t xml:space="preserve"> ve východním křídle paláce. Výtah má š</w:t>
      </w:r>
      <w:r w:rsidR="00B13E9F">
        <w:rPr>
          <w:rFonts w:eastAsia="Times New Roman"/>
        </w:rPr>
        <w:t>ířku</w:t>
      </w:r>
      <w:r w:rsidR="00FF1BC8">
        <w:rPr>
          <w:rFonts w:eastAsia="Times New Roman"/>
        </w:rPr>
        <w:t xml:space="preserve"> 86 cm, </w:t>
      </w:r>
      <w:r w:rsidR="00B13E9F">
        <w:rPr>
          <w:rFonts w:eastAsia="Times New Roman"/>
        </w:rPr>
        <w:t>hloubku 110 cm a výšku 200 cm.</w:t>
      </w:r>
    </w:p>
    <w:p w:rsidR="000A67B2" w:rsidP="004556FB" w:rsidRDefault="000A67B2" w14:paraId="3DBE2753" w14:textId="77777777">
      <w:pPr>
        <w:jc w:val="both"/>
      </w:pPr>
    </w:p>
    <w:p w:rsidR="000A67B2" w:rsidP="000A67B2" w:rsidRDefault="000A67B2" w14:paraId="05516D6E" w14:textId="77777777">
      <w:pPr>
        <w:jc w:val="both"/>
      </w:pPr>
      <w:r>
        <w:t>Pohyb v objektu</w:t>
      </w:r>
    </w:p>
    <w:p w:rsidR="007C1981" w:rsidP="000A67B2" w:rsidRDefault="000A67B2" w14:paraId="6E8E7C8F" w14:textId="52BD492D">
      <w:pPr>
        <w:ind w:left="709" w:hanging="425"/>
        <w:jc w:val="both"/>
      </w:pPr>
      <w:r>
        <w:t>•</w:t>
      </w:r>
      <w:r>
        <w:tab/>
      </w:r>
      <w:r>
        <w:t xml:space="preserve">Je povolen pouze ve vymezených prostorách, které jsou specifikovány v příloze č. 3 Smlouvy </w:t>
      </w:r>
      <w:r>
        <w:br/>
      </w:r>
      <w:r>
        <w:t>o krátkodobém pronájmu.</w:t>
      </w:r>
    </w:p>
    <w:p w:rsidR="000A67B2" w:rsidP="000A67B2" w:rsidRDefault="000A67B2" w14:paraId="291993EA" w14:textId="77777777">
      <w:pPr>
        <w:jc w:val="both"/>
      </w:pPr>
    </w:p>
    <w:p w:rsidR="0049283A" w:rsidP="004556FB" w:rsidRDefault="0049283A" w14:paraId="68BC2844" w14:textId="4E716076">
      <w:pPr>
        <w:jc w:val="both"/>
      </w:pPr>
      <w:r>
        <w:t>Catering</w:t>
      </w:r>
    </w:p>
    <w:p w:rsidR="0049283A" w:rsidP="004556FB" w:rsidRDefault="0049283A" w14:paraId="57D07E5F" w14:textId="1590E80C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Zázemí pro catering v prostorách CGP v zásadě není</w:t>
      </w:r>
      <w:r w:rsidR="00D67623">
        <w:rPr>
          <w:rFonts w:eastAsia="Times New Roman"/>
        </w:rPr>
        <w:t>. J</w:t>
      </w:r>
      <w:r w:rsidR="00F4243E">
        <w:rPr>
          <w:rFonts w:eastAsia="Times New Roman"/>
        </w:rPr>
        <w:t xml:space="preserve">e třeba zajistit vlastní vybavení </w:t>
      </w:r>
      <w:r w:rsidR="00D67623">
        <w:rPr>
          <w:rFonts w:eastAsia="Times New Roman"/>
        </w:rPr>
        <w:t>pro přípravu občerstvení. P</w:t>
      </w:r>
      <w:r w:rsidR="00F4243E">
        <w:rPr>
          <w:rFonts w:eastAsia="Times New Roman"/>
        </w:rPr>
        <w:t xml:space="preserve">rostor pro přípravu se bude hledat podle individuálních parametrů akce. </w:t>
      </w:r>
      <w:r>
        <w:rPr>
          <w:rFonts w:eastAsia="Times New Roman"/>
        </w:rPr>
        <w:t>Ve 3NP je zakázáno servírování</w:t>
      </w:r>
      <w:r w:rsidR="000D60C3">
        <w:rPr>
          <w:rFonts w:eastAsia="Times New Roman"/>
        </w:rPr>
        <w:t>/konzumace</w:t>
      </w:r>
      <w:r>
        <w:rPr>
          <w:rFonts w:eastAsia="Times New Roman"/>
        </w:rPr>
        <w:t xml:space="preserve"> teplého jídla a nápojů</w:t>
      </w:r>
    </w:p>
    <w:p w:rsidRPr="007C1981" w:rsidR="003E487B" w:rsidP="004556FB" w:rsidRDefault="0049283A" w14:paraId="14EA96B4" w14:textId="07E073AF">
      <w:pPr>
        <w:pStyle w:val="ListParagraph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Ve 2NP </w:t>
      </w:r>
      <w:r w:rsidR="003E487B">
        <w:rPr>
          <w:rFonts w:eastAsia="Times New Roman"/>
        </w:rPr>
        <w:t xml:space="preserve">a 3NP </w:t>
      </w:r>
      <w:r>
        <w:rPr>
          <w:rFonts w:eastAsia="Times New Roman"/>
        </w:rPr>
        <w:t>je zakázáno servírování</w:t>
      </w:r>
      <w:r w:rsidR="000D60C3">
        <w:rPr>
          <w:rFonts w:eastAsia="Times New Roman"/>
        </w:rPr>
        <w:t>/konzumace</w:t>
      </w:r>
      <w:r>
        <w:rPr>
          <w:rFonts w:eastAsia="Times New Roman"/>
        </w:rPr>
        <w:t xml:space="preserve"> tmavých tekutin (</w:t>
      </w:r>
      <w:r w:rsidR="00D76659">
        <w:rPr>
          <w:rFonts w:eastAsia="Times New Roman"/>
        </w:rPr>
        <w:t>např.</w:t>
      </w:r>
      <w:r>
        <w:rPr>
          <w:rFonts w:eastAsia="Times New Roman"/>
        </w:rPr>
        <w:t xml:space="preserve"> červeného vína</w:t>
      </w:r>
      <w:r w:rsidR="00D76659">
        <w:rPr>
          <w:rFonts w:eastAsia="Times New Roman"/>
        </w:rPr>
        <w:t>, káv</w:t>
      </w:r>
      <w:r w:rsidR="00ED3B08">
        <w:rPr>
          <w:rFonts w:eastAsia="Times New Roman"/>
        </w:rPr>
        <w:t>y</w:t>
      </w:r>
      <w:r>
        <w:rPr>
          <w:rFonts w:eastAsia="Times New Roman"/>
        </w:rPr>
        <w:t>)</w:t>
      </w:r>
    </w:p>
    <w:p w:rsidR="007C1981" w:rsidP="004556FB" w:rsidRDefault="007C1981" w14:paraId="3571164D" w14:textId="77777777">
      <w:pPr>
        <w:jc w:val="both"/>
      </w:pPr>
    </w:p>
    <w:p w:rsidR="00AB5E1B" w:rsidP="004556FB" w:rsidRDefault="0049283A" w14:paraId="3EDB3F71" w14:textId="77777777">
      <w:pPr>
        <w:jc w:val="both"/>
      </w:pPr>
      <w:r>
        <w:t>Zvláště cenné historické prvky</w:t>
      </w:r>
    </w:p>
    <w:p w:rsidR="0049283A" w:rsidP="004556FB" w:rsidRDefault="0049283A" w14:paraId="7BA1F7B2" w14:textId="059961BD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Původní dřevěné podlahy v m. č. 175, 215, 261 a 273.</w:t>
      </w:r>
    </w:p>
    <w:p w:rsidR="0049283A" w:rsidP="004556FB" w:rsidRDefault="0049283A" w14:paraId="0FA867DF" w14:textId="7E1A23C3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Restaurované dřevěné barokní podlahy v m. č. 162, 218, 219, 259, 260.</w:t>
      </w:r>
    </w:p>
    <w:p w:rsidR="0049283A" w:rsidP="004556FB" w:rsidRDefault="0049283A" w14:paraId="4AA58165" w14:textId="77777777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Cenná cihelná dlažba v m. č. 218.</w:t>
      </w:r>
    </w:p>
    <w:p w:rsidR="0049283A" w:rsidP="004556FB" w:rsidRDefault="0049283A" w14:paraId="4A61E00D" w14:textId="77777777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Historická kameninová černo-bílá dlažba m. č. 268 a 272</w:t>
      </w:r>
    </w:p>
    <w:p w:rsidRPr="00B10F19" w:rsidR="0049283A" w:rsidP="004556FB" w:rsidRDefault="0049283A" w14:paraId="68A7BD24" w14:textId="77777777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B10F19">
        <w:rPr>
          <w:rFonts w:eastAsia="Times New Roman"/>
        </w:rPr>
        <w:t>Na míru vyrobené dřevěné vestavěné vybavení knihovny z 18. století – m. č. 273</w:t>
      </w:r>
    </w:p>
    <w:p w:rsidRPr="00B10F19" w:rsidR="0049283A" w:rsidP="004556FB" w:rsidRDefault="0049283A" w14:paraId="2E65CFD5" w14:textId="68E2F50A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B10F19">
        <w:rPr>
          <w:rFonts w:eastAsia="Times New Roman"/>
        </w:rPr>
        <w:t>Textilní tapety v m. č</w:t>
      </w:r>
      <w:r w:rsidR="007A6C3B">
        <w:rPr>
          <w:rFonts w:eastAsia="Times New Roman"/>
        </w:rPr>
        <w:t xml:space="preserve"> 2</w:t>
      </w:r>
      <w:r w:rsidRPr="00B10F19">
        <w:rPr>
          <w:rFonts w:eastAsia="Times New Roman"/>
        </w:rPr>
        <w:t>16, 217 a 219</w:t>
      </w:r>
    </w:p>
    <w:p w:rsidRPr="00B10F19" w:rsidR="0049283A" w:rsidP="004556FB" w:rsidRDefault="0049283A" w14:paraId="12E2F4C6" w14:textId="77777777">
      <w:pPr>
        <w:pStyle w:val="ListParagraph"/>
        <w:numPr>
          <w:ilvl w:val="0"/>
          <w:numId w:val="4"/>
        </w:numPr>
        <w:jc w:val="both"/>
        <w:rPr>
          <w:rFonts w:eastAsia="Times New Roman"/>
        </w:rPr>
      </w:pPr>
      <w:r w:rsidRPr="00B10F19">
        <w:rPr>
          <w:rFonts w:eastAsia="Times New Roman"/>
        </w:rPr>
        <w:t>Historická papírová makulatura s fládrováním na stěnách v m. č. 215 a 220</w:t>
      </w:r>
    </w:p>
    <w:p w:rsidRPr="002C040D" w:rsidR="00DD3562" w:rsidP="00AB5E1B" w:rsidRDefault="0049283A" w14:paraId="53795E13" w14:textId="15181D7C">
      <w:pPr>
        <w:pStyle w:val="ListParagraph"/>
        <w:numPr>
          <w:ilvl w:val="0"/>
          <w:numId w:val="4"/>
        </w:numPr>
        <w:spacing w:after="160" w:line="259" w:lineRule="auto"/>
        <w:jc w:val="both"/>
      </w:pPr>
      <w:r w:rsidRPr="007A6C3B">
        <w:rPr>
          <w:rFonts w:eastAsia="Times New Roman"/>
        </w:rPr>
        <w:t>Omítka imitující mramorový povrch „stucco lustro“ v m. č. 122</w:t>
      </w:r>
    </w:p>
    <w:p w:rsidR="002C040D" w:rsidP="002C040D" w:rsidRDefault="002C040D" w14:paraId="4EE0F464" w14:textId="77777777">
      <w:pPr>
        <w:jc w:val="both"/>
      </w:pPr>
      <w:r w:rsidRPr="00AB5E1B">
        <w:t>Výčet všech historických prvků je obsažen v příloze č. 3 Vymezení pronajatých prostor objektu. S těmito prvky je přísně zakázáno jakkoliv manipulovat, dotýkat se jich, zakrývat je, vystavovat je vysoké dávce světelné expozice, nadměrnému vlhku a suchu</w:t>
      </w:r>
      <w:r>
        <w:t>.</w:t>
      </w:r>
    </w:p>
    <w:p w:rsidR="002C040D" w:rsidP="002C040D" w:rsidRDefault="002C040D" w14:paraId="6B41EB96" w14:textId="77777777">
      <w:pPr>
        <w:spacing w:after="160" w:line="259" w:lineRule="auto"/>
        <w:jc w:val="both"/>
      </w:pPr>
    </w:p>
    <w:p w:rsidR="007C1981" w:rsidP="004556FB" w:rsidRDefault="007C1981" w14:paraId="3D0624CB" w14:textId="77777777">
      <w:pPr>
        <w:jc w:val="both"/>
      </w:pPr>
    </w:p>
    <w:p w:rsidR="002253A9" w:rsidRDefault="002253A9" w14:paraId="3A883A9E" w14:textId="77777777">
      <w:pPr>
        <w:spacing w:after="160" w:line="259" w:lineRule="auto"/>
      </w:pPr>
      <w:r>
        <w:br w:type="page"/>
      </w:r>
    </w:p>
    <w:p w:rsidRPr="00B10F19" w:rsidR="0049283A" w:rsidP="004556FB" w:rsidRDefault="0049283A" w14:paraId="24F96B5E" w14:textId="31BCFED0">
      <w:pPr>
        <w:jc w:val="both"/>
      </w:pPr>
      <w:r w:rsidRPr="00B10F19">
        <w:t>Úpravy prostor a jejich využití</w:t>
      </w:r>
    </w:p>
    <w:p w:rsidRPr="007C1981" w:rsidR="007C1981" w:rsidP="004556FB" w:rsidRDefault="0049283A" w14:paraId="52B0312C" w14:textId="2066ABDC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 w:rsidRPr="00B10F19">
        <w:rPr>
          <w:rFonts w:eastAsia="Times New Roman"/>
        </w:rPr>
        <w:t>Galerijní prostory v 2NP mají převážně bíle natřené zdi</w:t>
      </w:r>
      <w:r w:rsidR="00024302">
        <w:rPr>
          <w:rFonts w:eastAsia="Times New Roman"/>
        </w:rPr>
        <w:t>,</w:t>
      </w:r>
      <w:r w:rsidRPr="00B10F19">
        <w:rPr>
          <w:rFonts w:eastAsia="Times New Roman"/>
        </w:rPr>
        <w:t xml:space="preserve"> </w:t>
      </w:r>
      <w:r w:rsidR="00B728EF">
        <w:rPr>
          <w:rFonts w:eastAsia="Times New Roman"/>
        </w:rPr>
        <w:t>závěs</w:t>
      </w:r>
      <w:r w:rsidRPr="00B10F19">
        <w:rPr>
          <w:rFonts w:eastAsia="Times New Roman"/>
        </w:rPr>
        <w:t>n</w:t>
      </w:r>
      <w:r w:rsidR="00B728EF">
        <w:rPr>
          <w:rFonts w:eastAsia="Times New Roman"/>
        </w:rPr>
        <w:t xml:space="preserve">é lišty s nosností </w:t>
      </w:r>
      <w:r w:rsidR="00B728EF">
        <w:rPr>
          <w:rFonts w:eastAsia="Times New Roman"/>
          <w:color w:val="000000"/>
          <w:sz w:val="24"/>
          <w:szCs w:val="24"/>
        </w:rPr>
        <w:t>30 kg/ 1 m vodorovné tyče</w:t>
      </w:r>
      <w:r w:rsidR="00B728EF">
        <w:rPr>
          <w:rFonts w:eastAsia="Times New Roman"/>
        </w:rPr>
        <w:t xml:space="preserve"> a nosnost podlah </w:t>
      </w:r>
      <w:r w:rsidRPr="007C1981" w:rsidR="00B728EF">
        <w:rPr>
          <w:color w:val="000000"/>
          <w:sz w:val="24"/>
          <w:szCs w:val="24"/>
        </w:rPr>
        <w:t>250 kg / m2</w:t>
      </w:r>
      <w:r w:rsidR="00B728EF">
        <w:rPr>
          <w:color w:val="000000"/>
          <w:sz w:val="24"/>
          <w:szCs w:val="24"/>
        </w:rPr>
        <w:t>.</w:t>
      </w:r>
      <w:r w:rsidRPr="00B10F19">
        <w:rPr>
          <w:rFonts w:eastAsia="Times New Roman"/>
        </w:rPr>
        <w:t xml:space="preserve"> </w:t>
      </w:r>
      <w:r w:rsidR="00024302">
        <w:rPr>
          <w:rFonts w:eastAsia="Times New Roman"/>
        </w:rPr>
        <w:t xml:space="preserve">Všechny místnosti jsou vybaveny lištovým systémem se svítidly ERCO, manuálně nastavitelnými. </w:t>
      </w:r>
      <w:r w:rsidRPr="00B10F19">
        <w:rPr>
          <w:rFonts w:eastAsia="Times New Roman"/>
        </w:rPr>
        <w:t xml:space="preserve">Do stěn a podlah se nesmí zasahovat, není možné manipulovat s historickými kamny. Není možné manipulovat s otevřeným ohněm, na podlahy nelze pokládat žádné teplé předměty. Nohy nábytku je třeba opatřit filcovými podložkami, břemena nesmějí být posouvána po podlaze kvůli riziku poškrábání povrchu. </w:t>
      </w:r>
      <w:r w:rsidRPr="00B10F19" w:rsidR="00AB4379">
        <w:rPr>
          <w:rFonts w:eastAsia="Times New Roman"/>
        </w:rPr>
        <w:t xml:space="preserve">Důrazně se nedoporučuje vstup na jehlových podpatcích, </w:t>
      </w:r>
      <w:r w:rsidRPr="00B10F19">
        <w:rPr>
          <w:rFonts w:eastAsia="Times New Roman"/>
        </w:rPr>
        <w:t>jelikož mohou poničit dřevěné podlahy</w:t>
      </w:r>
      <w:r w:rsidRPr="00B10F19" w:rsidR="003F7F13">
        <w:rPr>
          <w:rFonts w:eastAsia="Times New Roman"/>
        </w:rPr>
        <w:t>.</w:t>
      </w:r>
    </w:p>
    <w:p w:rsidRPr="00B10F19" w:rsidR="0049283A" w:rsidP="004556FB" w:rsidRDefault="0049283A" w14:paraId="7374DB26" w14:textId="35E2D087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 w:rsidRPr="00B10F19">
        <w:rPr>
          <w:rFonts w:eastAsia="Times New Roman"/>
        </w:rPr>
        <w:t>Ve 3NP není možné servírovat</w:t>
      </w:r>
      <w:r w:rsidRPr="00B10F19" w:rsidR="001C05DE">
        <w:rPr>
          <w:rFonts w:eastAsia="Times New Roman"/>
        </w:rPr>
        <w:t>/konzumovat</w:t>
      </w:r>
      <w:r w:rsidRPr="00B10F19">
        <w:rPr>
          <w:rFonts w:eastAsia="Times New Roman"/>
        </w:rPr>
        <w:t xml:space="preserve"> žádné teplé pokrmy ani teplé nápoje. S nejvyšší opatrností zde lze servírovat</w:t>
      </w:r>
      <w:r w:rsidRPr="00B10F19" w:rsidR="0031395D">
        <w:rPr>
          <w:rFonts w:eastAsia="Times New Roman"/>
        </w:rPr>
        <w:t>/konzumovat</w:t>
      </w:r>
      <w:r w:rsidRPr="00B10F19">
        <w:rPr>
          <w:rFonts w:eastAsia="Times New Roman"/>
        </w:rPr>
        <w:t xml:space="preserve"> chladné světlé nápoje (vodu, sekt, bílé víno) </w:t>
      </w:r>
      <w:r w:rsidR="002253A9">
        <w:rPr>
          <w:rFonts w:eastAsia="Times New Roman"/>
        </w:rPr>
        <w:br/>
      </w:r>
      <w:r w:rsidRPr="00B10F19">
        <w:rPr>
          <w:rFonts w:eastAsia="Times New Roman"/>
        </w:rPr>
        <w:t>a občerstvení v podobě jednohubek či kan</w:t>
      </w:r>
      <w:r w:rsidR="00A22AF2">
        <w:rPr>
          <w:rFonts w:eastAsia="Times New Roman"/>
        </w:rPr>
        <w:t>a</w:t>
      </w:r>
      <w:r w:rsidRPr="00B10F19">
        <w:rPr>
          <w:rFonts w:eastAsia="Times New Roman"/>
        </w:rPr>
        <w:t xml:space="preserve">pek na podtáccích. Do stěn a podlah se nesmí zasahovat, není možné manipulovat se závěsy v oknech ani s historickými kamny. Není možné manipulovat s otevřeným ohněm, na podlahy nelze pokládat žádné teplé předměty. Nohy nábytku je třeba opatřit filcovými podložkami, břemena nesmějí být posouvána po podlaze kvůli riziku poškrábání povrchu. </w:t>
      </w:r>
      <w:r w:rsidRPr="00B10F19" w:rsidR="00B10F19">
        <w:rPr>
          <w:rFonts w:eastAsia="Times New Roman"/>
        </w:rPr>
        <w:t>Důrazně se nedoporučuje vstup na jehlových podpatcích, jelikož mohou poničit dřevěné podlahy.</w:t>
      </w:r>
      <w:r w:rsidR="00B10F19">
        <w:rPr>
          <w:rFonts w:eastAsia="Times New Roman"/>
        </w:rPr>
        <w:t xml:space="preserve"> </w:t>
      </w:r>
      <w:r w:rsidRPr="00B10F19">
        <w:rPr>
          <w:rFonts w:eastAsia="Times New Roman"/>
        </w:rPr>
        <w:t>V prostorách m. č. 204, 205, 206, 209, 216, 215, 216, 217, 219, 220, 259, 260, 262, 270 a 271 ne</w:t>
      </w:r>
      <w:r w:rsidR="00B10F19">
        <w:rPr>
          <w:rFonts w:eastAsia="Times New Roman"/>
        </w:rPr>
        <w:t xml:space="preserve">ní doporučeno </w:t>
      </w:r>
      <w:r w:rsidRPr="00B10F19">
        <w:rPr>
          <w:rFonts w:eastAsia="Times New Roman"/>
        </w:rPr>
        <w:t xml:space="preserve">umisťovat nábytek </w:t>
      </w:r>
      <w:r w:rsidR="00B728EF">
        <w:rPr>
          <w:rFonts w:eastAsia="Times New Roman"/>
        </w:rPr>
        <w:t>(stolky, židle…) do</w:t>
      </w:r>
      <w:r w:rsidRPr="00B10F19">
        <w:rPr>
          <w:rFonts w:eastAsia="Times New Roman"/>
        </w:rPr>
        <w:t> blízkosti stěn, aby byl eliminován kontakt návštěvníků s tapetami.</w:t>
      </w:r>
    </w:p>
    <w:p w:rsidR="001E5BFD" w:rsidP="004556FB" w:rsidRDefault="004F3F5C" w14:paraId="73898943" w14:textId="77777777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S osvětlením sálů lze pohybovat a směrovat ho dle potřeby. Při manipulaci se světly musí být vždy přítomen zástupce pronajímatele.</w:t>
      </w:r>
    </w:p>
    <w:p w:rsidR="001E5BFD" w:rsidP="004556FB" w:rsidRDefault="001E5BFD" w14:paraId="7E63BE01" w14:textId="77777777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Je zakázáno jakkoliv zasahovat do stěn a podlah objektu. </w:t>
      </w:r>
    </w:p>
    <w:p w:rsidR="001E5BFD" w:rsidP="004556FB" w:rsidRDefault="001E5BFD" w14:paraId="537D3781" w14:textId="54EEAE14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 w:rsidRPr="009327CD">
        <w:rPr>
          <w:rFonts w:eastAsia="Times New Roman"/>
        </w:rPr>
        <w:t xml:space="preserve">V celém objektu platí přísný zákaz kouření (vč. elektronických cigaret), používání přístrojů na výrobu mlhy a kouře, otevřeného ohně (vč. zapalování svíček a vonných tyčinek) </w:t>
      </w:r>
      <w:r w:rsidR="002253A9">
        <w:rPr>
          <w:rFonts w:eastAsia="Times New Roman"/>
        </w:rPr>
        <w:br/>
      </w:r>
      <w:r w:rsidRPr="009327CD">
        <w:rPr>
          <w:rFonts w:eastAsia="Times New Roman"/>
        </w:rPr>
        <w:t>a pyrotechnických efektů</w:t>
      </w:r>
      <w:r>
        <w:rPr>
          <w:rFonts w:eastAsia="Times New Roman"/>
        </w:rPr>
        <w:t>, výbuchů a střelby</w:t>
      </w:r>
      <w:r w:rsidRPr="009327CD">
        <w:rPr>
          <w:rFonts w:eastAsia="Times New Roman"/>
        </w:rPr>
        <w:t xml:space="preserve">. </w:t>
      </w:r>
    </w:p>
    <w:p w:rsidR="00E52AC5" w:rsidP="004556FB" w:rsidRDefault="001E5BFD" w14:paraId="260DE9A7" w14:textId="35A8F660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Na podlahy není povoleno pokládat teplé předměty, jelikož by je mohly poškodit. Kvůli riziku poškrábání povrchu je potřeba opatřit nohy nábytku filcovými podložkami, břemena nesmějí být posouvána po podlaze. </w:t>
      </w:r>
    </w:p>
    <w:p w:rsidR="00FB3F4B" w:rsidP="004556FB" w:rsidRDefault="00FB3F4B" w14:paraId="723FEA98" w14:textId="77777777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Důrazně se nedoporučuje vstup na jehlových podpatcích, jelikož mohou poničit dřevěné podlahy.</w:t>
      </w:r>
    </w:p>
    <w:p w:rsidRPr="00FB3F4B" w:rsidR="00FB3F4B" w:rsidP="004556FB" w:rsidRDefault="00FB3F4B" w14:paraId="686FA20F" w14:textId="3A96BE1E">
      <w:pPr>
        <w:pStyle w:val="ListParagraph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Za účelem pronájmu je nezbytné, aby měl zájemce o pronájem uzavřenou pojistku s uvedením místa konání Akce a s pojistným krytím minimálně na 5 milionů korun českých (v případě fotografování v objektu alespoň na 1 milion korun českých).</w:t>
      </w:r>
    </w:p>
    <w:sectPr w:rsidRPr="00FB3F4B" w:rsidR="00FB3F4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52DEC"/>
    <w:multiLevelType w:val="hybridMultilevel"/>
    <w:tmpl w:val="D234D6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9D62AD"/>
    <w:multiLevelType w:val="hybridMultilevel"/>
    <w:tmpl w:val="B254B1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E70691"/>
    <w:multiLevelType w:val="hybridMultilevel"/>
    <w:tmpl w:val="464A0D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43709F"/>
    <w:multiLevelType w:val="hybridMultilevel"/>
    <w:tmpl w:val="87C292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CA66E2"/>
    <w:multiLevelType w:val="hybridMultilevel"/>
    <w:tmpl w:val="6E8666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0C0EB0"/>
    <w:multiLevelType w:val="hybridMultilevel"/>
    <w:tmpl w:val="354296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1171347">
    <w:abstractNumId w:val="1"/>
  </w:num>
  <w:num w:numId="2" w16cid:durableId="1694919699">
    <w:abstractNumId w:val="2"/>
  </w:num>
  <w:num w:numId="3" w16cid:durableId="1979869752">
    <w:abstractNumId w:val="4"/>
  </w:num>
  <w:num w:numId="4" w16cid:durableId="1933080995">
    <w:abstractNumId w:val="5"/>
  </w:num>
  <w:num w:numId="5" w16cid:durableId="1696420601">
    <w:abstractNumId w:val="0"/>
  </w:num>
  <w:num w:numId="6" w16cid:durableId="1619482754">
    <w:abstractNumId w:val="0"/>
  </w:num>
  <w:num w:numId="7" w16cid:durableId="13043941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74"/>
    <w:rsid w:val="00024302"/>
    <w:rsid w:val="000701E8"/>
    <w:rsid w:val="000A5CF0"/>
    <w:rsid w:val="000A67B2"/>
    <w:rsid w:val="000D10F2"/>
    <w:rsid w:val="000D60C3"/>
    <w:rsid w:val="00106D4F"/>
    <w:rsid w:val="00115B3E"/>
    <w:rsid w:val="00142ED9"/>
    <w:rsid w:val="001445AA"/>
    <w:rsid w:val="001C05DE"/>
    <w:rsid w:val="001C0C08"/>
    <w:rsid w:val="001E5BFD"/>
    <w:rsid w:val="002253A9"/>
    <w:rsid w:val="002C040D"/>
    <w:rsid w:val="002E28CE"/>
    <w:rsid w:val="0031395D"/>
    <w:rsid w:val="00374B71"/>
    <w:rsid w:val="0039503D"/>
    <w:rsid w:val="003D05F7"/>
    <w:rsid w:val="003D3C5C"/>
    <w:rsid w:val="003E487B"/>
    <w:rsid w:val="003E5EEB"/>
    <w:rsid w:val="003F7F13"/>
    <w:rsid w:val="004556FB"/>
    <w:rsid w:val="00491A6F"/>
    <w:rsid w:val="0049283A"/>
    <w:rsid w:val="004A2DEE"/>
    <w:rsid w:val="004A44C3"/>
    <w:rsid w:val="004C37A8"/>
    <w:rsid w:val="004F3F5C"/>
    <w:rsid w:val="0057042B"/>
    <w:rsid w:val="00602957"/>
    <w:rsid w:val="00662954"/>
    <w:rsid w:val="006B6A3C"/>
    <w:rsid w:val="007329A6"/>
    <w:rsid w:val="0073556F"/>
    <w:rsid w:val="007A6C3B"/>
    <w:rsid w:val="007C1981"/>
    <w:rsid w:val="00804F64"/>
    <w:rsid w:val="009148A0"/>
    <w:rsid w:val="00920424"/>
    <w:rsid w:val="009569D9"/>
    <w:rsid w:val="00A1135B"/>
    <w:rsid w:val="00A22AF2"/>
    <w:rsid w:val="00A32AEF"/>
    <w:rsid w:val="00AB4379"/>
    <w:rsid w:val="00AB5E1B"/>
    <w:rsid w:val="00B10F19"/>
    <w:rsid w:val="00B13E9F"/>
    <w:rsid w:val="00B4246A"/>
    <w:rsid w:val="00B53E10"/>
    <w:rsid w:val="00B728EF"/>
    <w:rsid w:val="00C05968"/>
    <w:rsid w:val="00C24018"/>
    <w:rsid w:val="00C70A04"/>
    <w:rsid w:val="00C80E74"/>
    <w:rsid w:val="00CD1A41"/>
    <w:rsid w:val="00CE45A7"/>
    <w:rsid w:val="00D021DA"/>
    <w:rsid w:val="00D35CF6"/>
    <w:rsid w:val="00D53206"/>
    <w:rsid w:val="00D67623"/>
    <w:rsid w:val="00D76659"/>
    <w:rsid w:val="00DB1360"/>
    <w:rsid w:val="00DD3562"/>
    <w:rsid w:val="00DE0B0B"/>
    <w:rsid w:val="00E52AC5"/>
    <w:rsid w:val="00E93F43"/>
    <w:rsid w:val="00ED3B08"/>
    <w:rsid w:val="00F40D9B"/>
    <w:rsid w:val="00F4243E"/>
    <w:rsid w:val="00F47340"/>
    <w:rsid w:val="00F53B3F"/>
    <w:rsid w:val="00F675AF"/>
    <w:rsid w:val="00FB3F4B"/>
    <w:rsid w:val="00FE4025"/>
    <w:rsid w:val="00FF1BC8"/>
    <w:rsid w:val="3EC0D1CB"/>
    <w:rsid w:val="47FC2DF6"/>
    <w:rsid w:val="5BB8D4DC"/>
    <w:rsid w:val="71B9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3E9"/>
  <w15:chartTrackingRefBased/>
  <w15:docId w15:val="{BFB2BDC1-DF3C-4F2B-8F91-F05BE034C4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283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3A"/>
    <w:pPr>
      <w:ind w:left="720"/>
    </w:pPr>
  </w:style>
  <w:style w:type="paragraph" w:styleId="Revision">
    <w:name w:val="Revision"/>
    <w:hidden/>
    <w:uiPriority w:val="99"/>
    <w:semiHidden/>
    <w:rsid w:val="0049283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2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43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243E"/>
    <w:rPr>
      <w:rFonts w:ascii="Calibri" w:hAnsi="Calibri" w:cs="Calibri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4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243E"/>
    <w:rPr>
      <w:rFonts w:ascii="Calibri" w:hAnsi="Calibri" w:cs="Calibri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5" ma:contentTypeDescription="Vytvoří nový dokument" ma:contentTypeScope="" ma:versionID="3241b2be777213cbed8d30879e5425a1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b6687fcc7fc14f73badbd4f6b0697ed6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ae8113-27b8-4677-8eef-400948ddf14c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30bbf-c4ec-4743-a53e-a75e8ee0a24b">
      <Terms xmlns="http://schemas.microsoft.com/office/infopath/2007/PartnerControls"/>
    </lcf76f155ced4ddcb4097134ff3c332f>
    <TaxCatchAll xmlns="7a0ba8dd-8c1e-417a-b825-44272f28b8cc" xsi:nil="true"/>
  </documentManagement>
</p:properties>
</file>

<file path=customXml/itemProps1.xml><?xml version="1.0" encoding="utf-8"?>
<ds:datastoreItem xmlns:ds="http://schemas.openxmlformats.org/officeDocument/2006/customXml" ds:itemID="{41F20A58-C458-4E06-BB3A-810BC7E9F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E548A-4325-459B-A2AB-8DBFDB3C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0bbf-c4ec-4743-a53e-a75e8ee0a24b"/>
    <ds:schemaRef ds:uri="7a0ba8dd-8c1e-417a-b825-44272f28b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0D0F3-2BBE-4198-B0B3-776F4C319AF9}">
  <ds:schemaRefs>
    <ds:schemaRef ds:uri="http://schemas.microsoft.com/office/2006/metadata/properties"/>
    <ds:schemaRef ds:uri="http://schemas.microsoft.com/office/infopath/2007/PartnerControls"/>
    <ds:schemaRef ds:uri="5f430bbf-c4ec-4743-a53e-a75e8ee0a24b"/>
    <ds:schemaRef ds:uri="7a0ba8dd-8c1e-417a-b825-44272f28b8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Kateřina Krylová</dc:creator>
  <keywords/>
  <dc:description/>
  <lastModifiedBy>Dagmar Hladná</lastModifiedBy>
  <revision>9</revision>
  <dcterms:created xsi:type="dcterms:W3CDTF">2024-08-06T08:52:00.0000000Z</dcterms:created>
  <dcterms:modified xsi:type="dcterms:W3CDTF">2024-09-27T11:36:14.3493535Z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0x010100FC608910C348114586A92AACC8CD6E9E</vt:lpwstr>
  </property>
  <property fmtid="{D5CDD505-2E9C-101B-9397-08002B2CF9AE}" pid="3" name="MediaServiceImageTags">
    <vt:lpwstr/>
  </property>
</Properties>
</file>