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557020" distL="132715" distR="135890" simplePos="0" relativeHeight="12582937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12700</wp:posOffset>
            </wp:positionV>
            <wp:extent cx="2164080" cy="9664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5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1162050</wp:posOffset>
                </wp:positionV>
                <wp:extent cx="1728470" cy="4356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  <w:tab/>
                              <w:t>POH/44369/2024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91.5pt;width:136.09999999999999pt;height:34.3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  <w:tab/>
                        <w:t>POH/44369/2024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691640" distB="0" distL="114300" distR="589280" simplePos="0" relativeHeight="125829379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1704340</wp:posOffset>
                </wp:positionV>
                <wp:extent cx="1728470" cy="8318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23.09.2024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50000000000004pt;margin-top:134.19999999999999pt;width:136.09999999999999pt;height:65.5pt;z-index:-125829374;mso-wrap-distance-left:9.pt;mso-wrap-distance-top:133.19999999999999pt;mso-wrap-distance-right:46.3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23.09.2024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3818890</wp:posOffset>
                </wp:positionV>
                <wp:extent cx="953770" cy="6489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116010/59/2024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15.11.2024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54 240,00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95588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2.65000000000001pt;margin-top:300.69999999999999pt;width:75.100000000000009pt;height:51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116010/59/2024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15.11.2024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54 240,00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95588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ColorMax,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Kasární náměstí 115/7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350 02 Cheb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podnikové ředitelství, Bezručova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na VD Skalka nátěr vstupních vrat a vymalování chodby a schodiště k MVE. Rozsah prací viz cenová nabídka ze dne 20.9.2024.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DlHM</w:t>
        <w:tab/>
        <w:t>95588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služební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99" w:val="left"/>
        </w:tabs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</w:t>
        <w:tab/>
        <w:t>6 měsíců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provede zatřídění prací dle klasifikace produkce CZ-CPA a uvede tento údaj na daňovém dokladu – režim přenesení daňové povinnosti na DPH.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faktuře bude uvedeno „daň odvede zákazník“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Cheb</w:t>
      </w:r>
    </w:p>
    <w:sectPr>
      <w:footnotePr>
        <w:pos w:val="pageBottom"/>
        <w:numFmt w:val="decimal"/>
        <w:numRestart w:val="continuous"/>
      </w:footnotePr>
      <w:pgSz w:w="11909" w:h="16838"/>
      <w:pgMar w:top="672" w:left="1111" w:right="1044" w:bottom="672" w:header="244" w:footer="2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