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KUPNÍ SMLOUVA</w:t>
      </w:r>
      <w:bookmarkEnd w:id="0"/>
      <w:bookmarkEnd w:id="1"/>
      <w:bookmarkEnd w:id="2"/>
    </w:p>
    <w:p>
      <w:pPr>
        <w:pStyle w:val="Style8"/>
        <w:keepNext/>
        <w:keepLines/>
        <w:widowControl w:val="0"/>
        <w:shd w:val="clear" w:color="auto" w:fill="auto"/>
        <w:bidi w:val="0"/>
        <w:spacing w:before="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 1107/ 2024</w:t>
      </w:r>
      <w:bookmarkEnd w:id="3"/>
      <w:bookmarkEnd w:id="4"/>
      <w:bookmarkEnd w:id="5"/>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w:t>
      </w:r>
      <w:r>
        <w:rPr>
          <w:b/>
          <w:bCs/>
          <w:color w:val="000000"/>
          <w:spacing w:val="0"/>
          <w:w w:val="100"/>
          <w:position w:val="0"/>
          <w:shd w:val="clear" w:color="auto" w:fill="auto"/>
          <w:lang w:val="cs-CZ" w:eastAsia="cs-CZ" w:bidi="cs-CZ"/>
        </w:rPr>
        <w:t>. Smluvní strany</w:t>
      </w:r>
    </w:p>
    <w:tbl>
      <w:tblPr>
        <w:tblOverlap w:val="never"/>
        <w:jc w:val="center"/>
        <w:tblLayout w:type="fixed"/>
      </w:tblPr>
      <w:tblGrid>
        <w:gridCol w:w="3538"/>
        <w:gridCol w:w="5587"/>
      </w:tblGrid>
      <w:tr>
        <w:trPr>
          <w:trHeight w:val="214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 sídlo: IČO: DIČ: statutární orgán: zástupce ve věcech smluvních: bankovní spojení: číslo účtu:</w:t>
            </w:r>
          </w:p>
        </w:tc>
        <w:tc>
          <w:tcPr>
            <w:tcBorders/>
            <w:shd w:val="clear" w:color="auto" w:fill="FFFFFF"/>
            <w:vAlign w:val="top"/>
          </w:tcPr>
          <w:p>
            <w:pPr>
              <w:pStyle w:val="Style14"/>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70889988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 ředitel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ředitelka závodu Terezín</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widowControl w:val="0"/>
        <w:spacing w:after="179" w:line="1" w:lineRule="exact"/>
      </w:pPr>
    </w:p>
    <w:p>
      <w:pPr>
        <w:pStyle w:val="Style1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„Prodávající“) na straně jedné a</w:t>
      </w:r>
    </w:p>
    <w:tbl>
      <w:tblPr>
        <w:tblOverlap w:val="never"/>
        <w:jc w:val="center"/>
        <w:tblLayout w:type="fixed"/>
      </w:tblPr>
      <w:tblGrid>
        <w:gridCol w:w="3538"/>
        <w:gridCol w:w="5582"/>
      </w:tblGrid>
      <w:tr>
        <w:trPr>
          <w:trHeight w:val="162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orgán:</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14"/>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SDH Černá Říčka, s.r.o.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273 09 088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CZ27309088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w:t>
            </w:r>
          </w:p>
        </w:tc>
      </w:tr>
    </w:tbl>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Zápis v OR: C 23629, Krajský soud v Ústí nad Labem (dále jen „Kupující“) na straně druhé.</w:t>
      </w:r>
    </w:p>
    <w:p>
      <w:pPr>
        <w:widowControl w:val="0"/>
        <w:spacing w:after="179" w:line="1" w:lineRule="exact"/>
      </w:pPr>
    </w:p>
    <w:p>
      <w:pPr>
        <w:pStyle w:val="Style19"/>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smlouvy</w:t>
      </w:r>
      <w:bookmarkEnd w:id="6"/>
      <w:bookmarkEnd w:id="7"/>
      <w:bookmarkEnd w:id="9"/>
    </w:p>
    <w:p>
      <w:pPr>
        <w:pStyle w:val="Style17"/>
        <w:keepNext w:val="0"/>
        <w:keepLines w:val="0"/>
        <w:widowControl w:val="0"/>
        <w:numPr>
          <w:ilvl w:val="0"/>
          <w:numId w:val="3"/>
        </w:numPr>
        <w:shd w:val="clear" w:color="auto" w:fill="auto"/>
        <w:tabs>
          <w:tab w:pos="697" w:val="left"/>
        </w:tabs>
        <w:bidi w:val="0"/>
        <w:spacing w:before="0" w:after="0" w:line="240" w:lineRule="auto"/>
        <w:ind w:left="580" w:right="0" w:hanging="280"/>
        <w:jc w:val="both"/>
      </w:pPr>
      <w:bookmarkStart w:id="10" w:name="bookmark10"/>
      <w:bookmarkEnd w:id="10"/>
      <w:r>
        <w:rPr>
          <w:color w:val="000000"/>
          <w:spacing w:val="0"/>
          <w:w w:val="100"/>
          <w:position w:val="0"/>
          <w:shd w:val="clear" w:color="auto" w:fill="auto"/>
          <w:lang w:val="cs-CZ" w:eastAsia="cs-CZ" w:bidi="cs-CZ"/>
        </w:rPr>
        <w:t>Prodávající touto smlouvou a za podmínek v ní dohodnutých prodává kupujícímu níže uvedený stroj a kupující jej za dohodnutých podmínek kupuje do svého vlastnictví. Bližší určení prodávaného stroje:</w:t>
      </w:r>
    </w:p>
    <w:p>
      <w:pPr>
        <w:pStyle w:val="Style17"/>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Svahová sekačka REFORM Metrac 2002, r.v. 1981</w:t>
      </w:r>
      <w:r>
        <w:rPr>
          <w:color w:val="000000"/>
          <w:spacing w:val="0"/>
          <w:w w:val="100"/>
          <w:position w:val="0"/>
          <w:shd w:val="clear" w:color="auto" w:fill="auto"/>
          <w:lang w:val="cs-CZ" w:eastAsia="cs-CZ" w:bidi="cs-CZ"/>
        </w:rPr>
        <w:t>, dále jen „předmět koupě“:</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VIN/výr.č.:</w:t>
      </w:r>
      <w:r>
        <w:rPr>
          <w:color w:val="000000"/>
          <w:spacing w:val="0"/>
          <w:w w:val="100"/>
          <w:position w:val="0"/>
          <w:shd w:val="clear" w:color="auto" w:fill="auto"/>
          <w:lang w:val="cs-CZ" w:eastAsia="cs-CZ" w:bidi="cs-CZ"/>
        </w:rPr>
        <w:t>225 001 1939</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Číslo TP/Tech.osvědčení: </w:t>
      </w:r>
      <w:r>
        <w:rPr>
          <w:color w:val="000000"/>
          <w:spacing w:val="0"/>
          <w:w w:val="100"/>
          <w:position w:val="0"/>
          <w:shd w:val="clear" w:color="auto" w:fill="auto"/>
          <w:lang w:val="cs-CZ" w:eastAsia="cs-CZ" w:bidi="cs-CZ"/>
        </w:rPr>
        <w:t>nemá</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Rok výroby: </w:t>
      </w:r>
      <w:r>
        <w:rPr>
          <w:color w:val="000000"/>
          <w:spacing w:val="0"/>
          <w:w w:val="100"/>
          <w:position w:val="0"/>
          <w:shd w:val="clear" w:color="auto" w:fill="auto"/>
          <w:lang w:val="cs-CZ" w:eastAsia="cs-CZ" w:bidi="cs-CZ"/>
        </w:rPr>
        <w:t>1981</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Druh vozidla: </w:t>
      </w:r>
      <w:r>
        <w:rPr>
          <w:color w:val="000000"/>
          <w:spacing w:val="0"/>
          <w:w w:val="100"/>
          <w:position w:val="0"/>
          <w:shd w:val="clear" w:color="auto" w:fill="auto"/>
          <w:lang w:val="cs-CZ" w:eastAsia="cs-CZ" w:bidi="cs-CZ"/>
        </w:rPr>
        <w:t>zemědělský traktor</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Datum uvedení do provozu: </w:t>
      </w:r>
      <w:r>
        <w:rPr>
          <w:color w:val="000000"/>
          <w:spacing w:val="0"/>
          <w:w w:val="100"/>
          <w:position w:val="0"/>
          <w:shd w:val="clear" w:color="auto" w:fill="auto"/>
          <w:lang w:val="cs-CZ" w:eastAsia="cs-CZ" w:bidi="cs-CZ"/>
        </w:rPr>
        <w:t>1/1982</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RZ: </w:t>
      </w:r>
      <w:r>
        <w:rPr>
          <w:color w:val="000000"/>
          <w:spacing w:val="0"/>
          <w:w w:val="100"/>
          <w:position w:val="0"/>
          <w:shd w:val="clear" w:color="auto" w:fill="auto"/>
          <w:lang w:val="cs-CZ" w:eastAsia="cs-CZ" w:bidi="cs-CZ"/>
        </w:rPr>
        <w:t>nemá</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Příslušenství: </w:t>
      </w:r>
      <w:r>
        <w:rPr>
          <w:color w:val="000000"/>
          <w:spacing w:val="0"/>
          <w:w w:val="100"/>
          <w:position w:val="0"/>
          <w:shd w:val="clear" w:color="auto" w:fill="auto"/>
          <w:lang w:val="cs-CZ" w:eastAsia="cs-CZ" w:bidi="cs-CZ"/>
        </w:rPr>
        <w:t>žací lišta, obraceč</w:t>
      </w:r>
    </w:p>
    <w:p>
      <w:pPr>
        <w:pStyle w:val="Style17"/>
        <w:keepNext w:val="0"/>
        <w:keepLines w:val="0"/>
        <w:widowControl w:val="0"/>
        <w:shd w:val="clear" w:color="auto" w:fill="auto"/>
        <w:bidi w:val="0"/>
        <w:spacing w:before="0" w:line="240" w:lineRule="auto"/>
        <w:ind w:left="1080" w:right="0" w:firstLine="0"/>
        <w:jc w:val="left"/>
      </w:pPr>
      <w:r>
        <w:rPr>
          <w:b/>
          <w:bCs/>
          <w:color w:val="000000"/>
          <w:spacing w:val="0"/>
          <w:w w:val="100"/>
          <w:position w:val="0"/>
          <w:shd w:val="clear" w:color="auto" w:fill="auto"/>
          <w:lang w:val="cs-CZ" w:eastAsia="cs-CZ" w:bidi="cs-CZ"/>
        </w:rPr>
        <w:t xml:space="preserve">Nájezd v Mth: </w:t>
      </w:r>
      <w:r>
        <w:rPr>
          <w:color w:val="000000"/>
          <w:spacing w:val="0"/>
          <w:w w:val="100"/>
          <w:position w:val="0"/>
          <w:shd w:val="clear" w:color="auto" w:fill="auto"/>
          <w:lang w:val="cs-CZ" w:eastAsia="cs-CZ" w:bidi="cs-CZ"/>
        </w:rPr>
        <w:t>1 246</w:t>
      </w:r>
    </w:p>
    <w:p>
      <w:pPr>
        <w:pStyle w:val="Style17"/>
        <w:keepNext w:val="0"/>
        <w:keepLines w:val="0"/>
        <w:widowControl w:val="0"/>
        <w:shd w:val="clear" w:color="auto" w:fill="auto"/>
        <w:bidi w:val="0"/>
        <w:spacing w:before="0" w:after="0" w:line="240" w:lineRule="auto"/>
        <w:ind w:left="1080" w:right="0" w:firstLine="0"/>
        <w:jc w:val="left"/>
      </w:pPr>
      <w:r>
        <w:rPr>
          <w:b/>
          <w:bCs/>
          <w:color w:val="000000"/>
          <w:spacing w:val="0"/>
          <w:w w:val="100"/>
          <w:position w:val="0"/>
          <w:shd w:val="clear" w:color="auto" w:fill="auto"/>
          <w:lang w:val="cs-CZ" w:eastAsia="cs-CZ" w:bidi="cs-CZ"/>
        </w:rPr>
        <w:t xml:space="preserve">Stav: </w:t>
      </w:r>
      <w:r>
        <w:rPr>
          <w:color w:val="000000"/>
          <w:spacing w:val="0"/>
          <w:w w:val="100"/>
          <w:position w:val="0"/>
          <w:shd w:val="clear" w:color="auto" w:fill="auto"/>
          <w:lang w:val="cs-CZ" w:eastAsia="cs-CZ" w:bidi="cs-CZ"/>
        </w:rPr>
        <w:t>Stroj byl po celou dobu ve vlastnictví prodávajícího, používán zpravidla občasně, při sezónních pracích na svazích hrází. Stroj je plně funkční, opotřebení odpovídá stáří. Prodávající prohlašuje, že na stroji neváznou žádné dluhy, zástavní práva nebo jiné právní povinnosti.</w:t>
      </w:r>
    </w:p>
    <w:p>
      <w:pPr>
        <w:pStyle w:val="Style17"/>
        <w:keepNext w:val="0"/>
        <w:keepLines w:val="0"/>
        <w:widowControl w:val="0"/>
        <w:numPr>
          <w:ilvl w:val="0"/>
          <w:numId w:val="3"/>
        </w:numPr>
        <w:shd w:val="clear" w:color="auto" w:fill="auto"/>
        <w:tabs>
          <w:tab w:pos="697" w:val="left"/>
        </w:tabs>
        <w:bidi w:val="0"/>
        <w:spacing w:before="0" w:line="240" w:lineRule="auto"/>
        <w:ind w:left="580" w:right="0" w:hanging="280"/>
        <w:jc w:val="both"/>
      </w:pPr>
      <w:bookmarkStart w:id="11" w:name="bookmark11"/>
      <w:bookmarkEnd w:id="11"/>
      <w:r>
        <w:rPr>
          <w:color w:val="000000"/>
          <w:spacing w:val="0"/>
          <w:w w:val="100"/>
          <w:position w:val="0"/>
          <w:shd w:val="clear" w:color="auto" w:fill="auto"/>
          <w:lang w:val="cs-CZ" w:eastAsia="cs-CZ" w:bidi="cs-CZ"/>
        </w:rPr>
        <w:t>Kupující prohlašuje, že se před podepsáním této kupní smlouvy seznámil se stavem stroje a v tomto stavu jej kupuje. Kupující bere na vědomí, že se jedná o stroj, který je v provozu od 1/1982, čemuž odpovídá i jeho běžné opotřebení.</w:t>
      </w:r>
    </w:p>
    <w:p>
      <w:pPr>
        <w:pStyle w:val="Style19"/>
        <w:keepNext/>
        <w:keepLines/>
        <w:widowControl w:val="0"/>
        <w:numPr>
          <w:ilvl w:val="0"/>
          <w:numId w:val="1"/>
        </w:numPr>
        <w:shd w:val="clear" w:color="auto" w:fill="auto"/>
        <w:tabs>
          <w:tab w:pos="380" w:val="left"/>
        </w:tabs>
        <w:bidi w:val="0"/>
        <w:spacing w:before="0" w:line="240" w:lineRule="auto"/>
        <w:ind w:left="0" w:right="0" w:firstLine="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Cena a její úhrada</w:t>
      </w:r>
      <w:bookmarkEnd w:id="12"/>
      <w:bookmarkEnd w:id="13"/>
      <w:bookmarkEnd w:id="15"/>
    </w:p>
    <w:p>
      <w:pPr>
        <w:pStyle w:val="Style17"/>
        <w:keepNext w:val="0"/>
        <w:keepLines w:val="0"/>
        <w:widowControl w:val="0"/>
        <w:numPr>
          <w:ilvl w:val="0"/>
          <w:numId w:val="5"/>
        </w:numPr>
        <w:shd w:val="clear" w:color="auto" w:fill="auto"/>
        <w:tabs>
          <w:tab w:pos="657" w:val="left"/>
        </w:tabs>
        <w:bidi w:val="0"/>
        <w:spacing w:before="0" w:after="0" w:line="240" w:lineRule="auto"/>
        <w:ind w:left="580" w:right="0" w:hanging="260"/>
        <w:jc w:val="both"/>
      </w:pPr>
      <w:bookmarkStart w:id="16" w:name="bookmark16"/>
      <w:bookmarkEnd w:id="16"/>
      <w:r>
        <w:rPr>
          <w:color w:val="000000"/>
          <w:spacing w:val="0"/>
          <w:w w:val="100"/>
          <w:position w:val="0"/>
          <w:shd w:val="clear" w:color="auto" w:fill="auto"/>
          <w:lang w:val="cs-CZ" w:eastAsia="cs-CZ" w:bidi="cs-CZ"/>
        </w:rPr>
        <w:t xml:space="preserve">Kupní cena je stanovena dle výsledku prodejní aukce a činí </w:t>
      </w:r>
      <w:r>
        <w:rPr>
          <w:b/>
          <w:bCs/>
          <w:color w:val="000000"/>
          <w:spacing w:val="0"/>
          <w:w w:val="100"/>
          <w:position w:val="0"/>
          <w:shd w:val="clear" w:color="auto" w:fill="auto"/>
          <w:lang w:val="cs-CZ" w:eastAsia="cs-CZ" w:bidi="cs-CZ"/>
        </w:rPr>
        <w:t xml:space="preserve">186.000 Kč vč. DPH. </w:t>
      </w:r>
      <w:r>
        <w:rPr>
          <w:color w:val="000000"/>
          <w:spacing w:val="0"/>
          <w:w w:val="100"/>
          <w:position w:val="0"/>
          <w:shd w:val="clear" w:color="auto" w:fill="auto"/>
          <w:lang w:val="cs-CZ" w:eastAsia="cs-CZ" w:bidi="cs-CZ"/>
        </w:rPr>
        <w:t>(slovy: sto osmdesát šest tisíc korun českých)</w:t>
      </w:r>
    </w:p>
    <w:p>
      <w:pPr>
        <w:pStyle w:val="Style17"/>
        <w:keepNext w:val="0"/>
        <w:keepLines w:val="0"/>
        <w:widowControl w:val="0"/>
        <w:numPr>
          <w:ilvl w:val="0"/>
          <w:numId w:val="5"/>
        </w:numPr>
        <w:shd w:val="clear" w:color="auto" w:fill="auto"/>
        <w:tabs>
          <w:tab w:pos="657" w:val="left"/>
        </w:tabs>
        <w:bidi w:val="0"/>
        <w:spacing w:before="0" w:after="0" w:line="240" w:lineRule="auto"/>
        <w:ind w:left="580" w:right="0" w:hanging="260"/>
        <w:jc w:val="both"/>
      </w:pPr>
      <w:bookmarkStart w:id="17" w:name="bookmark17"/>
      <w:bookmarkEnd w:id="17"/>
      <w:r>
        <w:rPr>
          <w:color w:val="000000"/>
          <w:spacing w:val="0"/>
          <w:w w:val="100"/>
          <w:position w:val="0"/>
          <w:shd w:val="clear" w:color="auto" w:fill="auto"/>
          <w:lang w:val="cs-CZ" w:eastAsia="cs-CZ" w:bidi="cs-CZ"/>
        </w:rPr>
        <w:t xml:space="preserve">Kupní cena bude uhrazena kupujícím převodem na </w:t>
      </w:r>
      <w:r>
        <w:rPr>
          <w:b/>
          <w:bCs/>
          <w:color w:val="000000"/>
          <w:spacing w:val="0"/>
          <w:w w:val="100"/>
          <w:position w:val="0"/>
          <w:shd w:val="clear" w:color="auto" w:fill="auto"/>
          <w:lang w:val="cs-CZ" w:eastAsia="cs-CZ" w:bidi="cs-CZ"/>
        </w:rPr>
        <w:t>bankovní účet č. ,,,,, (variabilní symbol platby: 3052400027)</w:t>
      </w:r>
      <w:r>
        <w:rPr>
          <w:color w:val="000000"/>
          <w:spacing w:val="0"/>
          <w:w w:val="100"/>
          <w:position w:val="0"/>
          <w:shd w:val="clear" w:color="auto" w:fill="auto"/>
          <w:lang w:val="cs-CZ" w:eastAsia="cs-CZ" w:bidi="cs-CZ"/>
        </w:rPr>
        <w:t xml:space="preserve">, který je veden u Komerční banky, a.s., </w:t>
      </w:r>
      <w:r>
        <w:rPr>
          <w:b/>
          <w:bCs/>
          <w:color w:val="000000"/>
          <w:spacing w:val="0"/>
          <w:w w:val="100"/>
          <w:position w:val="0"/>
          <w:shd w:val="clear" w:color="auto" w:fill="auto"/>
          <w:lang w:val="cs-CZ" w:eastAsia="cs-CZ" w:bidi="cs-CZ"/>
        </w:rPr>
        <w:t xml:space="preserve">nejpozději do 14 dnů </w:t>
      </w:r>
      <w:r>
        <w:rPr>
          <w:color w:val="000000"/>
          <w:spacing w:val="0"/>
          <w:w w:val="100"/>
          <w:position w:val="0"/>
          <w:shd w:val="clear" w:color="auto" w:fill="auto"/>
          <w:lang w:val="cs-CZ" w:eastAsia="cs-CZ" w:bidi="cs-CZ"/>
        </w:rPr>
        <w:t>od podpisu této smlouvy oběma stranami.</w:t>
      </w:r>
    </w:p>
    <w:p>
      <w:pPr>
        <w:pStyle w:val="Style17"/>
        <w:keepNext w:val="0"/>
        <w:keepLines w:val="0"/>
        <w:widowControl w:val="0"/>
        <w:numPr>
          <w:ilvl w:val="0"/>
          <w:numId w:val="5"/>
        </w:numPr>
        <w:shd w:val="clear" w:color="auto" w:fill="auto"/>
        <w:tabs>
          <w:tab w:pos="657" w:val="left"/>
        </w:tabs>
        <w:bidi w:val="0"/>
        <w:spacing w:before="0" w:after="0" w:line="240" w:lineRule="auto"/>
        <w:ind w:left="580" w:right="0" w:hanging="260"/>
        <w:jc w:val="both"/>
      </w:pPr>
      <w:bookmarkStart w:id="18" w:name="bookmark18"/>
      <w:bookmarkEnd w:id="18"/>
      <w:r>
        <w:rPr>
          <w:color w:val="000000"/>
          <w:spacing w:val="0"/>
          <w:w w:val="100"/>
          <w:position w:val="0"/>
          <w:shd w:val="clear" w:color="auto" w:fill="auto"/>
          <w:lang w:val="cs-CZ" w:eastAsia="cs-CZ" w:bidi="cs-CZ"/>
        </w:rPr>
        <w:t>Den uskutečnění zdanitelného plnění je dnem vystavení daňového dokladu - faktury na adresu kupujícího.</w:t>
      </w:r>
    </w:p>
    <w:p>
      <w:pPr>
        <w:pStyle w:val="Style17"/>
        <w:keepNext w:val="0"/>
        <w:keepLines w:val="0"/>
        <w:widowControl w:val="0"/>
        <w:numPr>
          <w:ilvl w:val="0"/>
          <w:numId w:val="5"/>
        </w:numPr>
        <w:shd w:val="clear" w:color="auto" w:fill="auto"/>
        <w:tabs>
          <w:tab w:pos="657" w:val="left"/>
        </w:tabs>
        <w:bidi w:val="0"/>
        <w:spacing w:before="0" w:after="0" w:line="240" w:lineRule="auto"/>
        <w:ind w:left="580" w:right="0" w:hanging="260"/>
        <w:jc w:val="both"/>
      </w:pPr>
      <w:bookmarkStart w:id="19" w:name="bookmark19"/>
      <w:bookmarkEnd w:id="19"/>
      <w:r>
        <w:rPr>
          <w:color w:val="000000"/>
          <w:spacing w:val="0"/>
          <w:w w:val="100"/>
          <w:position w:val="0"/>
          <w:shd w:val="clear" w:color="auto" w:fill="auto"/>
          <w:lang w:val="cs-CZ" w:eastAsia="cs-CZ" w:bidi="cs-CZ"/>
        </w:rPr>
        <w:t>Prodávající prohlašuje, že mu nejsou známy žádné skryté vady předmětu koupě, na které by kupujícího neupozornil. Převzetím stroje uvedeného v čl. II. této smlouvy přechází na kupujícího vlastnictví a nebezpečí škody na prodané věci. Na prodávanou věc se nevztahuje záruka.</w:t>
      </w:r>
    </w:p>
    <w:p>
      <w:pPr>
        <w:pStyle w:val="Style17"/>
        <w:keepNext w:val="0"/>
        <w:keepLines w:val="0"/>
        <w:widowControl w:val="0"/>
        <w:numPr>
          <w:ilvl w:val="0"/>
          <w:numId w:val="5"/>
        </w:numPr>
        <w:shd w:val="clear" w:color="auto" w:fill="auto"/>
        <w:tabs>
          <w:tab w:pos="657" w:val="left"/>
        </w:tabs>
        <w:bidi w:val="0"/>
        <w:spacing w:before="0" w:after="320" w:line="240" w:lineRule="auto"/>
        <w:ind w:left="580" w:right="0" w:hanging="260"/>
        <w:jc w:val="both"/>
      </w:pPr>
      <w:bookmarkStart w:id="20" w:name="bookmark20"/>
      <w:bookmarkEnd w:id="20"/>
      <w:r>
        <w:rPr>
          <w:color w:val="000000"/>
          <w:spacing w:val="0"/>
          <w:w w:val="100"/>
          <w:position w:val="0"/>
          <w:shd w:val="clear" w:color="auto" w:fill="auto"/>
          <w:lang w:val="cs-CZ" w:eastAsia="cs-CZ" w:bidi="cs-CZ"/>
        </w:rPr>
        <w:t>Jestliže kupující věc nezaplatí, má prodávající právo od smlouvy odstoupit bez jakéhokoliv sankčního dopadu pro prodávajícího.</w:t>
      </w:r>
    </w:p>
    <w:p>
      <w:pPr>
        <w:pStyle w:val="Style17"/>
        <w:keepNext w:val="0"/>
        <w:keepLines w:val="0"/>
        <w:widowControl w:val="0"/>
        <w:numPr>
          <w:ilvl w:val="0"/>
          <w:numId w:val="1"/>
        </w:numPr>
        <w:shd w:val="clear" w:color="auto" w:fill="auto"/>
        <w:tabs>
          <w:tab w:pos="404" w:val="left"/>
        </w:tabs>
        <w:bidi w:val="0"/>
        <w:spacing w:before="0" w:after="180" w:line="240" w:lineRule="auto"/>
        <w:ind w:left="0" w:right="0" w:firstLine="0"/>
        <w:jc w:val="both"/>
      </w:pPr>
      <w:bookmarkStart w:id="21" w:name="bookmark21"/>
      <w:bookmarkEnd w:id="21"/>
      <w:r>
        <w:rPr>
          <w:b/>
          <w:bCs/>
          <w:color w:val="000000"/>
          <w:spacing w:val="0"/>
          <w:w w:val="100"/>
          <w:position w:val="0"/>
          <w:shd w:val="clear" w:color="auto" w:fill="auto"/>
          <w:lang w:val="cs-CZ" w:eastAsia="cs-CZ" w:bidi="cs-CZ"/>
        </w:rPr>
        <w:t>Compliance doložka</w:t>
      </w:r>
    </w:p>
    <w:p>
      <w:pPr>
        <w:pStyle w:val="Style17"/>
        <w:keepNext w:val="0"/>
        <w:keepLines w:val="0"/>
        <w:widowControl w:val="0"/>
        <w:numPr>
          <w:ilvl w:val="0"/>
          <w:numId w:val="7"/>
        </w:numPr>
        <w:shd w:val="clear" w:color="auto" w:fill="auto"/>
        <w:tabs>
          <w:tab w:pos="747" w:val="left"/>
        </w:tabs>
        <w:bidi w:val="0"/>
        <w:spacing w:before="0" w:after="0" w:line="240" w:lineRule="auto"/>
        <w:ind w:left="720" w:right="0" w:hanging="400"/>
        <w:jc w:val="both"/>
      </w:pPr>
      <w:bookmarkStart w:id="22" w:name="bookmark22"/>
      <w:bookmarkEnd w:id="2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7"/>
        <w:keepNext w:val="0"/>
        <w:keepLines w:val="0"/>
        <w:widowControl w:val="0"/>
        <w:numPr>
          <w:ilvl w:val="0"/>
          <w:numId w:val="7"/>
        </w:numPr>
        <w:shd w:val="clear" w:color="auto" w:fill="auto"/>
        <w:tabs>
          <w:tab w:pos="657" w:val="left"/>
        </w:tabs>
        <w:bidi w:val="0"/>
        <w:spacing w:before="0" w:after="0" w:line="240" w:lineRule="auto"/>
        <w:ind w:left="720" w:right="0" w:hanging="400"/>
        <w:jc w:val="both"/>
      </w:pPr>
      <w:bookmarkStart w:id="23" w:name="bookmark23"/>
      <w:bookmarkEnd w:id="2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7"/>
        <w:keepNext w:val="0"/>
        <w:keepLines w:val="0"/>
        <w:widowControl w:val="0"/>
        <w:numPr>
          <w:ilvl w:val="0"/>
          <w:numId w:val="7"/>
        </w:numPr>
        <w:shd w:val="clear" w:color="auto" w:fill="auto"/>
        <w:tabs>
          <w:tab w:pos="657" w:val="left"/>
        </w:tabs>
        <w:bidi w:val="0"/>
        <w:spacing w:before="0" w:after="0" w:line="240" w:lineRule="auto"/>
        <w:ind w:left="720" w:right="0" w:hanging="400"/>
        <w:jc w:val="both"/>
      </w:pPr>
      <w:bookmarkStart w:id="24" w:name="bookmark24"/>
      <w:bookmarkEnd w:id="24"/>
      <w:r>
        <w:rPr>
          <w:color w:val="000000"/>
          <w:spacing w:val="0"/>
          <w:w w:val="100"/>
          <w:position w:val="0"/>
          <w:shd w:val="clear" w:color="auto" w:fill="auto"/>
          <w:lang w:val="cs-CZ" w:eastAsia="cs-CZ" w:bidi="cs-CZ"/>
        </w:rPr>
        <w:t xml:space="preserve">Kupující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Kupující se při plnění této Smlouvy zavazuje po celou dobu jejího trvání dodržovat zásady a hodnoty obsažené v uvedených dokumentech, pokud to jejich povaha umožňuje.</w:t>
      </w:r>
    </w:p>
    <w:p>
      <w:pPr>
        <w:pStyle w:val="Style17"/>
        <w:keepNext w:val="0"/>
        <w:keepLines w:val="0"/>
        <w:widowControl w:val="0"/>
        <w:numPr>
          <w:ilvl w:val="0"/>
          <w:numId w:val="7"/>
        </w:numPr>
        <w:shd w:val="clear" w:color="auto" w:fill="auto"/>
        <w:tabs>
          <w:tab w:pos="657" w:val="left"/>
        </w:tabs>
        <w:bidi w:val="0"/>
        <w:spacing w:before="0" w:after="180" w:line="240" w:lineRule="auto"/>
        <w:ind w:left="720" w:right="0" w:hanging="400"/>
        <w:jc w:val="both"/>
      </w:pPr>
      <w:bookmarkStart w:id="25" w:name="bookmark25"/>
      <w:bookmarkEnd w:id="2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7"/>
        <w:keepNext w:val="0"/>
        <w:keepLines w:val="0"/>
        <w:widowControl w:val="0"/>
        <w:numPr>
          <w:ilvl w:val="0"/>
          <w:numId w:val="1"/>
        </w:numPr>
        <w:shd w:val="clear" w:color="auto" w:fill="auto"/>
        <w:tabs>
          <w:tab w:pos="346" w:val="left"/>
        </w:tabs>
        <w:bidi w:val="0"/>
        <w:spacing w:before="0" w:after="0" w:line="240" w:lineRule="auto"/>
        <w:ind w:left="0" w:right="0" w:firstLine="0"/>
        <w:jc w:val="both"/>
      </w:pPr>
      <w:bookmarkStart w:id="26" w:name="bookmark26"/>
      <w:bookmarkEnd w:id="26"/>
      <w:r>
        <w:rPr>
          <w:b/>
          <w:bCs/>
          <w:color w:val="000000"/>
          <w:spacing w:val="0"/>
          <w:w w:val="100"/>
          <w:position w:val="0"/>
          <w:shd w:val="clear" w:color="auto" w:fill="auto"/>
          <w:lang w:val="cs-CZ" w:eastAsia="cs-CZ" w:bidi="cs-CZ"/>
        </w:rPr>
        <w:t>Ochrana a zpracování osobních údajů</w:t>
      </w:r>
    </w:p>
    <w:p>
      <w:pPr>
        <w:pStyle w:val="Style17"/>
        <w:keepNext w:val="0"/>
        <w:keepLines w:val="0"/>
        <w:widowControl w:val="0"/>
        <w:shd w:val="clear" w:color="auto" w:fill="auto"/>
        <w:bidi w:val="0"/>
        <w:spacing w:before="0" w:after="180" w:line="240" w:lineRule="auto"/>
        <w:ind w:left="58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19"/>
        <w:keepNext/>
        <w:keepLines/>
        <w:widowControl w:val="0"/>
        <w:numPr>
          <w:ilvl w:val="0"/>
          <w:numId w:val="1"/>
        </w:numPr>
        <w:shd w:val="clear" w:color="auto" w:fill="auto"/>
        <w:tabs>
          <w:tab w:pos="433" w:val="left"/>
        </w:tabs>
        <w:bidi w:val="0"/>
        <w:spacing w:before="0" w:after="20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Ostatní ujednání</w:t>
      </w:r>
      <w:bookmarkEnd w:id="27"/>
      <w:bookmarkEnd w:id="28"/>
      <w:bookmarkEnd w:id="30"/>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1" w:name="bookmark31"/>
      <w:bookmarkEnd w:id="31"/>
      <w:r>
        <w:rPr>
          <w:b/>
          <w:bCs/>
          <w:color w:val="000000"/>
          <w:spacing w:val="0"/>
          <w:w w:val="100"/>
          <w:position w:val="0"/>
          <w:shd w:val="clear" w:color="auto" w:fill="auto"/>
          <w:lang w:val="cs-CZ" w:eastAsia="cs-CZ" w:bidi="cs-CZ"/>
        </w:rPr>
        <w:t xml:space="preserve">Stroj uvedený v čl. II. předá prodávající, až po zaplacení celé kupní ceny kupujícím dle odst. 2 čl. III. </w:t>
      </w:r>
      <w:r>
        <w:rPr>
          <w:color w:val="000000"/>
          <w:spacing w:val="0"/>
          <w:w w:val="100"/>
          <w:position w:val="0"/>
          <w:shd w:val="clear" w:color="auto" w:fill="auto"/>
          <w:lang w:val="cs-CZ" w:eastAsia="cs-CZ" w:bidi="cs-CZ"/>
        </w:rPr>
        <w:t>Předmětný stroj bude předán na základě podepsaného předávacího protokolu. Kupující se zavazuje převzít předmětný stroj na povodňovém dvoře v České Lípě, Litoměřická 91, kde se v době podpisu této smlouvy nachází. Zajištění odvozu stroje a náklady na něj jsou plně na straně kupujícího.</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2" w:name="bookmark32"/>
      <w:bookmarkEnd w:id="32"/>
      <w:r>
        <w:rPr>
          <w:color w:val="000000"/>
          <w:spacing w:val="0"/>
          <w:w w:val="100"/>
          <w:position w:val="0"/>
          <w:shd w:val="clear" w:color="auto" w:fill="auto"/>
          <w:lang w:val="cs-CZ" w:eastAsia="cs-CZ" w:bidi="cs-CZ"/>
        </w:rPr>
        <w:t>K předání ostatní dokumentace a příslušenství stroje uvedeného v čl. II. této smlouvy prodávajícím a jejich převzetí kupujícím dojde až po úhradě kupní ceny dle čl.II.</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3" w:name="bookmark33"/>
      <w:bookmarkEnd w:id="3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7"/>
        <w:keepNext w:val="0"/>
        <w:keepLines w:val="0"/>
        <w:widowControl w:val="0"/>
        <w:numPr>
          <w:ilvl w:val="0"/>
          <w:numId w:val="9"/>
        </w:numPr>
        <w:shd w:val="clear" w:color="auto" w:fill="auto"/>
        <w:tabs>
          <w:tab w:pos="666" w:val="left"/>
        </w:tabs>
        <w:bidi w:val="0"/>
        <w:spacing w:before="0" w:after="200" w:line="240" w:lineRule="auto"/>
        <w:ind w:left="0" w:right="0" w:firstLine="300"/>
        <w:jc w:val="both"/>
      </w:pPr>
      <w:bookmarkStart w:id="34" w:name="bookmark34"/>
      <w:bookmarkEnd w:id="34"/>
      <w:r>
        <w:rPr>
          <w:color w:val="000000"/>
          <w:spacing w:val="0"/>
          <w:w w:val="100"/>
          <w:position w:val="0"/>
          <w:shd w:val="clear" w:color="auto" w:fill="auto"/>
          <w:lang w:val="cs-CZ" w:eastAsia="cs-CZ" w:bidi="cs-CZ"/>
        </w:rPr>
        <w:t>Smluvní strany nepovažují žádné ustanovení smlouvy za obchodní tajemství</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5" w:name="bookmark35"/>
      <w:bookmarkEnd w:id="35"/>
      <w:r>
        <w:rPr>
          <w:color w:val="000000"/>
          <w:spacing w:val="0"/>
          <w:w w:val="100"/>
          <w:position w:val="0"/>
          <w:shd w:val="clear" w:color="auto" w:fill="auto"/>
          <w:lang w:val="cs-CZ" w:eastAsia="cs-CZ" w:bidi="cs-CZ"/>
        </w:rPr>
        <w:t>Každá ze smluvních stran má právo od této smlouvy písemně odstoupit, jestliže druhá strana nesplní povinnost, kterou podle této smlouvy či zákona má, ani v přiměřené dodatečné lhůtě stanovené ve výzvě ke splnění.</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6" w:name="bookmark36"/>
      <w:bookmarkEnd w:id="36"/>
      <w:r>
        <w:rPr>
          <w:color w:val="000000"/>
          <w:spacing w:val="0"/>
          <w:w w:val="100"/>
          <w:position w:val="0"/>
          <w:shd w:val="clear" w:color="auto" w:fill="auto"/>
          <w:lang w:val="cs-CZ" w:eastAsia="cs-CZ" w:bidi="cs-CZ"/>
        </w:rPr>
        <w:t>Smluvní strany po přečtení této smlouvy prohlašují, že obsah této kupní smlouvy odpovídá jejich svobodné, vážné a omylu prosté vůli, což stvrzují připojením svých podpisů.</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7" w:name="bookmark37"/>
      <w:bookmarkEnd w:id="3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8" w:name="bookmark38"/>
      <w:bookmarkEnd w:id="38"/>
      <w:r>
        <w:rPr>
          <w:color w:val="000000"/>
          <w:spacing w:val="0"/>
          <w:w w:val="100"/>
          <w:position w:val="0"/>
          <w:shd w:val="clear" w:color="auto" w:fill="auto"/>
          <w:lang w:val="cs-CZ" w:eastAsia="cs-CZ" w:bidi="cs-CZ"/>
        </w:rPr>
        <w:t>Tato smlouva je vyhotovena v 2 stejnopisech s platností originálů, z nichž obě strany obdrží jedno vyhotovení.</w:t>
      </w:r>
    </w:p>
    <w:p>
      <w:pPr>
        <w:pStyle w:val="Style17"/>
        <w:keepNext w:val="0"/>
        <w:keepLines w:val="0"/>
        <w:widowControl w:val="0"/>
        <w:numPr>
          <w:ilvl w:val="0"/>
          <w:numId w:val="9"/>
        </w:numPr>
        <w:shd w:val="clear" w:color="auto" w:fill="auto"/>
        <w:tabs>
          <w:tab w:pos="666" w:val="left"/>
        </w:tabs>
        <w:bidi w:val="0"/>
        <w:spacing w:before="0" w:after="200" w:line="240" w:lineRule="auto"/>
        <w:ind w:left="580" w:right="0" w:hanging="280"/>
        <w:jc w:val="both"/>
      </w:pPr>
      <w:bookmarkStart w:id="39" w:name="bookmark39"/>
      <w:bookmarkEnd w:id="39"/>
      <w:r>
        <w:rPr>
          <w:color w:val="000000"/>
          <w:spacing w:val="0"/>
          <w:w w:val="100"/>
          <w:position w:val="0"/>
          <w:shd w:val="clear" w:color="auto" w:fill="auto"/>
          <w:lang w:val="cs-CZ" w:eastAsia="cs-CZ" w:bidi="cs-CZ"/>
        </w:rPr>
        <w:t>Tato smlouva byla uzavřena v souladu s ustanovením § 2079 a násl. občanského zákoníku. Pokud není ve smlouvě dohodnuto jinak, platí obecná ustanovení občanského zákoníku.</w:t>
      </w:r>
    </w:p>
    <w:p>
      <w:pPr>
        <w:pStyle w:val="Style17"/>
        <w:keepNext w:val="0"/>
        <w:keepLines w:val="0"/>
        <w:widowControl w:val="0"/>
        <w:shd w:val="clear" w:color="auto" w:fill="auto"/>
        <w:bidi w:val="0"/>
        <w:spacing w:before="0" w:after="0" w:line="240" w:lineRule="auto"/>
        <w:ind w:left="0" w:right="0" w:firstLine="740"/>
        <w:jc w:val="both"/>
        <w:sectPr>
          <w:footerReference w:type="default" r:id="rId5"/>
          <w:footerReference w:type="first" r:id="rId6"/>
          <w:footnotePr>
            <w:pos w:val="pageBottom"/>
            <w:numFmt w:val="decimal"/>
            <w:numRestart w:val="continuous"/>
          </w:footnotePr>
          <w:pgSz w:w="11909" w:h="16838"/>
          <w:pgMar w:top="1344" w:left="1394" w:right="1389" w:bottom="1370"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V…… dne … . … .2024</w:t>
      </w:r>
    </w:p>
    <w:p>
      <w:pPr>
        <w:widowControl w:val="0"/>
        <w:spacing w:line="240" w:lineRule="exact"/>
        <w:rPr>
          <w:sz w:val="19"/>
          <w:szCs w:val="19"/>
        </w:rPr>
      </w:pPr>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1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oprávněný zástupce prodávajícího</w:t>
      </w:r>
    </w:p>
    <w:p>
      <w:pPr>
        <w:pStyle w:val="Style17"/>
        <w:keepNext w:val="0"/>
        <w:keepLines w:val="0"/>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ředitelka závodu Terezín</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SDH Černá Říčka, s.r.o.</w:t>
      </w:r>
    </w:p>
    <w:p>
      <w:pPr>
        <w:pStyle w:val="Style1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2114" w:right="1615" w:bottom="1363" w:header="0" w:footer="3" w:gutter="0"/>
          <w:cols w:num="2" w:space="1580"/>
          <w:noEndnote/>
          <w:rtlGutter w:val="0"/>
          <w:docGrid w:linePitch="360"/>
        </w:sectPr>
      </w:pPr>
      <w:r>
        <w:rPr>
          <w:color w:val="000000"/>
          <w:spacing w:val="0"/>
          <w:w w:val="100"/>
          <w:position w:val="0"/>
          <w:shd w:val="clear" w:color="auto" w:fill="auto"/>
          <w:lang w:val="cs-CZ" w:eastAsia="cs-CZ" w:bidi="cs-CZ"/>
        </w:rPr>
        <w:t>jednatel</w:t>
      </w:r>
    </w:p>
    <w:sectPr>
      <w:footnotePr>
        <w:pos w:val="pageBottom"/>
        <w:numFmt w:val="decimal"/>
        <w:numRestart w:val="continuous"/>
      </w:footnotePr>
      <w:type w:val="continuous"/>
      <w:pgSz w:w="11909" w:h="16838"/>
      <w:pgMar w:top="1363" w:left="2114" w:right="1615" w:bottom="1363" w:header="0" w:footer="3" w:gutter="0"/>
      <w:cols w:num="2" w:space="158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6066790</wp:posOffset>
              </wp:positionH>
              <wp:positionV relativeFrom="page">
                <wp:posOffset>10189210</wp:posOffset>
              </wp:positionV>
              <wp:extent cx="597535" cy="143510"/>
              <wp:wrapNone/>
              <wp:docPr id="1" name="Shape 1"/>
              <a:graphic xmlns:a="http://schemas.openxmlformats.org/drawingml/2006/main">
                <a:graphicData uri="http://schemas.microsoft.com/office/word/2010/wordprocessingShape">
                  <wps:wsp>
                    <wps:cNvSpPr txBox="1"/>
                    <wps:spPr>
                      <a:xfrm>
                        <a:ext cx="597535" cy="1435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7.69999999999999pt;margin-top:802.30000000000007pt;width:47.050000000000004pt;height:11.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6066790</wp:posOffset>
              </wp:positionH>
              <wp:positionV relativeFrom="page">
                <wp:posOffset>10012680</wp:posOffset>
              </wp:positionV>
              <wp:extent cx="597535" cy="146050"/>
              <wp:wrapNone/>
              <wp:docPr id="3" name="Shape 3"/>
              <a:graphic xmlns:a="http://schemas.openxmlformats.org/drawingml/2006/main">
                <a:graphicData uri="http://schemas.microsoft.com/office/word/2010/wordprocessingShape">
                  <wps:wsp>
                    <wps:cNvSpPr txBox="1"/>
                    <wps:spPr>
                      <a:xfrm>
                        <a:ext cx="597535" cy="1460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3</w:t>
                          </w:r>
                        </w:p>
                      </w:txbxContent>
                    </wps:txbx>
                    <wps:bodyPr wrap="none" lIns="0" tIns="0" rIns="0" bIns="0">
                      <a:spAutoFit/>
                    </wps:bodyPr>
                  </wps:wsp>
                </a:graphicData>
              </a:graphic>
            </wp:anchor>
          </w:drawing>
        </mc:Choice>
        <mc:Fallback>
          <w:pict>
            <v:shape id="_x0000_s1029" type="#_x0000_t202" style="position:absolute;margin-left:477.69999999999999pt;margin-top:788.39999999999998pt;width:47.050000000000004pt;height:11.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40"/>
      <w:szCs w:val="4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line="211" w:lineRule="auto"/>
      <w:jc w:val="center"/>
      <w:outlineLvl w:val="0"/>
    </w:pPr>
    <w:rPr>
      <w:rFonts w:ascii="Arial" w:eastAsia="Arial" w:hAnsi="Arial" w:cs="Arial"/>
      <w:b/>
      <w:bCs/>
      <w:i w:val="0"/>
      <w:iCs w:val="0"/>
      <w:smallCaps w:val="0"/>
      <w:strike w:val="0"/>
      <w:sz w:val="40"/>
      <w:szCs w:val="4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line="211" w:lineRule="auto"/>
      <w:jc w:val="center"/>
      <w:outlineLvl w:val="1"/>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line="360" w:lineRule="auto"/>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4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4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180"/>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Starek Petr</dc:creator>
  <cp:keywords/>
</cp:coreProperties>
</file>