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  <w:bookmarkEnd w:id="0"/>
      <w:bookmarkEnd w:id="1"/>
      <w:bookmarkEnd w:id="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31/2023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291" w:left="1394" w:right="1389" w:bottom="1632" w:header="0" w:footer="3" w:gutter="0"/>
          <w:pgNumType w:start="1"/>
          <w:cols w:space="720"/>
          <w:noEndnote/>
          <w:rtlGutter w:val="0"/>
          <w:docGrid w:linePitch="360"/>
        </w:sectPr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č. smlouvy zhotovitele</w:t>
      </w:r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: ZPSD-SRO-2022-0121-D01-2023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„Revitalizace Kamenice v Rabštejnu“</w:t>
        <w:br/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(DSP, DPS)</w:t>
      </w:r>
      <w:bookmarkEnd w:id="3"/>
      <w:bookmarkEnd w:id="4"/>
      <w:bookmarkEnd w:id="5"/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91" w:left="0" w:right="0" w:bottom="163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  <w:bookmarkEnd w:id="6"/>
      <w:bookmarkEnd w:id="7"/>
      <w:bookmarkEnd w:id="8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 jednání o věcech smluvních: zástupce ve věcech technických: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91" w:left="1394" w:right="2762" w:bottom="1632" w:header="0" w:footer="3" w:gutter="0"/>
          <w:cols w:num="2" w:space="74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widowControl w:val="0"/>
        <w:spacing w:line="144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2" w:left="0" w:right="0" w:bottom="15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ŠINDLAR s. r. o.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Na Brně 372/2a, 500 06 Hradec Králové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26003236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1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CZ26003236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zapsán v obchodním rejstříku Krajského soudu v Hradci Králové v oddílu C, vložce č. 19512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6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uzavírán z důvodu reakce na legislativní změny – nový stavební zákon a související vyhlášky.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II.DÍLO A ZPŮSOB PROVEDENÍ DÍLA a Čl. III TERMÍNY PLNĚNÍ.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DÍLO A ZPŮSOB PROVEDENÍ DÍLA</w:t>
      </w:r>
      <w:bookmarkEnd w:id="10"/>
      <w:bookmarkEnd w:id="11"/>
      <w:bookmarkEnd w:id="9"/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  <w:bookmarkEnd w:id="12"/>
      <w:bookmarkEnd w:id="13"/>
      <w:bookmarkEnd w:id="14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Dílo bude označeno otiskem autorizačního razítka a vlastnoručním podpisem autorizované osoby v příslušném oboru či specializaci.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  <w:bookmarkEnd w:id="15"/>
      <w:bookmarkEnd w:id="16"/>
      <w:bookmarkEnd w:id="17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Kompletní projektová dokumentace bude předána celkem v počtu 3x paré tištěné + elektronicky, a to 1x ve formátu (_.pdf), a 1x v editovatelných formátech pro potřeby objednatele (_.doc, _.docx, _.xls, _.xlsx, _.dwg a dalších), výkresy budou v souřadnicovém systému S-JTSK.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Tištěná paré budou označena otiskem autorizačního razítka a vlastnoručním podpisem autorizované osoby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elektronická verze dokumentace určená pro podání přes informační systém stavební správy bude opatřena kvalifikovaným časovým razítkem a elektronickým autorizačním podpisem v příslušném oboru či specializaci.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TERMÍNY PLNĚNÍ</w:t>
      </w:r>
      <w:bookmarkEnd w:id="18"/>
      <w:bookmarkEnd w:id="19"/>
      <w:bookmarkEnd w:id="2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</w:t>
      </w:r>
      <w:r>
        <w:br w:type="page"/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smlouvy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kompletní PD DSP (2x tištěné + 1x elektronicky)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6395" w:val="left"/>
        </w:tabs>
        <w:bidi w:val="0"/>
        <w:spacing w:before="0" w:after="2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 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21.10.2023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a převzetí kompletní PD DSP (4x tištěné+2x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54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elektronicky):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jen DK)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třetí dílčí termín – předání kompletní PD DPS (2 x tištěné + 1 x elektronicky) po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58" w:val="left"/>
        </w:tabs>
        <w:bidi w:val="0"/>
        <w:spacing w:before="0" w:after="2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120 dnů od výzvy objednatele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finální plnění – předání a převzetí kompletní PD DPS (4 x tištěné + 2 x elektronicky):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2860" w:right="0" w:firstLine="0"/>
        <w:jc w:val="left"/>
      </w:pPr>
      <w:bookmarkStart w:id="26" w:name="bookmark26"/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  <w:bookmarkEnd w:id="26"/>
      <w:bookmarkEnd w:id="27"/>
      <w:bookmarkEnd w:id="28"/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06" w:val="left"/>
        </w:tabs>
        <w:bidi w:val="0"/>
        <w:spacing w:before="0" w:after="680" w:line="240" w:lineRule="auto"/>
        <w:ind w:left="720" w:right="0" w:hanging="720"/>
        <w:jc w:val="left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výstupní zprávy z kompletního inženýrsko-geologického průzkumu včetně okomentovaných laboratorních rozborů: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180 dnů od uzavření dodatku č. 1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bookmarkStart w:id="30" w:name="bookmark30"/>
      <w:bookmarkStart w:id="31" w:name="bookmark31"/>
      <w:bookmarkStart w:id="32" w:name="bookmark3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  <w:bookmarkEnd w:id="30"/>
      <w:bookmarkEnd w:id="31"/>
      <w:bookmarkEnd w:id="32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Termín provedení díla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a) zahájení prací na předmětu plnění: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7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884555</wp:posOffset>
                </wp:positionH>
                <wp:positionV relativeFrom="paragraph">
                  <wp:posOffset>469900</wp:posOffset>
                </wp:positionV>
                <wp:extent cx="161290" cy="22860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650000000000006pt;margin-top:37.pt;width:12.700000000000001pt;height:18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odkladu, nejpozději však do 10 týdnů po nabytí účinnosti smlouvy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5959" w:val="left"/>
        </w:tabs>
        <w:bidi w:val="0"/>
        <w:spacing w:before="0" w:after="200" w:line="240" w:lineRule="auto"/>
        <w:ind w:left="300" w:right="0" w:firstLine="1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první dílčí termín – předání kompletní PD DSP (2x tištěné + 1x elektronicky) po 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21.10.2023</w:t>
      </w:r>
    </w:p>
    <w:p>
      <w:pPr>
        <w:pStyle w:val="Style11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druhý dílčí termín – předání a převzetí kompletní PD DSP (4x tištěné+2x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3547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elektronicky):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jen DK)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třetí dílčí termín – předání kompletní PD DPS (2 x tištěné + 1 x elektronicky) po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6395" w:val="left"/>
        </w:tabs>
        <w:bidi w:val="0"/>
        <w:spacing w:before="0" w:after="20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projednání na ZVV: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28.02.2025</w:t>
      </w:r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</w:tabs>
        <w:bidi w:val="0"/>
        <w:spacing w:before="0" w:after="0" w:line="240" w:lineRule="auto"/>
        <w:ind w:left="0" w:right="0" w:firstLine="0"/>
        <w:jc w:val="left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finální plnění – předání a převzetí kompletní PD DPS (2 x tištěné + 2 x elektronicky):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2860" w:right="0" w:firstLine="0"/>
        <w:jc w:val="left"/>
      </w:pPr>
      <w:bookmarkStart w:id="36" w:name="bookmark36"/>
      <w:bookmarkStart w:id="37" w:name="bookmark37"/>
      <w:bookmarkStart w:id="38" w:name="bookmark3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  <w:bookmarkEnd w:id="36"/>
      <w:bookmarkEnd w:id="37"/>
      <w:bookmarkEnd w:id="38"/>
    </w:p>
    <w:p>
      <w:pPr>
        <w:pStyle w:val="Style11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06" w:val="left"/>
          <w:tab w:pos="6395" w:val="left"/>
        </w:tabs>
        <w:bidi w:val="0"/>
        <w:spacing w:before="0" w:after="1320" w:line="240" w:lineRule="auto"/>
        <w:ind w:left="720" w:right="0" w:hanging="720"/>
        <w:jc w:val="left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výstupní zprávy z kompletního inženýrsko-geologického průzkumu včetně okomentovaných laboratorních rozborů: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předáno 15.03.2024</w:t>
      </w:r>
    </w:p>
    <w:p>
      <w:pPr>
        <w:pStyle w:val="Style2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0" w:name="bookmark40"/>
      <w:bookmarkStart w:id="41" w:name="bookmark41"/>
      <w:bookmarkStart w:id="42" w:name="bookmark4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  <w:bookmarkEnd w:id="40"/>
      <w:bookmarkEnd w:id="41"/>
      <w:bookmarkEnd w:id="42"/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0" w:right="0" w:firstLine="0"/>
        <w:jc w:val="left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300" w:right="0" w:hanging="300"/>
        <w:jc w:val="left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200" w:line="240" w:lineRule="auto"/>
        <w:ind w:left="0" w:right="0" w:firstLine="0"/>
        <w:jc w:val="left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11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427" w:val="left"/>
        </w:tabs>
        <w:bidi w:val="0"/>
        <w:spacing w:before="0" w:after="0" w:line="240" w:lineRule="auto"/>
        <w:ind w:left="440" w:right="0" w:hanging="44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52" w:left="1393" w:right="1389" w:bottom="1550" w:header="0" w:footer="3" w:gutter="0"/>
          <w:cols w:space="720"/>
          <w:noEndnote/>
          <w:rtlGutter w:val="0"/>
          <w:docGrid w:linePitch="360"/>
        </w:sectPr>
      </w:pPr>
      <w:bookmarkStart w:id="46" w:name="bookmark46"/>
      <w:bookmarkEnd w:id="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4" w:after="9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0" w:right="0" w:bottom="11405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1394" w:right="2421" w:bottom="11405" w:header="0" w:footer="3" w:gutter="0"/>
          <w:cols w:num="2" w:space="171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Chomutově dne: 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Hradci Králové dne: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2" w:after="10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0" w:right="0" w:bottom="1421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ekonomický ředitel 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 jednatel společnosti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27" w:left="1394" w:right="2364" w:bottom="1421" w:header="0" w:footer="3" w:gutter="0"/>
          <w:cols w:num="2" w:space="175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ŠINDLAR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27" w:left="1394" w:right="2364" w:bottom="1421" w:header="0" w:footer="3" w:gutter="0"/>
      <w:cols w:num="2" w:space="1757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9805670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2.10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5045710</wp:posOffset>
              </wp:positionH>
              <wp:positionV relativeFrom="page">
                <wp:posOffset>430530</wp:posOffset>
              </wp:positionV>
              <wp:extent cx="161544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1544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31/2023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7.30000000000001pt;margin-top:33.899999999999999pt;width:127.2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31/2023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00"/>
      <w:numFmt w:val="lowerRoman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4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240" w:line="233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line="360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spacing w:after="20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