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1079/2024</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800" w:line="233"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885190</wp:posOffset>
                </wp:positionH>
                <wp:positionV relativeFrom="paragraph">
                  <wp:posOffset>393700</wp:posOffset>
                </wp:positionV>
                <wp:extent cx="1085215" cy="1042670"/>
                <wp:wrapSquare wrapText="bothSides"/>
                <wp:docPr id="1" name="Shape 1"/>
                <a:graphic xmlns:a="http://schemas.openxmlformats.org/drawingml/2006/main">
                  <a:graphicData uri="http://schemas.microsoft.com/office/word/2010/wordprocessingShape">
                    <wps:wsp>
                      <wps:cNvSpPr txBox="1"/>
                      <wps:spPr>
                        <a:xfrm>
                          <a:ext cx="1085215" cy="1042670"/>
                        </a:xfrm>
                        <a:prstGeom prst="rect"/>
                        <a:noFill/>
                      </wps:spPr>
                      <wps:txbx>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31.pt;width:85.450000000000003pt;height:82.10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Třebčický potok - čištění toku, odstranění sedimentu</w:t>
      </w:r>
    </w:p>
    <w:p>
      <w:pPr>
        <w:pStyle w:val="Style2"/>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885190</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700000000000003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LESORS s.r.o.</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Dubská 311/9, 417 01 Dubí u Teplic</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28692403</w:t>
      </w:r>
    </w:p>
    <w:p>
      <w:pPr>
        <w:pStyle w:val="Style2"/>
        <w:keepNext w:val="0"/>
        <w:keepLines w:val="0"/>
        <w:widowControl w:val="0"/>
        <w:shd w:val="clear" w:color="auto" w:fill="auto"/>
        <w:bidi w:val="0"/>
        <w:spacing w:before="0" w:after="320" w:line="240" w:lineRule="auto"/>
        <w:ind w:left="2340" w:right="0" w:firstLine="0"/>
        <w:jc w:val="both"/>
      </w:pPr>
      <w:r>
        <w:rPr>
          <w:color w:val="000000"/>
          <w:spacing w:val="0"/>
          <w:w w:val="100"/>
          <w:position w:val="0"/>
          <w:shd w:val="clear" w:color="auto" w:fill="auto"/>
          <w:lang w:val="cs-CZ" w:eastAsia="cs-CZ" w:bidi="cs-CZ"/>
        </w:rPr>
        <w:t>CZ28692403</w:t>
      </w:r>
    </w:p>
    <w:p>
      <w:pPr>
        <w:pStyle w:val="Style2"/>
        <w:keepNext w:val="0"/>
        <w:keepLines w:val="0"/>
        <w:widowControl w:val="0"/>
        <w:shd w:val="clear" w:color="auto" w:fill="auto"/>
        <w:bidi w:val="0"/>
        <w:spacing w:before="0" w:after="590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Třebčický potok - čištění toku, odstranění sedimentu</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3"/>
      <w:bookmarkEnd w:id="4"/>
      <w:bookmarkEnd w:id="6"/>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Předmětem veřejné zakázky je odstranění sedimentů z opevněného koryta vodního toku Třebčický potok v intravilánu obce Nové Třebčice (ř. km 4,350-4,7000) a intravilánu obce Vitčice (ř. km 5,250-5,730).</w:t>
      </w:r>
      <w:bookmarkEnd w:id="10"/>
      <w:bookmarkEnd w:id="7"/>
      <w:bookmarkEnd w:id="8"/>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Místo plnění je rozděleno na dva úseky:</w:t>
      </w:r>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Úsek č. 1 – Nové Třebčice:</w:t>
      </w:r>
    </w:p>
    <w:p>
      <w:pPr>
        <w:pStyle w:val="Style2"/>
        <w:keepNext w:val="0"/>
        <w:keepLines w:val="0"/>
        <w:widowControl w:val="0"/>
        <w:shd w:val="clear" w:color="auto" w:fill="auto"/>
        <w:bidi w:val="0"/>
        <w:spacing w:before="0" w:after="200" w:line="240" w:lineRule="auto"/>
        <w:ind w:left="360" w:right="0" w:firstLine="20"/>
        <w:jc w:val="left"/>
      </w:pPr>
      <w:r>
        <w:rPr>
          <w:color w:val="000000"/>
          <w:spacing w:val="0"/>
          <w:w w:val="100"/>
          <w:position w:val="0"/>
          <w:shd w:val="clear" w:color="auto" w:fill="auto"/>
          <w:lang w:val="cs-CZ" w:eastAsia="cs-CZ" w:bidi="cs-CZ"/>
        </w:rPr>
        <w:t>Jde opevněné lichoběžníkové koryto (dno a břehy jsou opevněny betonovými deskami) v intravilánu obce Nové Třebčice (k. ú. Veliká Ves; ř. km 4,350 - 4,700) v úseku o délce 350 m. Mocnost vrstvy sedimentu je převážně v rozmezí 30 - 50 cm, místy i více. Předpokládaný objem sedimentu je 210 m3.</w:t>
      </w:r>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Úsek č. 2 – Vitčice:</w:t>
      </w:r>
    </w:p>
    <w:p>
      <w:pPr>
        <w:pStyle w:val="Style2"/>
        <w:keepNext w:val="0"/>
        <w:keepLines w:val="0"/>
        <w:widowControl w:val="0"/>
        <w:shd w:val="clear" w:color="auto" w:fill="auto"/>
        <w:bidi w:val="0"/>
        <w:spacing w:before="0" w:after="200" w:line="240" w:lineRule="auto"/>
        <w:ind w:left="360" w:right="0" w:firstLine="20"/>
        <w:jc w:val="both"/>
      </w:pPr>
      <w:r>
        <w:rPr>
          <w:color w:val="000000"/>
          <w:spacing w:val="0"/>
          <w:w w:val="100"/>
          <w:position w:val="0"/>
          <w:shd w:val="clear" w:color="auto" w:fill="auto"/>
          <w:lang w:val="cs-CZ" w:eastAsia="cs-CZ" w:bidi="cs-CZ"/>
        </w:rPr>
        <w:t>Jde opevněné lichoběžníkové koryto (dno a břehy jsou opevněny betonovými deskami) v intravilánu obce Vitčice (k. ú. Veliká Ves; ř. km 5,250-5,730) v úseku o délce 480 m. Mocnost vrstvy sedimentu je převážně v rozmezí 40 - 50 cm, místy i více. Předpokládaný objem sedimentu je 290 m3.</w:t>
      </w:r>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76" w:lineRule="auto"/>
        <w:ind w:left="88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Odstranění veškerých sedimentů z průtočného profilu vodního toku (celkový předpokládaný objem 500 m3)</w:t>
      </w:r>
    </w:p>
    <w:p>
      <w:pPr>
        <w:pStyle w:val="Style2"/>
        <w:keepNext w:val="0"/>
        <w:keepLines w:val="0"/>
        <w:widowControl w:val="0"/>
        <w:shd w:val="clear" w:color="auto" w:fill="auto"/>
        <w:bidi w:val="0"/>
        <w:spacing w:before="0" w:after="0" w:line="276" w:lineRule="auto"/>
        <w:ind w:left="88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Naložení, odvoz a likvidace vytěžených sedimentů v souladu s příslušnými právními předpisy ČR</w:t>
      </w:r>
    </w:p>
    <w:p>
      <w:pPr>
        <w:pStyle w:val="Style2"/>
        <w:keepNext w:val="0"/>
        <w:keepLines w:val="0"/>
        <w:widowControl w:val="0"/>
        <w:shd w:val="clear" w:color="auto" w:fill="auto"/>
        <w:bidi w:val="0"/>
        <w:spacing w:before="0" w:after="140" w:line="266" w:lineRule="auto"/>
        <w:ind w:left="0" w:right="0" w:firstLine="52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Ostatní práce a náklady spojené s prováděním zakázky</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Místo provádění díla (Situace viz příloha č. 2): Koryto vodního toku Třebčický potok, úsek č. 1 v obci Nové Třebčice v ř. km 4,350-4,700 a úsek č. 2 v obci Vitčice v ř. km 5,250</w:t>
        <w:softHyphen/>
        <w:t>5,730. Jedná se o tyto pozemky: p. p. č. ………………………. v k. ú. Veliká Ves.</w:t>
      </w:r>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 xml:space="preserve">Zhotovitel se zavazuje provést výše uvedené dílo v rozsahu oceněného soupisu prací – </w:t>
      </w:r>
      <w:r>
        <w:rPr>
          <w:b/>
          <w:bCs/>
          <w:color w:val="000000"/>
          <w:spacing w:val="0"/>
          <w:w w:val="100"/>
          <w:position w:val="0"/>
          <w:shd w:val="clear" w:color="auto" w:fill="auto"/>
          <w:lang w:val="cs-CZ" w:eastAsia="cs-CZ" w:bidi="cs-CZ"/>
        </w:rPr>
        <w:t xml:space="preserve">viz příloha č. 1 </w:t>
      </w:r>
      <w:r>
        <w:rPr>
          <w:color w:val="000000"/>
          <w:spacing w:val="0"/>
          <w:w w:val="100"/>
          <w:position w:val="0"/>
          <w:shd w:val="clear" w:color="auto" w:fill="auto"/>
          <w:lang w:val="cs-CZ" w:eastAsia="cs-CZ" w:bidi="cs-CZ"/>
        </w:rPr>
        <w:t>této smlouvy.</w:t>
      </w:r>
      <w:bookmarkEnd w:id="11"/>
      <w:bookmarkEnd w:id="12"/>
      <w:bookmarkEnd w:id="14"/>
    </w:p>
    <w:p>
      <w:pPr>
        <w:pStyle w:val="Style12"/>
        <w:keepNext/>
        <w:keepLines/>
        <w:widowControl w:val="0"/>
        <w:numPr>
          <w:ilvl w:val="0"/>
          <w:numId w:val="1"/>
        </w:numPr>
        <w:shd w:val="clear" w:color="auto" w:fill="auto"/>
        <w:tabs>
          <w:tab w:pos="382" w:val="left"/>
        </w:tabs>
        <w:bidi w:val="0"/>
        <w:spacing w:before="0" w:line="240" w:lineRule="auto"/>
        <w:ind w:left="0" w:right="0" w:firstLine="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Za předmět díla se dále považuje:</w:t>
      </w:r>
      <w:bookmarkEnd w:id="15"/>
      <w:bookmarkEnd w:id="16"/>
      <w:bookmarkEnd w:id="18"/>
    </w:p>
    <w:p>
      <w:pPr>
        <w:pStyle w:val="Style12"/>
        <w:keepNext/>
        <w:keepLines/>
        <w:widowControl w:val="0"/>
        <w:numPr>
          <w:ilvl w:val="0"/>
          <w:numId w:val="3"/>
        </w:numPr>
        <w:shd w:val="clear" w:color="auto" w:fill="auto"/>
        <w:tabs>
          <w:tab w:pos="777" w:val="left"/>
        </w:tabs>
        <w:bidi w:val="0"/>
        <w:spacing w:before="0" w:after="0" w:line="240" w:lineRule="auto"/>
        <w:ind w:left="720" w:right="0"/>
        <w:jc w:val="both"/>
      </w:pPr>
      <w:bookmarkStart w:id="19" w:name="bookmark19"/>
      <w:bookmarkStart w:id="20" w:name="bookmark20"/>
      <w:bookmarkStart w:id="21" w:name="bookmark21"/>
      <w:bookmarkStart w:id="22" w:name="bookmark22"/>
      <w:bookmarkEnd w:id="21"/>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19"/>
      <w:bookmarkEnd w:id="20"/>
      <w:bookmarkEnd w:id="22"/>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23" w:name="bookmark23"/>
      <w:bookmarkStart w:id="24" w:name="bookmark24"/>
      <w:bookmarkStart w:id="25" w:name="bookmark25"/>
      <w:bookmarkStart w:id="26" w:name="bookmark26"/>
      <w:bookmarkEnd w:id="25"/>
      <w:r>
        <w:rPr>
          <w:color w:val="000000"/>
          <w:spacing w:val="0"/>
          <w:w w:val="100"/>
          <w:position w:val="0"/>
          <w:shd w:val="clear" w:color="auto" w:fill="auto"/>
          <w:lang w:val="cs-CZ" w:eastAsia="cs-CZ" w:bidi="cs-CZ"/>
        </w:rPr>
        <w:t>zajištění povolení ke vstupu a vjezdu na pozemky (mimo pozemků ve vlastnictví objednatele),</w:t>
      </w:r>
      <w:bookmarkEnd w:id="23"/>
      <w:bookmarkEnd w:id="24"/>
      <w:bookmarkEnd w:id="26"/>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27" w:name="bookmark27"/>
      <w:bookmarkStart w:id="28" w:name="bookmark28"/>
      <w:bookmarkStart w:id="29" w:name="bookmark29"/>
      <w:bookmarkStart w:id="30" w:name="bookmark30"/>
      <w:bookmarkEnd w:id="29"/>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27"/>
      <w:bookmarkEnd w:id="28"/>
      <w:bookmarkEnd w:id="30"/>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both"/>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zajištění povolení zvláštního užívání pozemní komunikace, bude-li potřeba,</w:t>
      </w:r>
      <w:bookmarkEnd w:id="31"/>
      <w:bookmarkEnd w:id="32"/>
      <w:bookmarkEnd w:id="34"/>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35"/>
      <w:bookmarkEnd w:id="36"/>
      <w:bookmarkEnd w:id="38"/>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both"/>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zhotovitel zodpovídá za místo realizace díla i v době přerušení prací,</w:t>
      </w:r>
      <w:bookmarkEnd w:id="39"/>
      <w:bookmarkEnd w:id="40"/>
      <w:bookmarkEnd w:id="42"/>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43"/>
      <w:bookmarkEnd w:id="44"/>
      <w:bookmarkEnd w:id="46"/>
    </w:p>
    <w:p>
      <w:pPr>
        <w:pStyle w:val="Style2"/>
        <w:keepNext w:val="0"/>
        <w:keepLines w:val="0"/>
        <w:widowControl w:val="0"/>
        <w:numPr>
          <w:ilvl w:val="0"/>
          <w:numId w:val="3"/>
        </w:numPr>
        <w:shd w:val="clear" w:color="auto" w:fill="auto"/>
        <w:tabs>
          <w:tab w:pos="786" w:val="left"/>
        </w:tabs>
        <w:bidi w:val="0"/>
        <w:spacing w:before="0" w:after="0" w:line="240" w:lineRule="auto"/>
        <w:ind w:left="720" w:right="0" w:hanging="340"/>
        <w:jc w:val="both"/>
      </w:pPr>
      <w:bookmarkStart w:id="47" w:name="bookmark47"/>
      <w:bookmarkStart w:id="48" w:name="bookmark48"/>
      <w:bookmarkEnd w:id="47"/>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w:t>
      </w:r>
      <w:bookmarkEnd w:id="48"/>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bližších minimálních požadavcích na bezpečnost a ochranu zdraví při práci na pracovištích, ve znění pozdějších předpisů),</w:t>
      </w:r>
    </w:p>
    <w:p>
      <w:pPr>
        <w:pStyle w:val="Style12"/>
        <w:keepNext/>
        <w:keepLines/>
        <w:widowControl w:val="0"/>
        <w:numPr>
          <w:ilvl w:val="0"/>
          <w:numId w:val="3"/>
        </w:numPr>
        <w:shd w:val="clear" w:color="auto" w:fill="auto"/>
        <w:tabs>
          <w:tab w:pos="694" w:val="left"/>
        </w:tabs>
        <w:bidi w:val="0"/>
        <w:spacing w:before="0" w:line="240" w:lineRule="auto"/>
        <w:ind w:left="720" w:right="0" w:hanging="360"/>
        <w:jc w:val="both"/>
      </w:pPr>
      <w:bookmarkStart w:id="49" w:name="bookmark49"/>
      <w:bookmarkStart w:id="50" w:name="bookmark50"/>
      <w:bookmarkStart w:id="51" w:name="bookmark51"/>
      <w:bookmarkStart w:id="52" w:name="bookmark52"/>
      <w:bookmarkEnd w:id="51"/>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49"/>
      <w:bookmarkEnd w:id="50"/>
      <w:bookmarkEnd w:id="52"/>
    </w:p>
    <w:p>
      <w:pPr>
        <w:pStyle w:val="Style12"/>
        <w:keepNext/>
        <w:keepLines/>
        <w:widowControl w:val="0"/>
        <w:numPr>
          <w:ilvl w:val="0"/>
          <w:numId w:val="1"/>
        </w:numPr>
        <w:shd w:val="clear" w:color="auto" w:fill="auto"/>
        <w:tabs>
          <w:tab w:pos="382" w:val="left"/>
        </w:tabs>
        <w:bidi w:val="0"/>
        <w:spacing w:before="0" w:line="240" w:lineRule="auto"/>
        <w:ind w:left="300" w:right="0" w:hanging="300"/>
        <w:jc w:val="both"/>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53"/>
      <w:bookmarkEnd w:id="54"/>
      <w:bookmarkEnd w:id="56"/>
    </w:p>
    <w:p>
      <w:pPr>
        <w:pStyle w:val="Style12"/>
        <w:keepNext/>
        <w:keepLines/>
        <w:widowControl w:val="0"/>
        <w:numPr>
          <w:ilvl w:val="0"/>
          <w:numId w:val="1"/>
        </w:numPr>
        <w:shd w:val="clear" w:color="auto" w:fill="auto"/>
        <w:tabs>
          <w:tab w:pos="382" w:val="left"/>
        </w:tabs>
        <w:bidi w:val="0"/>
        <w:spacing w:before="0" w:line="240" w:lineRule="auto"/>
        <w:ind w:left="300" w:right="0" w:hanging="30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57"/>
      <w:bookmarkEnd w:id="58"/>
      <w:bookmarkEnd w:id="60"/>
    </w:p>
    <w:p>
      <w:pPr>
        <w:pStyle w:val="Style12"/>
        <w:keepNext/>
        <w:keepLines/>
        <w:widowControl w:val="0"/>
        <w:numPr>
          <w:ilvl w:val="0"/>
          <w:numId w:val="1"/>
        </w:numPr>
        <w:shd w:val="clear" w:color="auto" w:fill="auto"/>
        <w:tabs>
          <w:tab w:pos="382" w:val="left"/>
        </w:tabs>
        <w:bidi w:val="0"/>
        <w:spacing w:before="0" w:after="440" w:line="240" w:lineRule="auto"/>
        <w:ind w:left="300" w:right="0" w:hanging="30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61"/>
      <w:bookmarkEnd w:id="62"/>
      <w:bookmarkEnd w:id="64"/>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2"/>
        <w:keepNext/>
        <w:keepLines/>
        <w:widowControl w:val="0"/>
        <w:numPr>
          <w:ilvl w:val="0"/>
          <w:numId w:val="5"/>
        </w:numPr>
        <w:shd w:val="clear" w:color="auto" w:fill="auto"/>
        <w:tabs>
          <w:tab w:pos="382" w:val="left"/>
        </w:tabs>
        <w:bidi w:val="0"/>
        <w:spacing w:before="0" w:line="240" w:lineRule="auto"/>
        <w:ind w:left="0" w:right="0" w:firstLine="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Smluvní strany se dohodly na následujících lhůtách a podmínkách pro realizaci díla.</w:t>
      </w:r>
      <w:bookmarkEnd w:id="65"/>
      <w:bookmarkEnd w:id="66"/>
      <w:bookmarkEnd w:id="68"/>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697" w:val="left"/>
        </w:tabs>
        <w:bidi w:val="0"/>
        <w:spacing w:before="0" w:line="240" w:lineRule="auto"/>
        <w:ind w:left="0" w:right="0" w:firstLine="300"/>
        <w:jc w:val="both"/>
      </w:pPr>
      <w:bookmarkStart w:id="69" w:name="bookmark69"/>
      <w:bookmarkEnd w:id="69"/>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Zhotovitel je povinen si převzít pracoviště nejpozději do 14 dnů od písemné výzvy TDI. Výzva bude odeslána na e-mail zhotovitele: …………………….</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0" w:name="bookmark70"/>
      <w:bookmarkEnd w:id="70"/>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580"/>
        <w:jc w:val="both"/>
      </w:pPr>
      <w:r>
        <w:rPr>
          <w:b/>
          <w:bCs/>
          <w:color w:val="000000"/>
          <w:spacing w:val="0"/>
          <w:w w:val="100"/>
          <w:position w:val="0"/>
          <w:shd w:val="clear" w:color="auto" w:fill="auto"/>
          <w:lang w:val="cs-CZ" w:eastAsia="cs-CZ" w:bidi="cs-CZ"/>
        </w:rPr>
        <w:t>Bez zbytečného odkladu po převzetí pracoviště</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1" w:name="bookmark71"/>
      <w:bookmarkEnd w:id="71"/>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580"/>
        <w:jc w:val="both"/>
      </w:pPr>
      <w:r>
        <w:rPr>
          <w:b/>
          <w:bCs/>
          <w:color w:val="000000"/>
          <w:spacing w:val="0"/>
          <w:w w:val="100"/>
          <w:position w:val="0"/>
          <w:shd w:val="clear" w:color="auto" w:fill="auto"/>
          <w:lang w:val="cs-CZ" w:eastAsia="cs-CZ" w:bidi="cs-CZ"/>
        </w:rPr>
        <w:t>Nejpozději do 31.12.2024</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72"/>
      <w:bookmarkEnd w:id="73"/>
      <w:bookmarkEnd w:id="75"/>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76"/>
      <w:bookmarkEnd w:id="77"/>
      <w:bookmarkEnd w:id="79"/>
    </w:p>
    <w:p>
      <w:pPr>
        <w:pStyle w:val="Style12"/>
        <w:keepNext/>
        <w:keepLines/>
        <w:widowControl w:val="0"/>
        <w:numPr>
          <w:ilvl w:val="0"/>
          <w:numId w:val="5"/>
        </w:numPr>
        <w:shd w:val="clear" w:color="auto" w:fill="auto"/>
        <w:tabs>
          <w:tab w:pos="382" w:val="left"/>
        </w:tabs>
        <w:bidi w:val="0"/>
        <w:spacing w:before="0" w:after="320" w:line="240" w:lineRule="auto"/>
        <w:ind w:left="300" w:right="0" w:hanging="30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80"/>
      <w:bookmarkEnd w:id="81"/>
      <w:bookmarkEnd w:id="83"/>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84" w:name="bookmark84"/>
      <w:bookmarkEnd w:id="84"/>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85" w:name="bookmark85"/>
      <w:bookmarkEnd w:id="85"/>
      <w:r>
        <w:rPr>
          <w:color w:val="000000"/>
          <w:spacing w:val="0"/>
          <w:w w:val="100"/>
          <w:position w:val="0"/>
          <w:shd w:val="clear" w:color="auto" w:fill="auto"/>
          <w:lang w:val="cs-CZ" w:eastAsia="cs-CZ" w:bidi="cs-CZ"/>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w:t>
      </w:r>
      <w:r>
        <w:rPr>
          <w:color w:val="000000"/>
          <w:spacing w:val="0"/>
          <w:w w:val="100"/>
          <w:position w:val="0"/>
          <w:shd w:val="clear" w:color="auto" w:fill="auto"/>
          <w:lang w:val="cs-CZ" w:eastAsia="cs-CZ" w:bidi="cs-CZ"/>
        </w:rPr>
        <w:t>kontrolním dnu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86" w:name="bookmark86"/>
      <w:bookmarkEnd w:id="86"/>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3327" w:val="left"/>
        </w:tabs>
        <w:bidi w:val="0"/>
        <w:spacing w:before="0" w:line="240" w:lineRule="auto"/>
        <w:ind w:left="0" w:right="0" w:firstLine="380"/>
        <w:jc w:val="both"/>
      </w:pPr>
      <w:r>
        <w:rPr>
          <w:b/>
          <w:bCs/>
          <w:color w:val="000000"/>
          <w:spacing w:val="0"/>
          <w:w w:val="100"/>
          <w:position w:val="0"/>
          <w:shd w:val="clear" w:color="auto" w:fill="auto"/>
          <w:lang w:val="cs-CZ" w:eastAsia="cs-CZ" w:bidi="cs-CZ"/>
        </w:rPr>
        <w:t>Cena díla:</w:t>
        <w:tab/>
        <w:t>293.000,00 Kč bez DPH</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9"/>
        </w:numPr>
        <w:shd w:val="clear" w:color="auto" w:fill="auto"/>
        <w:tabs>
          <w:tab w:pos="382" w:val="left"/>
        </w:tabs>
        <w:bidi w:val="0"/>
        <w:spacing w:before="0" w:after="320" w:line="240" w:lineRule="auto"/>
        <w:ind w:left="380" w:right="0" w:hanging="380"/>
        <w:jc w:val="both"/>
      </w:pPr>
      <w:bookmarkStart w:id="87" w:name="bookmark87"/>
      <w:bookmarkEnd w:id="87"/>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88" w:name="bookmark88"/>
      <w:bookmarkEnd w:id="88"/>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2" w:val="left"/>
        </w:tabs>
        <w:bidi w:val="0"/>
        <w:spacing w:before="0" w:after="0" w:line="240" w:lineRule="auto"/>
        <w:ind w:left="0" w:right="0" w:firstLine="0"/>
        <w:jc w:val="both"/>
      </w:pPr>
      <w:bookmarkStart w:id="89" w:name="bookmark89"/>
      <w:bookmarkEnd w:id="89"/>
      <w:r>
        <w:rPr>
          <w:color w:val="000000"/>
          <w:spacing w:val="0"/>
          <w:w w:val="100"/>
          <w:position w:val="0"/>
          <w:shd w:val="clear" w:color="auto" w:fill="auto"/>
          <w:lang w:val="cs-CZ" w:eastAsia="cs-CZ" w:bidi="cs-CZ"/>
        </w:rPr>
        <w:t>Cena díla bude hrazena po dokončení, předání a převzetí díla bez vad a nedodělků.</w:t>
      </w:r>
    </w:p>
    <w:p>
      <w:pPr>
        <w:pStyle w:val="Style2"/>
        <w:keepNext w:val="0"/>
        <w:keepLines w:val="0"/>
        <w:widowControl w:val="0"/>
        <w:shd w:val="clear" w:color="auto" w:fill="auto"/>
        <w:bidi w:val="0"/>
        <w:spacing w:before="0" w:after="0" w:line="240" w:lineRule="auto"/>
        <w:ind w:left="380" w:right="0" w:firstLine="0"/>
        <w:jc w:val="both"/>
      </w:pPr>
      <w:r>
        <w:rPr>
          <w:b/>
          <w:bCs/>
          <w:color w:val="000000"/>
          <w:spacing w:val="0"/>
          <w:w w:val="100"/>
          <w:position w:val="0"/>
          <w:shd w:val="clear" w:color="auto" w:fill="auto"/>
          <w:lang w:val="cs-CZ" w:eastAsia="cs-CZ" w:bidi="cs-CZ"/>
        </w:rPr>
        <w:t>Fakturu je zhotovitel povinen prokazatelně doručit objednateli nejpozději do 10 kalendářních dnů ode dne uskutečnění plnění.</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 xml:space="preserve">Fakturu lze předat i elektronicky ve formátu PDF na e-mail: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93" w:name="bookmark93"/>
      <w:bookmarkEnd w:id="93"/>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82" w:val="left"/>
        </w:tabs>
        <w:bidi w:val="0"/>
        <w:spacing w:before="0" w:after="32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95" w:name="bookmark95"/>
      <w:bookmarkEnd w:id="95"/>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92" w:val="left"/>
        </w:tabs>
        <w:bidi w:val="0"/>
        <w:spacing w:before="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3"/>
        </w:numPr>
        <w:shd w:val="clear" w:color="auto" w:fill="auto"/>
        <w:tabs>
          <w:tab w:pos="392"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2"/>
        <w:keepNext w:val="0"/>
        <w:keepLines w:val="0"/>
        <w:widowControl w:val="0"/>
        <w:numPr>
          <w:ilvl w:val="0"/>
          <w:numId w:val="13"/>
        </w:numPr>
        <w:shd w:val="clear" w:color="auto" w:fill="auto"/>
        <w:tabs>
          <w:tab w:pos="392"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92"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392"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502"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502" w:val="left"/>
        </w:tabs>
        <w:bidi w:val="0"/>
        <w:spacing w:before="0" w:after="44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5"/>
        </w:numPr>
        <w:shd w:val="clear" w:color="auto" w:fill="auto"/>
        <w:tabs>
          <w:tab w:pos="392" w:val="left"/>
        </w:tabs>
        <w:bidi w:val="0"/>
        <w:spacing w:before="0" w:line="240" w:lineRule="auto"/>
        <w:ind w:left="0" w:right="0" w:firstLine="0"/>
        <w:jc w:val="both"/>
      </w:pPr>
      <w:bookmarkStart w:id="106" w:name="bookmark106"/>
      <w:bookmarkEnd w:id="106"/>
      <w:r>
        <w:rPr>
          <w:b/>
          <w:bCs/>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60" w:val="left"/>
        </w:tabs>
        <w:bidi w:val="0"/>
        <w:spacing w:before="0" w:after="0" w:line="240" w:lineRule="auto"/>
        <w:ind w:left="0" w:right="0" w:firstLine="380"/>
        <w:jc w:val="both"/>
      </w:pPr>
      <w:bookmarkStart w:id="107" w:name="bookmark107"/>
      <w:bookmarkEnd w:id="107"/>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60" w:val="left"/>
        </w:tabs>
        <w:bidi w:val="0"/>
        <w:spacing w:before="0" w:after="0" w:line="240" w:lineRule="auto"/>
        <w:ind w:left="1020" w:right="0" w:hanging="620"/>
        <w:jc w:val="both"/>
      </w:pPr>
      <w:bookmarkStart w:id="108" w:name="bookmark108"/>
      <w:bookmarkEnd w:id="108"/>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60" w:val="left"/>
        </w:tabs>
        <w:bidi w:val="0"/>
        <w:spacing w:before="0" w:line="240" w:lineRule="auto"/>
        <w:ind w:left="1020" w:right="0" w:hanging="620"/>
        <w:jc w:val="both"/>
      </w:pPr>
      <w:bookmarkStart w:id="109" w:name="bookmark109"/>
      <w:bookmarkEnd w:id="109"/>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2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92" w:val="left"/>
        </w:tabs>
        <w:bidi w:val="0"/>
        <w:spacing w:before="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92" w:val="left"/>
        </w:tabs>
        <w:bidi w:val="0"/>
        <w:spacing w:before="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6" w:val="left"/>
        </w:tabs>
        <w:bidi w:val="0"/>
        <w:spacing w:before="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6" w:val="left"/>
        </w:tabs>
        <w:bidi w:val="0"/>
        <w:spacing w:before="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6"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12"/>
        <w:keepNext/>
        <w:keepLines/>
        <w:widowControl w:val="0"/>
        <w:numPr>
          <w:ilvl w:val="0"/>
          <w:numId w:val="21"/>
        </w:numPr>
        <w:shd w:val="clear" w:color="auto" w:fill="auto"/>
        <w:tabs>
          <w:tab w:pos="356" w:val="left"/>
        </w:tabs>
        <w:bidi w:val="0"/>
        <w:spacing w:before="0" w:line="240" w:lineRule="auto"/>
        <w:ind w:left="380" w:right="0" w:hanging="38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15"/>
      <w:bookmarkEnd w:id="116"/>
      <w:bookmarkEnd w:id="118"/>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5"/>
        </w:numPr>
        <w:shd w:val="clear" w:color="auto" w:fill="auto"/>
        <w:tabs>
          <w:tab w:pos="1146" w:val="left"/>
        </w:tabs>
        <w:bidi w:val="0"/>
        <w:spacing w:before="0" w:after="0" w:line="240" w:lineRule="auto"/>
        <w:ind w:left="1160" w:right="0" w:hanging="36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22"/>
      <w:bookmarkEnd w:id="123"/>
      <w:bookmarkEnd w:id="125"/>
    </w:p>
    <w:p>
      <w:pPr>
        <w:pStyle w:val="Style12"/>
        <w:keepNext/>
        <w:keepLines/>
        <w:widowControl w:val="0"/>
        <w:numPr>
          <w:ilvl w:val="0"/>
          <w:numId w:val="25"/>
        </w:numPr>
        <w:shd w:val="clear" w:color="auto" w:fill="auto"/>
        <w:tabs>
          <w:tab w:pos="1146" w:val="left"/>
        </w:tabs>
        <w:bidi w:val="0"/>
        <w:spacing w:before="0" w:after="0" w:line="240" w:lineRule="auto"/>
        <w:ind w:left="0" w:right="0" w:firstLine="80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bezdůvodném přerušení prací zhotovitelem, které trvá více než 14 dnů,</w:t>
      </w:r>
      <w:bookmarkEnd w:id="126"/>
      <w:bookmarkEnd w:id="127"/>
      <w:bookmarkEnd w:id="129"/>
    </w:p>
    <w:p>
      <w:pPr>
        <w:pStyle w:val="Style12"/>
        <w:keepNext/>
        <w:keepLines/>
        <w:widowControl w:val="0"/>
        <w:numPr>
          <w:ilvl w:val="0"/>
          <w:numId w:val="25"/>
        </w:numPr>
        <w:shd w:val="clear" w:color="auto" w:fill="auto"/>
        <w:tabs>
          <w:tab w:pos="1146" w:val="left"/>
        </w:tabs>
        <w:bidi w:val="0"/>
        <w:spacing w:before="0" w:line="240" w:lineRule="auto"/>
        <w:ind w:left="0" w:right="0" w:firstLine="80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neplněním povinností zhotovitele vést řádně zápisy do stavebního deníku.</w:t>
      </w:r>
      <w:bookmarkEnd w:id="130"/>
      <w:bookmarkEnd w:id="131"/>
      <w:bookmarkEnd w:id="133"/>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60" w:val="left"/>
        </w:tabs>
        <w:bidi w:val="0"/>
        <w:spacing w:before="0" w:after="0" w:line="240" w:lineRule="auto"/>
        <w:ind w:left="0" w:right="0" w:firstLine="0"/>
        <w:jc w:val="both"/>
      </w:pPr>
      <w:bookmarkStart w:id="139" w:name="bookmark139"/>
      <w:bookmarkEnd w:id="139"/>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2" w:val="left"/>
        </w:tabs>
        <w:bidi w:val="0"/>
        <w:spacing w:before="0" w:line="240" w:lineRule="auto"/>
        <w:ind w:left="0" w:right="0" w:firstLine="0"/>
        <w:jc w:val="left"/>
      </w:pPr>
      <w:bookmarkStart w:id="141" w:name="bookmark141"/>
      <w:bookmarkEnd w:id="141"/>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42" w:val="left"/>
        </w:tabs>
        <w:bidi w:val="0"/>
        <w:spacing w:before="0" w:after="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380" w:right="0" w:firstLine="0"/>
        <w:jc w:val="left"/>
      </w:pPr>
      <w:r>
        <w:rPr>
          <w:color w:val="000000"/>
          <w:spacing w:val="0"/>
          <w:w w:val="100"/>
          <w:position w:val="0"/>
          <w:shd w:val="clear" w:color="auto" w:fill="auto"/>
          <w:lang w:val="cs-CZ" w:eastAsia="cs-CZ" w:bidi="cs-CZ"/>
        </w:rPr>
        <w:t>Priorita 2) Příloha č. 1: Oceněný soupis prací Priorita 3) Příloha č. 2: Situace Priorita 1) Příloha č. 3: Čestné prohlášení k finančním sankcím</w:t>
      </w:r>
    </w:p>
    <w:p>
      <w:pPr>
        <w:pStyle w:val="Style2"/>
        <w:keepNext w:val="0"/>
        <w:keepLines w:val="0"/>
        <w:widowControl w:val="0"/>
        <w:shd w:val="clear" w:color="auto" w:fill="auto"/>
        <w:bidi w:val="0"/>
        <w:spacing w:before="0" w:after="460" w:line="240" w:lineRule="auto"/>
        <w:ind w:left="1460" w:right="0" w:hanging="1080"/>
        <w:jc w:val="both"/>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061" w:left="1394" w:right="1385" w:bottom="1234" w:header="0" w:footer="3" w:gutter="0"/>
          <w:pgNumType w:start="1"/>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4086860</wp:posOffset>
                </wp:positionH>
                <wp:positionV relativeFrom="paragraph">
                  <wp:posOffset>12700</wp:posOffset>
                </wp:positionV>
                <wp:extent cx="1222375" cy="225425"/>
                <wp:wrapSquare wrapText="left"/>
                <wp:docPr id="9" name="Shape 9"/>
                <a:graphic xmlns:a="http://schemas.openxmlformats.org/drawingml/2006/main">
                  <a:graphicData uri="http://schemas.microsoft.com/office/word/2010/wordprocessingShape">
                    <wps:wsp>
                      <wps:cNvSpPr txBox="1"/>
                      <wps:spPr>
                        <a:xfrm>
                          <a:ext cx="122237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35" type="#_x0000_t202" style="position:absolute;margin-left:321.80000000000001pt;margin-top:1.pt;width:96.25pt;height:17.75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1" w:after="10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61" w:left="0" w:right="0" w:bottom="116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1" w:left="1394" w:right="2335" w:bottom="1166" w:header="0" w:footer="3" w:gutter="0"/>
          <w:cols w:num="2" w:space="1801"/>
          <w:noEndnote/>
          <w:rtlGutter w:val="0"/>
          <w:docGrid w:linePitch="360"/>
        </w:sectPr>
      </w:pPr>
      <w:r>
        <w:rPr>
          <w:color w:val="000000"/>
          <w:spacing w:val="0"/>
          <w:w w:val="100"/>
          <w:position w:val="0"/>
          <w:shd w:val="clear" w:color="auto" w:fill="auto"/>
          <w:lang w:val="cs-CZ" w:eastAsia="cs-CZ" w:bidi="cs-CZ"/>
        </w:rPr>
        <w:t xml:space="preserve">…………………………………… oprávněný zástupce objednatele </w:t>
      </w:r>
      <w:r>
        <w:rPr>
          <w:color w:val="000000"/>
          <w:spacing w:val="0"/>
          <w:w w:val="100"/>
          <w:position w:val="0"/>
          <w:shd w:val="clear" w:color="auto" w:fill="auto"/>
          <w:lang w:val="cs-CZ" w:eastAsia="cs-CZ" w:bidi="cs-CZ"/>
        </w:rPr>
        <w:t>…………………………………… oprávněný zástupce zhotovitele</w:t>
      </w:r>
    </w:p>
    <w:sectPr>
      <w:footnotePr>
        <w:pos w:val="pageBottom"/>
        <w:numFmt w:val="decimal"/>
        <w:numRestart w:val="continuous"/>
      </w:footnotePr>
      <w:type w:val="continuous"/>
      <w:pgSz w:w="11909" w:h="16838"/>
      <w:pgMar w:top="1161" w:left="1394" w:right="2335" w:bottom="1166" w:header="0" w:footer="3" w:gutter="0"/>
      <w:cols w:num="2" w:space="18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5990590</wp:posOffset>
              </wp:positionH>
              <wp:positionV relativeFrom="page">
                <wp:posOffset>9960610</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7</w:t>
                          </w:r>
                        </w:p>
                      </w:txbxContent>
                    </wps:txbx>
                    <wps:bodyPr wrap="none" lIns="0" tIns="0" rIns="0" bIns="0">
                      <a:spAutoFit/>
                    </wps:bodyPr>
                  </wps:wsp>
                </a:graphicData>
              </a:graphic>
            </wp:anchor>
          </w:drawing>
        </mc:Choice>
        <mc:Fallback>
          <w:pict>
            <v:shape id="_x0000_s1033" type="#_x0000_t202" style="position:absolute;margin-left:471.69999999999999pt;margin-top:784.30000000000007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5648960</wp:posOffset>
              </wp:positionH>
              <wp:positionV relativeFrom="page">
                <wp:posOffset>384175</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44.80000000000001pt;margin-top:30.25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60"/>
      <w:ind w:left="360" w:hanging="34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