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1078/2024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393700</wp:posOffset>
                </wp:positionV>
                <wp:extent cx="1085215" cy="1042670"/>
                <wp:wrapSquare wrapText="bothSides"/>
                <wp:docPr id="1" name="Shape 1"/>
                <a:graphic xmlns:a="http://schemas.openxmlformats.org/drawingml/2006/main">
                  <a:graphicData uri="http://schemas.microsoft.com/office/word/2010/wordprocessingShape">
                    <wps:wsp>
                      <wps:cNvSpPr txBox="1"/>
                      <wps:spPr>
                        <a:xfrm>
                          <a:ext cx="1085215" cy="10426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2.1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Lužecký potok v Povrlech - těžení sedimentů</w:t>
      </w:r>
    </w:p>
    <w:p>
      <w:pPr>
        <w:pStyle w:val="Style2"/>
        <w:keepNext w:val="0"/>
        <w:keepLines w:val="0"/>
        <w:widowControl w:val="0"/>
        <w:shd w:val="clear" w:color="auto" w:fill="auto"/>
        <w:bidi w:val="0"/>
        <w:spacing w:before="0" w:after="0" w:line="240" w:lineRule="auto"/>
        <w:ind w:left="1960" w:right="0" w:firstLine="2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2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LESORS s.r.o.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Dubská 311/9, 417 01 Dubí u Teplic</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28692403</w:t>
      </w:r>
    </w:p>
    <w:p>
      <w:pPr>
        <w:pStyle w:val="Style2"/>
        <w:keepNext w:val="0"/>
        <w:keepLines w:val="0"/>
        <w:widowControl w:val="0"/>
        <w:shd w:val="clear" w:color="auto" w:fill="auto"/>
        <w:bidi w:val="0"/>
        <w:spacing w:before="0" w:after="320" w:line="240" w:lineRule="auto"/>
        <w:ind w:left="2340" w:right="0" w:firstLine="0"/>
        <w:jc w:val="both"/>
      </w:pPr>
      <w:r>
        <w:rPr>
          <w:color w:val="000000"/>
          <w:spacing w:val="0"/>
          <w:w w:val="100"/>
          <w:position w:val="0"/>
          <w:shd w:val="clear" w:color="auto" w:fill="auto"/>
          <w:lang w:val="cs-CZ" w:eastAsia="cs-CZ" w:bidi="cs-CZ"/>
        </w:rPr>
        <w:t>CZ28692403</w:t>
      </w:r>
    </w:p>
    <w:p>
      <w:pPr>
        <w:pStyle w:val="Style2"/>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Lužecký potok v Povrlech - těžení sedimentů</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odstranění sedimentů z opevněného koryta vodního toku Lužecký potok v intravilánu obce Povrly (ř. km 0,331-1,176). Jde o převážně lichoběžníkový profil koryta opevněný kamennou dlažbou ve dně a březích. Místy je břeh jednostranně opevněn kamennými zdmi.</w:t>
      </w:r>
      <w:bookmarkEnd w:id="10"/>
      <w:bookmarkEnd w:id="7"/>
      <w:bookmarkEnd w:id="8"/>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Místo plnění je rozděleno na 4 úseky:</w:t>
      </w:r>
    </w:p>
    <w:p>
      <w:pPr>
        <w:pStyle w:val="Style2"/>
        <w:keepNext w:val="0"/>
        <w:keepLines w:val="0"/>
        <w:widowControl w:val="0"/>
        <w:shd w:val="clear" w:color="auto" w:fill="auto"/>
        <w:bidi w:val="0"/>
        <w:spacing w:before="0" w:after="0" w:line="276" w:lineRule="auto"/>
        <w:ind w:left="66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Úsek I. (ř. km 0,331 – 0,540): od profilu u č. p. 38 po sil. most v ul. U Stadionu (délka úseku 209 m; cca 70 m3 sedimentu).</w:t>
      </w:r>
    </w:p>
    <w:p>
      <w:pPr>
        <w:pStyle w:val="Style2"/>
        <w:keepNext w:val="0"/>
        <w:keepLines w:val="0"/>
        <w:widowControl w:val="0"/>
        <w:shd w:val="clear" w:color="auto" w:fill="auto"/>
        <w:bidi w:val="0"/>
        <w:spacing w:before="0" w:after="0" w:line="276" w:lineRule="auto"/>
        <w:ind w:left="66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Úsek II. (ř. km 0,540 – 0,780): od sil. most v ul. U Stadionu po lávku k fotbalovému hřišti (délka úseku 240 m; cca 25 m3 sedimentu)</w:t>
      </w:r>
    </w:p>
    <w:p>
      <w:pPr>
        <w:pStyle w:val="Style2"/>
        <w:keepNext w:val="0"/>
        <w:keepLines w:val="0"/>
        <w:widowControl w:val="0"/>
        <w:shd w:val="clear" w:color="auto" w:fill="auto"/>
        <w:bidi w:val="0"/>
        <w:spacing w:before="0" w:after="0" w:line="276" w:lineRule="auto"/>
        <w:ind w:left="66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Úsek III. (ř. km 0,895 – 1,058): od sil. most v ul. Sídliště II naproti č. p. 129 po sil. most v ul. Sídliště II u č.p. 231 (délka úseku 163 m; cca 133 m3 sedimentu)</w:t>
      </w:r>
    </w:p>
    <w:p>
      <w:pPr>
        <w:pStyle w:val="Style2"/>
        <w:keepNext w:val="0"/>
        <w:keepLines w:val="0"/>
        <w:widowControl w:val="0"/>
        <w:shd w:val="clear" w:color="auto" w:fill="auto"/>
        <w:bidi w:val="0"/>
        <w:spacing w:before="0" w:after="140" w:line="276" w:lineRule="auto"/>
        <w:ind w:left="66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Úsek IV. (ř. km 1,058 – 1,176): od sil. most v ul. Sídliště II u č.p. 231 po stupeň nad lávkou k č. p. 189 (délka úseku 118 m; cca 55 m3 sedimentu).</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76" w:lineRule="auto"/>
        <w:ind w:left="660" w:right="0" w:hanging="3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veškerých sedimentů z průtočného profilu vodního toku (celkový předpokládaný objem 283 m3)</w:t>
      </w:r>
    </w:p>
    <w:p>
      <w:pPr>
        <w:pStyle w:val="Style2"/>
        <w:keepNext w:val="0"/>
        <w:keepLines w:val="0"/>
        <w:widowControl w:val="0"/>
        <w:shd w:val="clear" w:color="auto" w:fill="auto"/>
        <w:bidi w:val="0"/>
        <w:spacing w:before="0" w:after="0" w:line="276" w:lineRule="auto"/>
        <w:ind w:left="660" w:right="0" w:hanging="3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Naložení, odvoz a likvidace vytěžených sedimentů v souladu s příslušnými právními předpisy ČR</w:t>
      </w:r>
    </w:p>
    <w:p>
      <w:pPr>
        <w:pStyle w:val="Style2"/>
        <w:keepNext w:val="0"/>
        <w:keepLines w:val="0"/>
        <w:widowControl w:val="0"/>
        <w:shd w:val="clear" w:color="auto" w:fill="auto"/>
        <w:bidi w:val="0"/>
        <w:spacing w:before="0" w:after="140" w:line="264" w:lineRule="auto"/>
        <w:ind w:left="0" w:right="0" w:firstLine="30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Ostatní práce a náklady spojené s prováděním zakázky</w:t>
      </w:r>
    </w:p>
    <w:p>
      <w:pPr>
        <w:pStyle w:val="Style2"/>
        <w:keepNext w:val="0"/>
        <w:keepLines w:val="0"/>
        <w:widowControl w:val="0"/>
        <w:shd w:val="clear" w:color="auto" w:fill="auto"/>
        <w:bidi w:val="0"/>
        <w:spacing w:before="0" w:after="180" w:line="240" w:lineRule="auto"/>
        <w:ind w:left="300" w:right="0" w:firstLine="40"/>
        <w:jc w:val="both"/>
      </w:pPr>
      <w:r>
        <w:rPr>
          <w:b/>
          <w:bCs/>
          <w:color w:val="000000"/>
          <w:spacing w:val="0"/>
          <w:w w:val="100"/>
          <w:position w:val="0"/>
          <w:shd w:val="clear" w:color="auto" w:fill="auto"/>
          <w:lang w:val="cs-CZ" w:eastAsia="cs-CZ" w:bidi="cs-CZ"/>
        </w:rPr>
        <w:t>Dle požadavku AOPK musí být předmětné sedimenty odstraněny bez pojezdu mechanizací v korytě vodního toku (VT). Malá mechanizace bude pojíždět po přilehlé komunikaci nebo břehové hraně VT.</w:t>
      </w:r>
    </w:p>
    <w:p>
      <w:pPr>
        <w:pStyle w:val="Style2"/>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Místo provádění díla (Situace viz příloha č. 2): Koryto vodního toku Lužecký potok v ř. km 0,331-1,176. Jedná se o tento pozemek ve správě objednatele: p. p. č. ……v k. ú. Povrly.</w:t>
      </w:r>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11"/>
      <w:bookmarkEnd w:id="12"/>
      <w:bookmarkEnd w:id="14"/>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Za předmět díla se dále považuje:</w:t>
      </w:r>
      <w:bookmarkEnd w:id="15"/>
      <w:bookmarkEnd w:id="16"/>
      <w:bookmarkEnd w:id="18"/>
    </w:p>
    <w:p>
      <w:pPr>
        <w:pStyle w:val="Style12"/>
        <w:keepNext/>
        <w:keepLines/>
        <w:widowControl w:val="0"/>
        <w:numPr>
          <w:ilvl w:val="0"/>
          <w:numId w:val="3"/>
        </w:numPr>
        <w:shd w:val="clear" w:color="auto" w:fill="auto"/>
        <w:tabs>
          <w:tab w:pos="737" w:val="left"/>
        </w:tabs>
        <w:bidi w:val="0"/>
        <w:spacing w:before="0" w:after="0" w:line="240" w:lineRule="auto"/>
        <w:ind w:left="660" w:right="0" w:hanging="32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19"/>
      <w:bookmarkEnd w:id="20"/>
      <w:bookmarkEnd w:id="22"/>
    </w:p>
    <w:p>
      <w:pPr>
        <w:pStyle w:val="Style12"/>
        <w:keepNext/>
        <w:keepLines/>
        <w:widowControl w:val="0"/>
        <w:numPr>
          <w:ilvl w:val="0"/>
          <w:numId w:val="3"/>
        </w:numPr>
        <w:shd w:val="clear" w:color="auto" w:fill="auto"/>
        <w:tabs>
          <w:tab w:pos="746" w:val="left"/>
        </w:tabs>
        <w:bidi w:val="0"/>
        <w:spacing w:before="0" w:after="0" w:line="240" w:lineRule="auto"/>
        <w:ind w:left="660" w:right="0" w:hanging="32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zajištění povolení ke vstupu a vjezdu na pozemky (mimo pozemků ve vlastnictví objednatele),</w:t>
      </w:r>
      <w:bookmarkEnd w:id="23"/>
      <w:bookmarkEnd w:id="24"/>
      <w:bookmarkEnd w:id="26"/>
    </w:p>
    <w:p>
      <w:pPr>
        <w:pStyle w:val="Style12"/>
        <w:keepNext/>
        <w:keepLines/>
        <w:widowControl w:val="0"/>
        <w:numPr>
          <w:ilvl w:val="0"/>
          <w:numId w:val="3"/>
        </w:numPr>
        <w:shd w:val="clear" w:color="auto" w:fill="auto"/>
        <w:tabs>
          <w:tab w:pos="746" w:val="left"/>
        </w:tabs>
        <w:bidi w:val="0"/>
        <w:spacing w:before="0" w:after="0" w:line="240" w:lineRule="auto"/>
        <w:ind w:left="660" w:right="0" w:hanging="32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27"/>
      <w:bookmarkEnd w:id="28"/>
      <w:bookmarkEnd w:id="30"/>
    </w:p>
    <w:p>
      <w:pPr>
        <w:pStyle w:val="Style12"/>
        <w:keepNext/>
        <w:keepLines/>
        <w:widowControl w:val="0"/>
        <w:numPr>
          <w:ilvl w:val="0"/>
          <w:numId w:val="3"/>
        </w:numPr>
        <w:shd w:val="clear" w:color="auto" w:fill="auto"/>
        <w:tabs>
          <w:tab w:pos="706" w:val="left"/>
        </w:tabs>
        <w:bidi w:val="0"/>
        <w:spacing w:before="0" w:after="0" w:line="240" w:lineRule="auto"/>
        <w:ind w:left="0" w:right="0" w:firstLine="30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zajištění povolení zvláštního užívání pozemní komunikace, bude-li potřeba,</w:t>
      </w:r>
      <w:bookmarkEnd w:id="31"/>
      <w:bookmarkEnd w:id="32"/>
      <w:bookmarkEnd w:id="34"/>
    </w:p>
    <w:p>
      <w:pPr>
        <w:pStyle w:val="Style12"/>
        <w:keepNext/>
        <w:keepLines/>
        <w:widowControl w:val="0"/>
        <w:numPr>
          <w:ilvl w:val="0"/>
          <w:numId w:val="3"/>
        </w:numPr>
        <w:shd w:val="clear" w:color="auto" w:fill="auto"/>
        <w:tabs>
          <w:tab w:pos="746" w:val="left"/>
        </w:tabs>
        <w:bidi w:val="0"/>
        <w:spacing w:before="0" w:after="0" w:line="240" w:lineRule="auto"/>
        <w:ind w:left="660" w:right="0" w:hanging="32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5"/>
      <w:bookmarkEnd w:id="36"/>
      <w:bookmarkEnd w:id="38"/>
    </w:p>
    <w:p>
      <w:pPr>
        <w:pStyle w:val="Style12"/>
        <w:keepNext/>
        <w:keepLines/>
        <w:widowControl w:val="0"/>
        <w:numPr>
          <w:ilvl w:val="0"/>
          <w:numId w:val="3"/>
        </w:numPr>
        <w:shd w:val="clear" w:color="auto" w:fill="auto"/>
        <w:tabs>
          <w:tab w:pos="706" w:val="left"/>
        </w:tabs>
        <w:bidi w:val="0"/>
        <w:spacing w:before="0" w:after="0" w:line="240" w:lineRule="auto"/>
        <w:ind w:left="0" w:right="0" w:firstLine="30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zhotovitel zodpovídá za místo realizace díla i v době přerušení prací,</w:t>
      </w:r>
      <w:bookmarkEnd w:id="39"/>
      <w:bookmarkEnd w:id="40"/>
      <w:bookmarkEnd w:id="42"/>
    </w:p>
    <w:p>
      <w:pPr>
        <w:pStyle w:val="Style12"/>
        <w:keepNext/>
        <w:keepLines/>
        <w:widowControl w:val="0"/>
        <w:numPr>
          <w:ilvl w:val="0"/>
          <w:numId w:val="3"/>
        </w:numPr>
        <w:shd w:val="clear" w:color="auto" w:fill="auto"/>
        <w:tabs>
          <w:tab w:pos="746" w:val="left"/>
        </w:tabs>
        <w:bidi w:val="0"/>
        <w:spacing w:before="0" w:line="240" w:lineRule="auto"/>
        <w:ind w:left="660" w:right="0" w:hanging="32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3"/>
      <w:bookmarkEnd w:id="44"/>
      <w:bookmarkEnd w:id="46"/>
    </w:p>
    <w:p>
      <w:pPr>
        <w:pStyle w:val="Style12"/>
        <w:keepNext/>
        <w:keepLines/>
        <w:widowControl w:val="0"/>
        <w:numPr>
          <w:ilvl w:val="0"/>
          <w:numId w:val="3"/>
        </w:numPr>
        <w:shd w:val="clear" w:color="auto" w:fill="auto"/>
        <w:tabs>
          <w:tab w:pos="766" w:val="left"/>
        </w:tabs>
        <w:bidi w:val="0"/>
        <w:spacing w:before="0" w:after="0" w:line="240" w:lineRule="auto"/>
        <w:ind w:left="720" w:right="0" w:hanging="36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47"/>
      <w:bookmarkEnd w:id="48"/>
      <w:bookmarkEnd w:id="50"/>
    </w:p>
    <w:p>
      <w:pPr>
        <w:pStyle w:val="Style12"/>
        <w:keepNext/>
        <w:keepLines/>
        <w:widowControl w:val="0"/>
        <w:numPr>
          <w:ilvl w:val="0"/>
          <w:numId w:val="3"/>
        </w:numPr>
        <w:shd w:val="clear" w:color="auto" w:fill="auto"/>
        <w:tabs>
          <w:tab w:pos="766" w:val="left"/>
        </w:tabs>
        <w:bidi w:val="0"/>
        <w:spacing w:before="0" w:line="240" w:lineRule="auto"/>
        <w:ind w:left="720" w:right="0" w:hanging="36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1"/>
      <w:bookmarkEnd w:id="52"/>
      <w:bookmarkEnd w:id="54"/>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5"/>
      <w:bookmarkEnd w:id="56"/>
      <w:bookmarkEnd w:id="58"/>
    </w:p>
    <w:p>
      <w:pPr>
        <w:pStyle w:val="Style12"/>
        <w:keepNext/>
        <w:keepLines/>
        <w:widowControl w:val="0"/>
        <w:numPr>
          <w:ilvl w:val="0"/>
          <w:numId w:val="1"/>
        </w:numPr>
        <w:shd w:val="clear" w:color="auto" w:fill="auto"/>
        <w:tabs>
          <w:tab w:pos="382" w:val="left"/>
        </w:tabs>
        <w:bidi w:val="0"/>
        <w:spacing w:before="0" w:line="240" w:lineRule="auto"/>
        <w:ind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59"/>
      <w:bookmarkEnd w:id="60"/>
      <w:bookmarkEnd w:id="62"/>
    </w:p>
    <w:p>
      <w:pPr>
        <w:pStyle w:val="Style12"/>
        <w:keepNext/>
        <w:keepLines/>
        <w:widowControl w:val="0"/>
        <w:numPr>
          <w:ilvl w:val="0"/>
          <w:numId w:val="1"/>
        </w:numPr>
        <w:shd w:val="clear" w:color="auto" w:fill="auto"/>
        <w:tabs>
          <w:tab w:pos="382" w:val="left"/>
        </w:tabs>
        <w:bidi w:val="0"/>
        <w:spacing w:before="0" w:after="440" w:line="240" w:lineRule="auto"/>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63"/>
      <w:bookmarkEnd w:id="64"/>
      <w:bookmarkEnd w:id="66"/>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Smluvní strany se dohodly na následujících lhůtách a podmínkách pro realizaci díla.</w:t>
      </w:r>
      <w:bookmarkEnd w:id="67"/>
      <w:bookmarkEnd w:id="68"/>
      <w:bookmarkEnd w:id="70"/>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71" w:name="bookmark71"/>
      <w:bookmarkEnd w:id="71"/>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2" w:name="bookmark72"/>
      <w:bookmarkEnd w:id="72"/>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3" w:name="bookmark73"/>
      <w:bookmarkEnd w:id="73"/>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Nejpozději do 31.12.2024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right="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4"/>
      <w:bookmarkEnd w:id="75"/>
      <w:bookmarkEnd w:id="77"/>
    </w:p>
    <w:p>
      <w:pPr>
        <w:pStyle w:val="Style12"/>
        <w:keepNext/>
        <w:keepLines/>
        <w:widowControl w:val="0"/>
        <w:numPr>
          <w:ilvl w:val="0"/>
          <w:numId w:val="5"/>
        </w:numPr>
        <w:shd w:val="clear" w:color="auto" w:fill="auto"/>
        <w:tabs>
          <w:tab w:pos="382" w:val="left"/>
        </w:tabs>
        <w:bidi w:val="0"/>
        <w:spacing w:before="0" w:line="240" w:lineRule="auto"/>
        <w:ind w:right="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78"/>
      <w:bookmarkEnd w:id="79"/>
      <w:bookmarkEnd w:id="81"/>
    </w:p>
    <w:p>
      <w:pPr>
        <w:pStyle w:val="Style12"/>
        <w:keepNext/>
        <w:keepLines/>
        <w:widowControl w:val="0"/>
        <w:numPr>
          <w:ilvl w:val="0"/>
          <w:numId w:val="5"/>
        </w:numPr>
        <w:shd w:val="clear" w:color="auto" w:fill="auto"/>
        <w:tabs>
          <w:tab w:pos="382" w:val="left"/>
        </w:tabs>
        <w:bidi w:val="0"/>
        <w:spacing w:before="0" w:after="320" w:line="240" w:lineRule="auto"/>
        <w:ind w:right="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2"/>
      <w:bookmarkEnd w:id="83"/>
      <w:bookmarkEnd w:id="85"/>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86" w:name="bookmark86"/>
      <w:bookmarkEnd w:id="8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0" w:right="0" w:firstLine="0"/>
        <w:jc w:val="both"/>
      </w:pPr>
      <w:bookmarkStart w:id="87" w:name="bookmark87"/>
      <w:bookmarkEnd w:id="87"/>
      <w:r>
        <w:rPr>
          <w:color w:val="000000"/>
          <w:spacing w:val="0"/>
          <w:w w:val="100"/>
          <w:position w:val="0"/>
          <w:shd w:val="clear" w:color="auto" w:fill="auto"/>
          <w:lang w:val="cs-CZ" w:eastAsia="cs-CZ" w:bidi="cs-CZ"/>
        </w:rPr>
        <w:t xml:space="preserve">Výše ceny díla může být změněna pouze a jen na podkladě skutečností, které se </w:t>
      </w:r>
      <w:r>
        <w:rPr>
          <w:color w:val="000000"/>
          <w:spacing w:val="0"/>
          <w:w w:val="100"/>
          <w:position w:val="0"/>
          <w:shd w:val="clear" w:color="auto" w:fill="auto"/>
          <w:lang w:val="cs-CZ" w:eastAsia="cs-CZ" w:bidi="cs-CZ"/>
        </w:rPr>
        <w:t>vyskytly v průběhu provádění prací na stavbě,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385"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Cena díla:</w:t>
        <w:tab/>
        <w:t>258.000,00 Kč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0" w:name="bookmark90"/>
      <w:bookmarkEnd w:id="90"/>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0" w:line="240" w:lineRule="auto"/>
        <w:ind w:left="380" w:right="0" w:firstLine="0"/>
        <w:jc w:val="both"/>
      </w:pP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 xml:space="preserve">Fakturu lze předat i elektronicky ve formátu PDF na e-mail: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after="32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9" w:val="left"/>
        </w:tabs>
        <w:bidi w:val="0"/>
        <w:spacing w:before="0" w:line="240" w:lineRule="auto"/>
        <w:ind w:left="0" w:right="0" w:firstLine="0"/>
        <w:jc w:val="both"/>
      </w:pPr>
      <w:bookmarkStart w:id="108" w:name="bookmark108"/>
      <w:bookmarkEnd w:id="108"/>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60" w:val="left"/>
        </w:tabs>
        <w:bidi w:val="0"/>
        <w:spacing w:before="0" w:after="0" w:line="240" w:lineRule="auto"/>
        <w:ind w:left="0" w:right="0" w:firstLine="380"/>
        <w:jc w:val="both"/>
      </w:pPr>
      <w:bookmarkStart w:id="109" w:name="bookmark109"/>
      <w:bookmarkEnd w:id="109"/>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10" w:name="bookmark110"/>
      <w:bookmarkEnd w:id="11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0" w:val="left"/>
        </w:tabs>
        <w:bidi w:val="0"/>
        <w:spacing w:before="0" w:line="240" w:lineRule="auto"/>
        <w:ind w:left="1020" w:right="0" w:hanging="620"/>
        <w:jc w:val="both"/>
      </w:pPr>
      <w:bookmarkStart w:id="111" w:name="bookmark111"/>
      <w:bookmarkEnd w:id="11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2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9"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9" w:val="left"/>
        </w:tabs>
        <w:bidi w:val="0"/>
        <w:spacing w:before="0" w:line="240" w:lineRule="auto"/>
        <w:ind w:left="0" w:right="0" w:firstLine="0"/>
        <w:jc w:val="both"/>
      </w:pPr>
      <w:bookmarkStart w:id="113" w:name="bookmark113"/>
      <w:bookmarkEnd w:id="113"/>
      <w:r>
        <w:rPr>
          <w:color w:val="000000"/>
          <w:spacing w:val="0"/>
          <w:w w:val="100"/>
          <w:position w:val="0"/>
          <w:shd w:val="clear" w:color="auto" w:fill="auto"/>
          <w:lang w:val="cs-CZ" w:eastAsia="cs-CZ" w:bidi="cs-CZ"/>
        </w:rPr>
        <w:t xml:space="preserve">Objednatel je oprávněn požadovat náhradu škody způsobenou mu zhotovitelem </w:t>
      </w:r>
      <w:r>
        <w:rPr>
          <w:color w:val="000000"/>
          <w:spacing w:val="0"/>
          <w:w w:val="100"/>
          <w:position w:val="0"/>
          <w:shd w:val="clear" w:color="auto" w:fill="auto"/>
          <w:lang w:val="cs-CZ" w:eastAsia="cs-CZ" w:bidi="cs-CZ"/>
        </w:rPr>
        <w:t>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56" w:val="left"/>
        </w:tabs>
        <w:bidi w:val="0"/>
        <w:spacing w:before="0" w:after="440" w:line="240" w:lineRule="auto"/>
        <w:ind w:left="380" w:right="0" w:hanging="38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17"/>
      <w:bookmarkEnd w:id="118"/>
      <w:bookmarkEnd w:id="12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52" w:val="left"/>
        </w:tabs>
        <w:bidi w:val="0"/>
        <w:spacing w:before="0" w:after="0" w:line="240" w:lineRule="auto"/>
        <w:ind w:left="1160" w:right="0" w:hanging="36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24"/>
      <w:bookmarkEnd w:id="125"/>
      <w:bookmarkEnd w:id="127"/>
    </w:p>
    <w:p>
      <w:pPr>
        <w:pStyle w:val="Style12"/>
        <w:keepNext/>
        <w:keepLines/>
        <w:widowControl w:val="0"/>
        <w:numPr>
          <w:ilvl w:val="0"/>
          <w:numId w:val="25"/>
        </w:numPr>
        <w:shd w:val="clear" w:color="auto" w:fill="auto"/>
        <w:tabs>
          <w:tab w:pos="1152" w:val="left"/>
        </w:tabs>
        <w:bidi w:val="0"/>
        <w:spacing w:before="0" w:after="0" w:line="240" w:lineRule="auto"/>
        <w:ind w:left="0" w:right="0" w:firstLine="80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bezdůvodném přerušení prací zhotovitelem, které trvá více než 14 dnů,</w:t>
      </w:r>
      <w:bookmarkEnd w:id="128"/>
      <w:bookmarkEnd w:id="129"/>
      <w:bookmarkEnd w:id="131"/>
    </w:p>
    <w:p>
      <w:pPr>
        <w:pStyle w:val="Style12"/>
        <w:keepNext/>
        <w:keepLines/>
        <w:widowControl w:val="0"/>
        <w:numPr>
          <w:ilvl w:val="0"/>
          <w:numId w:val="25"/>
        </w:numPr>
        <w:shd w:val="clear" w:color="auto" w:fill="auto"/>
        <w:tabs>
          <w:tab w:pos="1152" w:val="left"/>
        </w:tabs>
        <w:bidi w:val="0"/>
        <w:spacing w:before="0" w:line="240" w:lineRule="auto"/>
        <w:ind w:left="0" w:right="0" w:firstLine="80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neplněním povinností zhotovitele vést řádně zápisy do stavebního deníku.</w:t>
      </w:r>
      <w:bookmarkEnd w:id="132"/>
      <w:bookmarkEnd w:id="133"/>
      <w:bookmarkEnd w:id="135"/>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6" w:val="left"/>
        </w:tabs>
        <w:bidi w:val="0"/>
        <w:spacing w:before="0" w:line="240" w:lineRule="auto"/>
        <w:ind w:left="0" w:right="0" w:firstLine="0"/>
        <w:jc w:val="both"/>
      </w:pPr>
      <w:bookmarkStart w:id="139" w:name="bookmark139"/>
      <w:bookmarkEnd w:id="139"/>
      <w:r>
        <w:rPr>
          <w:color w:val="000000"/>
          <w:spacing w:val="0"/>
          <w:w w:val="100"/>
          <w:position w:val="0"/>
          <w:shd w:val="clear" w:color="auto" w:fill="auto"/>
          <w:lang w:val="cs-CZ" w:eastAsia="cs-CZ" w:bidi="cs-CZ"/>
        </w:rPr>
        <w:t xml:space="preserve">Smluvní strany níže svým podpisem stvrzují, že v průběhu vyjednávání o této Smlouvě </w:t>
      </w:r>
      <w:r>
        <w:rPr>
          <w:color w:val="000000"/>
          <w:spacing w:val="0"/>
          <w:w w:val="100"/>
          <w:position w:val="0"/>
          <w:shd w:val="clear" w:color="auto" w:fill="auto"/>
          <w:lang w:val="cs-CZ" w:eastAsia="cs-CZ" w:bidi="cs-CZ"/>
        </w:rPr>
        <w:t>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s>
        <w:bidi w:val="0"/>
        <w:spacing w:before="0" w:after="0" w:line="240" w:lineRule="auto"/>
        <w:ind w:left="0" w:right="0" w:firstLine="0"/>
        <w:jc w:val="both"/>
      </w:pPr>
      <w:bookmarkStart w:id="141" w:name="bookmark141"/>
      <w:bookmarkEnd w:id="141"/>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143" w:name="bookmark143"/>
      <w:bookmarkEnd w:id="143"/>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3) Příloha č. 2: Situace Priorita 1) Příloha č. 3: Čestné prohlášení k finančním sankcím</w:t>
      </w:r>
    </w:p>
    <w:p>
      <w:pPr>
        <w:pStyle w:val="Style2"/>
        <w:keepNext w:val="0"/>
        <w:keepLines w:val="0"/>
        <w:widowControl w:val="0"/>
        <w:shd w:val="clear" w:color="auto" w:fill="auto"/>
        <w:bidi w:val="0"/>
        <w:spacing w:before="0" w:line="240" w:lineRule="auto"/>
        <w:ind w:left="1460" w:right="0" w:hanging="108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055" w:left="1394" w:right="1384" w:bottom="1230" w:header="0"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4085590</wp:posOffset>
                </wp:positionH>
                <wp:positionV relativeFrom="paragraph">
                  <wp:posOffset>12700</wp:posOffset>
                </wp:positionV>
                <wp:extent cx="1222375" cy="228600"/>
                <wp:wrapSquare wrapText="left"/>
                <wp:docPr id="9" name="Shape 9"/>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69999999999999pt;margin-top:1.pt;width:96.25pt;height:18.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5" w:after="9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70" w:left="0" w:right="0" w:bottom="167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670" w:left="1394" w:right="2335" w:bottom="1670"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670" w:left="1394" w:right="2335" w:bottom="1670"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9959975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1.69999999999999pt;margin-top:784.2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5648960</wp:posOffset>
              </wp:positionH>
              <wp:positionV relativeFrom="page">
                <wp:posOffset>380365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4.80000000000001pt;margin-top:29.949999999999999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00" w:hanging="30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