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1073/2024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2.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Evaňský potok - odstranění sedimentu v k.ú. Poplze</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LESORS s.r.o.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Dubská 311/9, 417 01 Dubí u Teplic</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28692403</w:t>
      </w:r>
    </w:p>
    <w:p>
      <w:pPr>
        <w:pStyle w:val="Style2"/>
        <w:keepNext w:val="0"/>
        <w:keepLines w:val="0"/>
        <w:widowControl w:val="0"/>
        <w:shd w:val="clear" w:color="auto" w:fill="auto"/>
        <w:bidi w:val="0"/>
        <w:spacing w:before="0" w:after="320" w:line="240" w:lineRule="auto"/>
        <w:ind w:left="2340" w:right="0" w:firstLine="0"/>
        <w:jc w:val="both"/>
      </w:pPr>
      <w:r>
        <w:rPr>
          <w:color w:val="000000"/>
          <w:spacing w:val="0"/>
          <w:w w:val="100"/>
          <w:position w:val="0"/>
          <w:shd w:val="clear" w:color="auto" w:fill="auto"/>
          <w:lang w:val="cs-CZ" w:eastAsia="cs-CZ" w:bidi="cs-CZ"/>
        </w:rPr>
        <w:t>CZ28692403</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Evaňský potok - odstranění sedimentu v k.ú. Poplze</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odstranění sedimentů z opevněného koryta vodního toku Evaňský potok v intravilánu obce Poplze (ř. km 0,080-0,587). Jde o lichoběžníkový profil koryta opevněný kamennou dlažbou.</w:t>
      </w:r>
      <w:bookmarkEnd w:id="10"/>
      <w:bookmarkEnd w:id="7"/>
      <w:bookmarkEnd w:id="8"/>
    </w:p>
    <w:p>
      <w:pPr>
        <w:pStyle w:val="Style12"/>
        <w:keepNext/>
        <w:keepLines/>
        <w:widowControl w:val="0"/>
        <w:shd w:val="clear" w:color="auto" w:fill="auto"/>
        <w:bidi w:val="0"/>
        <w:spacing w:before="0" w:after="0" w:line="240" w:lineRule="auto"/>
        <w:ind w:left="0" w:right="0" w:firstLine="36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Místo plnění je rozděleno na 3 úseky:</w:t>
      </w:r>
      <w:bookmarkEnd w:id="11"/>
      <w:bookmarkEnd w:id="12"/>
      <w:bookmarkEnd w:id="13"/>
    </w:p>
    <w:p>
      <w:pPr>
        <w:pStyle w:val="Style12"/>
        <w:keepNext/>
        <w:keepLines/>
        <w:widowControl w:val="0"/>
        <w:shd w:val="clear" w:color="auto" w:fill="auto"/>
        <w:bidi w:val="0"/>
        <w:spacing w:before="0" w:after="0" w:line="240" w:lineRule="auto"/>
        <w:ind w:left="0" w:right="0" w:firstLine="36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SO 01 - Silniční most u soutoku – sedimentační nádrž:</w:t>
      </w:r>
      <w:bookmarkEnd w:id="14"/>
      <w:bookmarkEnd w:id="15"/>
      <w:bookmarkEnd w:id="16"/>
    </w:p>
    <w:p>
      <w:pPr>
        <w:pStyle w:val="Style12"/>
        <w:keepNext/>
        <w:keepLines/>
        <w:widowControl w:val="0"/>
        <w:shd w:val="clear" w:color="auto" w:fill="auto"/>
        <w:bidi w:val="0"/>
        <w:spacing w:before="0" w:after="0" w:line="240" w:lineRule="auto"/>
        <w:ind w:right="0" w:firstLine="4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Od silničního mostu u soutoku s Ohří, až k sedimentační nádrži před KP v obci. Úsek je dlouhý 355 m a průměrná výška sedimentu je 0,32 m. Předpokládané množství sedimentu je 54 m3.</w:t>
      </w:r>
      <w:bookmarkEnd w:id="17"/>
      <w:bookmarkEnd w:id="18"/>
      <w:bookmarkEnd w:id="19"/>
    </w:p>
    <w:p>
      <w:pPr>
        <w:pStyle w:val="Style12"/>
        <w:keepNext/>
        <w:keepLines/>
        <w:widowControl w:val="0"/>
        <w:shd w:val="clear" w:color="auto" w:fill="auto"/>
        <w:bidi w:val="0"/>
        <w:spacing w:before="0" w:after="0" w:line="240" w:lineRule="auto"/>
        <w:ind w:left="0" w:right="0" w:firstLine="360"/>
        <w:jc w:val="both"/>
      </w:pPr>
      <w:bookmarkStart w:id="20" w:name="bookmark20"/>
      <w:bookmarkStart w:id="21" w:name="bookmark21"/>
      <w:bookmarkStart w:id="22" w:name="bookmark22"/>
      <w:r>
        <w:rPr>
          <w:color w:val="000000"/>
          <w:spacing w:val="0"/>
          <w:w w:val="100"/>
          <w:position w:val="0"/>
          <w:shd w:val="clear" w:color="auto" w:fill="auto"/>
          <w:lang w:val="cs-CZ" w:eastAsia="cs-CZ" w:bidi="cs-CZ"/>
        </w:rPr>
        <w:t>SO 02 - Nátok do krytého profilu – propustek:</w:t>
      </w:r>
      <w:bookmarkEnd w:id="20"/>
      <w:bookmarkEnd w:id="21"/>
      <w:bookmarkEnd w:id="22"/>
    </w:p>
    <w:p>
      <w:pPr>
        <w:pStyle w:val="Style12"/>
        <w:keepNext/>
        <w:keepLines/>
        <w:widowControl w:val="0"/>
        <w:shd w:val="clear" w:color="auto" w:fill="auto"/>
        <w:bidi w:val="0"/>
        <w:spacing w:before="0" w:after="0" w:line="240" w:lineRule="auto"/>
        <w:ind w:right="0" w:firstLine="40"/>
        <w:jc w:val="both"/>
      </w:pPr>
      <w:bookmarkStart w:id="23" w:name="bookmark23"/>
      <w:bookmarkStart w:id="24" w:name="bookmark24"/>
      <w:bookmarkStart w:id="25" w:name="bookmark25"/>
      <w:r>
        <w:rPr>
          <w:color w:val="000000"/>
          <w:spacing w:val="0"/>
          <w:w w:val="100"/>
          <w:position w:val="0"/>
          <w:shd w:val="clear" w:color="auto" w:fill="auto"/>
          <w:lang w:val="cs-CZ" w:eastAsia="cs-CZ" w:bidi="cs-CZ"/>
        </w:rPr>
        <w:t>Od nátoku do krytého profilu (KP) po obecní propustek (ul. Na Salomínce). Úsek je dlouhý 43 m a průměrná výška sedimentu je 0,35 m. Předpokládané množství sedimentu je 6 m3.</w:t>
      </w:r>
      <w:bookmarkEnd w:id="23"/>
      <w:bookmarkEnd w:id="24"/>
      <w:bookmarkEnd w:id="25"/>
    </w:p>
    <w:p>
      <w:pPr>
        <w:pStyle w:val="Style12"/>
        <w:keepNext/>
        <w:keepLines/>
        <w:widowControl w:val="0"/>
        <w:shd w:val="clear" w:color="auto" w:fill="auto"/>
        <w:bidi w:val="0"/>
        <w:spacing w:before="0" w:after="0" w:line="240" w:lineRule="auto"/>
        <w:ind w:left="0" w:right="0" w:firstLine="360"/>
        <w:jc w:val="both"/>
      </w:pPr>
      <w:bookmarkStart w:id="26" w:name="bookmark26"/>
      <w:bookmarkStart w:id="27" w:name="bookmark27"/>
      <w:bookmarkStart w:id="28" w:name="bookmark28"/>
      <w:r>
        <w:rPr>
          <w:color w:val="000000"/>
          <w:spacing w:val="0"/>
          <w:w w:val="100"/>
          <w:position w:val="0"/>
          <w:shd w:val="clear" w:color="auto" w:fill="auto"/>
          <w:lang w:val="cs-CZ" w:eastAsia="cs-CZ" w:bidi="cs-CZ"/>
        </w:rPr>
        <w:t>SO 03 - Sedimentační nádrž:</w:t>
      </w:r>
      <w:bookmarkEnd w:id="26"/>
      <w:bookmarkEnd w:id="27"/>
      <w:bookmarkEnd w:id="28"/>
    </w:p>
    <w:p>
      <w:pPr>
        <w:pStyle w:val="Style12"/>
        <w:keepNext/>
        <w:keepLines/>
        <w:widowControl w:val="0"/>
        <w:shd w:val="clear" w:color="auto" w:fill="auto"/>
        <w:bidi w:val="0"/>
        <w:spacing w:before="0" w:after="200" w:line="240" w:lineRule="auto"/>
        <w:ind w:right="0" w:firstLine="40"/>
        <w:jc w:val="both"/>
      </w:pPr>
      <w:bookmarkStart w:id="29" w:name="bookmark29"/>
      <w:bookmarkStart w:id="30" w:name="bookmark30"/>
      <w:bookmarkStart w:id="31" w:name="bookmark31"/>
      <w:r>
        <w:rPr>
          <w:color w:val="000000"/>
          <w:spacing w:val="0"/>
          <w:w w:val="100"/>
          <w:position w:val="0"/>
          <w:shd w:val="clear" w:color="auto" w:fill="auto"/>
          <w:lang w:val="cs-CZ" w:eastAsia="cs-CZ" w:bidi="cs-CZ"/>
        </w:rPr>
        <w:t>Odstranění sedimentu ze sedimentační nádrže pod KP. Předpokládané množství sedimentu je 20 m3.</w:t>
      </w:r>
      <w:bookmarkEnd w:id="29"/>
      <w:bookmarkEnd w:id="30"/>
      <w:bookmarkEnd w:id="31"/>
    </w:p>
    <w:p>
      <w:pPr>
        <w:pStyle w:val="Style12"/>
        <w:keepNext/>
        <w:keepLines/>
        <w:widowControl w:val="0"/>
        <w:shd w:val="clear" w:color="auto" w:fill="auto"/>
        <w:bidi w:val="0"/>
        <w:spacing w:before="0" w:after="0" w:line="240" w:lineRule="auto"/>
        <w:ind w:left="0" w:right="0" w:firstLine="360"/>
        <w:jc w:val="both"/>
      </w:pPr>
      <w:bookmarkStart w:id="32" w:name="bookmark32"/>
      <w:bookmarkStart w:id="33" w:name="bookmark33"/>
      <w:bookmarkStart w:id="34" w:name="bookmark34"/>
      <w:r>
        <w:rPr>
          <w:color w:val="000000"/>
          <w:spacing w:val="0"/>
          <w:w w:val="100"/>
          <w:position w:val="0"/>
          <w:shd w:val="clear" w:color="auto" w:fill="auto"/>
          <w:lang w:val="cs-CZ" w:eastAsia="cs-CZ" w:bidi="cs-CZ"/>
        </w:rPr>
        <w:t>Jedná se o tyto práce:</w:t>
      </w:r>
      <w:bookmarkEnd w:id="32"/>
      <w:bookmarkEnd w:id="33"/>
      <w:bookmarkEnd w:id="34"/>
    </w:p>
    <w:p>
      <w:pPr>
        <w:pStyle w:val="Style12"/>
        <w:keepNext/>
        <w:keepLines/>
        <w:widowControl w:val="0"/>
        <w:shd w:val="clear" w:color="auto" w:fill="auto"/>
        <w:bidi w:val="0"/>
        <w:spacing w:before="0" w:after="0" w:line="233" w:lineRule="auto"/>
        <w:ind w:left="720" w:right="0" w:hanging="320"/>
        <w:jc w:val="both"/>
      </w:pPr>
      <w:bookmarkStart w:id="35" w:name="bookmark35"/>
      <w:bookmarkStart w:id="36" w:name="bookmark36"/>
      <w:bookmarkStart w:id="37" w:name="bookmark37"/>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veškerých sedimentů z průtočného profilu vodního toku (celkový předpokládaný objem 80 m3)</w:t>
      </w:r>
      <w:bookmarkEnd w:id="35"/>
      <w:bookmarkEnd w:id="36"/>
      <w:bookmarkEnd w:id="37"/>
    </w:p>
    <w:p>
      <w:pPr>
        <w:pStyle w:val="Style12"/>
        <w:keepNext/>
        <w:keepLines/>
        <w:widowControl w:val="0"/>
        <w:shd w:val="clear" w:color="auto" w:fill="auto"/>
        <w:bidi w:val="0"/>
        <w:spacing w:before="0" w:after="0" w:line="233" w:lineRule="auto"/>
        <w:ind w:left="720" w:right="0" w:hanging="320"/>
        <w:jc w:val="both"/>
      </w:pPr>
      <w:bookmarkStart w:id="38" w:name="bookmark38"/>
      <w:bookmarkStart w:id="39" w:name="bookmark39"/>
      <w:bookmarkStart w:id="40" w:name="bookmark4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Naložení, odvoz a likvidace vytěžených sedimentů v souladu s příslušnými právními předpisy ČR</w:t>
      </w:r>
      <w:bookmarkEnd w:id="38"/>
      <w:bookmarkEnd w:id="39"/>
      <w:bookmarkEnd w:id="40"/>
    </w:p>
    <w:p>
      <w:pPr>
        <w:pStyle w:val="Style12"/>
        <w:keepNext/>
        <w:keepLines/>
        <w:widowControl w:val="0"/>
        <w:shd w:val="clear" w:color="auto" w:fill="auto"/>
        <w:bidi w:val="0"/>
        <w:spacing w:before="0" w:after="200" w:line="223" w:lineRule="auto"/>
        <w:ind w:left="0" w:right="0" w:firstLine="360"/>
        <w:jc w:val="both"/>
      </w:pPr>
      <w:bookmarkStart w:id="41" w:name="bookmark41"/>
      <w:bookmarkStart w:id="42" w:name="bookmark42"/>
      <w:bookmarkStart w:id="43" w:name="bookmark4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Ostatní práce a náklady spojené s prováděním zakázky</w:t>
      </w:r>
      <w:bookmarkEnd w:id="41"/>
      <w:bookmarkEnd w:id="42"/>
      <w:bookmarkEnd w:id="43"/>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Místo provádění díla (Situace viz příloha č. 2): Koryto vodního toku Evaňský potok v ř. km 0,080-0,587. Jedná se o tyto pozemky ve správě objednatele: p. p. č. …………..v k. ú. Poplze.</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44"/>
      <w:bookmarkEnd w:id="45"/>
      <w:bookmarkEnd w:id="47"/>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 předmět díla se dále považuje:</w:t>
      </w:r>
      <w:bookmarkEnd w:id="48"/>
      <w:bookmarkEnd w:id="49"/>
      <w:bookmarkEnd w:id="51"/>
    </w:p>
    <w:p>
      <w:pPr>
        <w:pStyle w:val="Style12"/>
        <w:keepNext/>
        <w:keepLines/>
        <w:widowControl w:val="0"/>
        <w:numPr>
          <w:ilvl w:val="0"/>
          <w:numId w:val="3"/>
        </w:numPr>
        <w:shd w:val="clear" w:color="auto" w:fill="auto"/>
        <w:tabs>
          <w:tab w:pos="797" w:val="left"/>
        </w:tabs>
        <w:bidi w:val="0"/>
        <w:spacing w:before="0" w:after="0" w:line="240" w:lineRule="auto"/>
        <w:ind w:left="720" w:right="0" w:hanging="32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52"/>
      <w:bookmarkEnd w:id="53"/>
      <w:bookmarkEnd w:id="55"/>
    </w:p>
    <w:p>
      <w:pPr>
        <w:pStyle w:val="Style12"/>
        <w:keepNext/>
        <w:keepLines/>
        <w:widowControl w:val="0"/>
        <w:numPr>
          <w:ilvl w:val="0"/>
          <w:numId w:val="3"/>
        </w:numPr>
        <w:shd w:val="clear" w:color="auto" w:fill="auto"/>
        <w:tabs>
          <w:tab w:pos="806" w:val="left"/>
        </w:tabs>
        <w:bidi w:val="0"/>
        <w:spacing w:before="0" w:after="0" w:line="240" w:lineRule="auto"/>
        <w:ind w:left="720" w:right="0" w:hanging="32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zajištění povolení ke vstupu a vjezdu na pozemky (mimo pozemků ve vlastnictví objednatele),</w:t>
      </w:r>
      <w:bookmarkEnd w:id="56"/>
      <w:bookmarkEnd w:id="57"/>
      <w:bookmarkEnd w:id="59"/>
    </w:p>
    <w:p>
      <w:pPr>
        <w:pStyle w:val="Style12"/>
        <w:keepNext/>
        <w:keepLines/>
        <w:widowControl w:val="0"/>
        <w:numPr>
          <w:ilvl w:val="0"/>
          <w:numId w:val="3"/>
        </w:numPr>
        <w:shd w:val="clear" w:color="auto" w:fill="auto"/>
        <w:tabs>
          <w:tab w:pos="806" w:val="left"/>
        </w:tabs>
        <w:bidi w:val="0"/>
        <w:spacing w:before="0" w:after="0" w:line="240" w:lineRule="auto"/>
        <w:ind w:left="720" w:right="0" w:hanging="32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60"/>
      <w:bookmarkEnd w:id="61"/>
      <w:bookmarkEnd w:id="63"/>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zajištění povolení zvláštního užívání pozemní komunikace, bude-li potřeba,</w:t>
      </w:r>
      <w:bookmarkEnd w:id="64"/>
      <w:bookmarkEnd w:id="65"/>
      <w:bookmarkEnd w:id="67"/>
    </w:p>
    <w:p>
      <w:pPr>
        <w:pStyle w:val="Style12"/>
        <w:keepNext/>
        <w:keepLines/>
        <w:widowControl w:val="0"/>
        <w:numPr>
          <w:ilvl w:val="0"/>
          <w:numId w:val="3"/>
        </w:numPr>
        <w:shd w:val="clear" w:color="auto" w:fill="auto"/>
        <w:tabs>
          <w:tab w:pos="806" w:val="left"/>
        </w:tabs>
        <w:bidi w:val="0"/>
        <w:spacing w:before="0" w:after="0" w:line="240" w:lineRule="auto"/>
        <w:ind w:left="720" w:right="0" w:hanging="32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68"/>
      <w:bookmarkEnd w:id="69"/>
      <w:bookmarkEnd w:id="71"/>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zhotovitel zodpovídá za místo realizace díla i v době přerušení prací,</w:t>
      </w:r>
      <w:bookmarkEnd w:id="72"/>
      <w:bookmarkEnd w:id="73"/>
      <w:bookmarkEnd w:id="75"/>
    </w:p>
    <w:p>
      <w:pPr>
        <w:pStyle w:val="Style12"/>
        <w:keepNext/>
        <w:keepLines/>
        <w:widowControl w:val="0"/>
        <w:numPr>
          <w:ilvl w:val="0"/>
          <w:numId w:val="3"/>
        </w:numPr>
        <w:shd w:val="clear" w:color="auto" w:fill="auto"/>
        <w:tabs>
          <w:tab w:pos="806" w:val="left"/>
        </w:tabs>
        <w:bidi w:val="0"/>
        <w:spacing w:before="0" w:after="0" w:line="240" w:lineRule="auto"/>
        <w:ind w:left="720" w:right="0" w:hanging="32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6"/>
      <w:bookmarkEnd w:id="77"/>
      <w:bookmarkEnd w:id="79"/>
    </w:p>
    <w:p>
      <w:pPr>
        <w:pStyle w:val="Style2"/>
        <w:keepNext w:val="0"/>
        <w:keepLines w:val="0"/>
        <w:widowControl w:val="0"/>
        <w:numPr>
          <w:ilvl w:val="0"/>
          <w:numId w:val="3"/>
        </w:numPr>
        <w:shd w:val="clear" w:color="auto" w:fill="auto"/>
        <w:tabs>
          <w:tab w:pos="806" w:val="left"/>
        </w:tabs>
        <w:bidi w:val="0"/>
        <w:spacing w:before="0" w:after="0" w:line="240" w:lineRule="auto"/>
        <w:ind w:left="720" w:right="0" w:hanging="320"/>
        <w:jc w:val="both"/>
      </w:pPr>
      <w:bookmarkStart w:id="80" w:name="bookmark80"/>
      <w:bookmarkStart w:id="81" w:name="bookmark81"/>
      <w:bookmarkEnd w:id="80"/>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8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694" w:val="left"/>
        </w:tabs>
        <w:bidi w:val="0"/>
        <w:spacing w:before="0" w:line="240" w:lineRule="auto"/>
        <w:ind w:left="720" w:right="0" w:hanging="36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82"/>
      <w:bookmarkEnd w:id="83"/>
      <w:bookmarkEnd w:id="85"/>
    </w:p>
    <w:p>
      <w:pPr>
        <w:pStyle w:val="Style12"/>
        <w:keepNext/>
        <w:keepLines/>
        <w:widowControl w:val="0"/>
        <w:numPr>
          <w:ilvl w:val="0"/>
          <w:numId w:val="1"/>
        </w:numPr>
        <w:shd w:val="clear" w:color="auto" w:fill="auto"/>
        <w:tabs>
          <w:tab w:pos="382" w:val="left"/>
        </w:tabs>
        <w:bidi w:val="0"/>
        <w:spacing w:before="0" w:line="240" w:lineRule="auto"/>
        <w:ind w:left="300"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6"/>
      <w:bookmarkEnd w:id="87"/>
      <w:bookmarkEnd w:id="89"/>
    </w:p>
    <w:p>
      <w:pPr>
        <w:pStyle w:val="Style12"/>
        <w:keepNext/>
        <w:keepLines/>
        <w:widowControl w:val="0"/>
        <w:numPr>
          <w:ilvl w:val="0"/>
          <w:numId w:val="1"/>
        </w:numPr>
        <w:shd w:val="clear" w:color="auto" w:fill="auto"/>
        <w:tabs>
          <w:tab w:pos="382" w:val="left"/>
        </w:tabs>
        <w:bidi w:val="0"/>
        <w:spacing w:before="0" w:line="240" w:lineRule="auto"/>
        <w:ind w:left="300"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90"/>
      <w:bookmarkEnd w:id="91"/>
      <w:bookmarkEnd w:id="93"/>
    </w:p>
    <w:p>
      <w:pPr>
        <w:pStyle w:val="Style12"/>
        <w:keepNext/>
        <w:keepLines/>
        <w:widowControl w:val="0"/>
        <w:numPr>
          <w:ilvl w:val="0"/>
          <w:numId w:val="1"/>
        </w:numPr>
        <w:shd w:val="clear" w:color="auto" w:fill="auto"/>
        <w:tabs>
          <w:tab w:pos="382" w:val="left"/>
        </w:tabs>
        <w:bidi w:val="0"/>
        <w:spacing w:before="0" w:after="440" w:line="240" w:lineRule="auto"/>
        <w:ind w:left="300"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94"/>
      <w:bookmarkEnd w:id="95"/>
      <w:bookmarkEnd w:id="97"/>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Smluvní strany se dohodly na následujících lhůtách a podmínkách pro realizaci díla.</w:t>
      </w:r>
      <w:bookmarkEnd w:id="101"/>
      <w:bookmarkEnd w:id="98"/>
      <w:bookmarkEnd w:id="99"/>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102" w:name="bookmark102"/>
      <w:bookmarkEnd w:id="102"/>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103" w:name="bookmark103"/>
      <w:bookmarkEnd w:id="103"/>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104" w:name="bookmark104"/>
      <w:bookmarkEnd w:id="104"/>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Nejpozději do 31.12.2024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05"/>
      <w:bookmarkEnd w:id="106"/>
      <w:bookmarkEnd w:id="108"/>
    </w:p>
    <w:p>
      <w:pPr>
        <w:pStyle w:val="Style12"/>
        <w:keepNext/>
        <w:keepLines/>
        <w:widowControl w:val="0"/>
        <w:numPr>
          <w:ilvl w:val="0"/>
          <w:numId w:val="5"/>
        </w:numPr>
        <w:shd w:val="clear" w:color="auto" w:fill="auto"/>
        <w:tabs>
          <w:tab w:pos="382" w:val="left"/>
        </w:tabs>
        <w:bidi w:val="0"/>
        <w:spacing w:before="0" w:line="240" w:lineRule="auto"/>
        <w:ind w:left="300"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09"/>
      <w:bookmarkEnd w:id="110"/>
      <w:bookmarkEnd w:id="112"/>
    </w:p>
    <w:p>
      <w:pPr>
        <w:pStyle w:val="Style12"/>
        <w:keepNext/>
        <w:keepLines/>
        <w:widowControl w:val="0"/>
        <w:numPr>
          <w:ilvl w:val="0"/>
          <w:numId w:val="5"/>
        </w:numPr>
        <w:shd w:val="clear" w:color="auto" w:fill="auto"/>
        <w:tabs>
          <w:tab w:pos="382" w:val="left"/>
        </w:tabs>
        <w:bidi w:val="0"/>
        <w:spacing w:before="0" w:after="320" w:line="240" w:lineRule="auto"/>
        <w:ind w:left="300"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13"/>
      <w:bookmarkEnd w:id="114"/>
      <w:bookmarkEnd w:id="11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117" w:name="bookmark117"/>
      <w:bookmarkEnd w:id="117"/>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118" w:name="bookmark118"/>
      <w:bookmarkEnd w:id="118"/>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w:t>
      </w:r>
      <w:r>
        <w:rPr>
          <w:color w:val="000000"/>
          <w:spacing w:val="0"/>
          <w:w w:val="100"/>
          <w:position w:val="0"/>
          <w:shd w:val="clear" w:color="auto" w:fill="auto"/>
          <w:lang w:val="cs-CZ" w:eastAsia="cs-CZ" w:bidi="cs-CZ"/>
        </w:rPr>
        <w:t>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385"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w:t>
        <w:tab/>
        <w:t>72.000,00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21" w:name="bookmark121"/>
      <w:bookmarkEnd w:id="121"/>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0" w:line="240" w:lineRule="auto"/>
        <w:ind w:left="0" w:right="0" w:firstLine="0"/>
        <w:jc w:val="both"/>
      </w:pPr>
      <w:bookmarkStart w:id="122" w:name="bookmark122"/>
      <w:bookmarkEnd w:id="122"/>
      <w:r>
        <w:rPr>
          <w:color w:val="000000"/>
          <w:spacing w:val="0"/>
          <w:w w:val="100"/>
          <w:position w:val="0"/>
          <w:shd w:val="clear" w:color="auto" w:fill="auto"/>
          <w:lang w:val="cs-CZ" w:eastAsia="cs-CZ" w:bidi="cs-CZ"/>
        </w:rPr>
        <w:t>Cena díla bude hrazena po dokončení, předání a převzetí díla bez vad a nedodělků.</w:t>
      </w:r>
    </w:p>
    <w:p>
      <w:pPr>
        <w:pStyle w:val="Style2"/>
        <w:keepNext w:val="0"/>
        <w:keepLines w:val="0"/>
        <w:widowControl w:val="0"/>
        <w:shd w:val="clear" w:color="auto" w:fill="auto"/>
        <w:bidi w:val="0"/>
        <w:spacing w:before="0" w:after="0" w:line="240" w:lineRule="auto"/>
        <w:ind w:left="380" w:right="0" w:firstLine="0"/>
        <w:jc w:val="both"/>
      </w:pP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26" w:name="bookmark126"/>
      <w:bookmarkEnd w:id="12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32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92"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92" w:val="left"/>
        </w:tabs>
        <w:bidi w:val="0"/>
        <w:spacing w:before="0" w:line="240" w:lineRule="auto"/>
        <w:ind w:left="0" w:right="0" w:firstLine="0"/>
        <w:jc w:val="both"/>
      </w:pPr>
      <w:bookmarkStart w:id="139" w:name="bookmark139"/>
      <w:bookmarkEnd w:id="139"/>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40" w:name="bookmark140"/>
      <w:bookmarkEnd w:id="140"/>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41" w:name="bookmark141"/>
      <w:bookmarkEnd w:id="14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0" w:val="left"/>
        </w:tabs>
        <w:bidi w:val="0"/>
        <w:spacing w:before="0" w:line="240" w:lineRule="auto"/>
        <w:ind w:left="1020" w:right="0" w:hanging="620"/>
        <w:jc w:val="both"/>
      </w:pPr>
      <w:bookmarkStart w:id="142" w:name="bookmark142"/>
      <w:bookmarkEnd w:id="14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92"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92"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6"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6" w:val="left"/>
        </w:tabs>
        <w:bidi w:val="0"/>
        <w:spacing w:before="0" w:after="440" w:line="240" w:lineRule="auto"/>
        <w:ind w:left="380" w:right="0" w:hanging="3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48"/>
      <w:bookmarkEnd w:id="149"/>
      <w:bookmarkEnd w:id="151"/>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52" w:val="left"/>
        </w:tabs>
        <w:bidi w:val="0"/>
        <w:spacing w:before="0" w:after="0" w:line="240" w:lineRule="auto"/>
        <w:ind w:left="1160" w:right="0" w:hanging="36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55"/>
      <w:bookmarkEnd w:id="156"/>
      <w:bookmarkEnd w:id="158"/>
    </w:p>
    <w:p>
      <w:pPr>
        <w:pStyle w:val="Style12"/>
        <w:keepNext/>
        <w:keepLines/>
        <w:widowControl w:val="0"/>
        <w:numPr>
          <w:ilvl w:val="0"/>
          <w:numId w:val="25"/>
        </w:numPr>
        <w:shd w:val="clear" w:color="auto" w:fill="auto"/>
        <w:tabs>
          <w:tab w:pos="1152" w:val="left"/>
        </w:tabs>
        <w:bidi w:val="0"/>
        <w:spacing w:before="0" w:after="0" w:line="240" w:lineRule="auto"/>
        <w:ind w:left="0" w:right="0" w:firstLine="80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bezdůvodném přerušení prací zhotovitelem, které trvá více než 14 dnů,</w:t>
      </w:r>
      <w:bookmarkEnd w:id="159"/>
      <w:bookmarkEnd w:id="160"/>
      <w:bookmarkEnd w:id="162"/>
    </w:p>
    <w:p>
      <w:pPr>
        <w:pStyle w:val="Style12"/>
        <w:keepNext/>
        <w:keepLines/>
        <w:widowControl w:val="0"/>
        <w:numPr>
          <w:ilvl w:val="0"/>
          <w:numId w:val="25"/>
        </w:numPr>
        <w:shd w:val="clear" w:color="auto" w:fill="auto"/>
        <w:tabs>
          <w:tab w:pos="1152" w:val="left"/>
        </w:tabs>
        <w:bidi w:val="0"/>
        <w:spacing w:before="0" w:line="240" w:lineRule="auto"/>
        <w:ind w:left="0" w:right="0" w:firstLine="80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neplněním povinností zhotovitele vést řádně zápisy do stavebního deníku.</w:t>
      </w:r>
      <w:bookmarkEnd w:id="163"/>
      <w:bookmarkEnd w:id="164"/>
      <w:bookmarkEnd w:id="166"/>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6"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6" w:val="left"/>
        </w:tabs>
        <w:bidi w:val="0"/>
        <w:spacing w:before="0" w:line="240" w:lineRule="auto"/>
        <w:ind w:left="0" w:right="0" w:firstLine="0"/>
        <w:jc w:val="both"/>
      </w:pPr>
      <w:bookmarkStart w:id="170" w:name="bookmark170"/>
      <w:bookmarkEnd w:id="170"/>
      <w:r>
        <w:rPr>
          <w:color w:val="000000"/>
          <w:spacing w:val="0"/>
          <w:w w:val="100"/>
          <w:position w:val="0"/>
          <w:shd w:val="clear" w:color="auto" w:fill="auto"/>
          <w:lang w:val="cs-CZ" w:eastAsia="cs-CZ" w:bidi="cs-CZ"/>
        </w:rPr>
        <w:t xml:space="preserve">Smluvní strany níže svým podpisem stvrzují, že v průběhu vyjednávání o této Smlouvě </w:t>
      </w:r>
      <w:r>
        <w:rPr>
          <w:color w:val="000000"/>
          <w:spacing w:val="0"/>
          <w:w w:val="100"/>
          <w:position w:val="0"/>
          <w:shd w:val="clear" w:color="auto" w:fill="auto"/>
          <w:lang w:val="cs-CZ" w:eastAsia="cs-CZ" w:bidi="cs-CZ"/>
        </w:rPr>
        <w:t>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s>
        <w:bidi w:val="0"/>
        <w:spacing w:before="0" w:after="0" w:line="240" w:lineRule="auto"/>
        <w:ind w:left="0" w:right="0" w:firstLine="0"/>
        <w:jc w:val="both"/>
      </w:pPr>
      <w:bookmarkStart w:id="172" w:name="bookmark172"/>
      <w:bookmarkEnd w:id="172"/>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74" w:name="bookmark174"/>
      <w:bookmarkEnd w:id="17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 Priorita 1) Příloha č. 3: Čestné prohlášení k finančním sankcím</w:t>
      </w:r>
    </w:p>
    <w:p>
      <w:pPr>
        <w:pStyle w:val="Style2"/>
        <w:keepNext w:val="0"/>
        <w:keepLines w:val="0"/>
        <w:widowControl w:val="0"/>
        <w:shd w:val="clear" w:color="auto" w:fill="auto"/>
        <w:bidi w:val="0"/>
        <w:spacing w:before="0" w:line="240" w:lineRule="auto"/>
        <w:ind w:left="1460" w:right="0" w:hanging="108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65" w:left="1394" w:right="1384" w:bottom="1243"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4085590</wp:posOffset>
                </wp:positionH>
                <wp:positionV relativeFrom="paragraph">
                  <wp:posOffset>12700</wp:posOffset>
                </wp:positionV>
                <wp:extent cx="1222375" cy="228600"/>
                <wp:wrapSquare wrapText="left"/>
                <wp:docPr id="9" name="Shape 9"/>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69999999999999pt;margin-top:1.pt;width:96.25pt;height:18.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5" w:after="9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70" w:left="0" w:right="0" w:bottom="167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70" w:left="1394" w:right="2335" w:bottom="1670"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670" w:left="1394" w:right="2335" w:bottom="1670"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9959340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69999999999999pt;margin-top:784.20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5648960</wp:posOffset>
              </wp:positionH>
              <wp:positionV relativeFrom="page">
                <wp:posOffset>386715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4.80000000000001pt;margin-top:30.44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0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