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E7CD9" w14:textId="541ECBCF" w:rsidR="00436B20" w:rsidRPr="00275210" w:rsidRDefault="00504D55" w:rsidP="004D5B1F">
      <w:pPr>
        <w:pStyle w:val="Bezmezer"/>
        <w:spacing w:after="80"/>
        <w:ind w:left="567" w:hanging="567"/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ab/>
      </w:r>
    </w:p>
    <w:p w14:paraId="00F9BCE3" w14:textId="77777777" w:rsidR="00C55C93" w:rsidRPr="00275210" w:rsidRDefault="00C55C93" w:rsidP="004D5B1F">
      <w:pPr>
        <w:pStyle w:val="Bezmezer"/>
        <w:spacing w:after="80"/>
        <w:ind w:left="567" w:hanging="567"/>
        <w:jc w:val="center"/>
        <w:rPr>
          <w:rFonts w:cstheme="minorHAnsi"/>
          <w:b/>
        </w:rPr>
      </w:pPr>
    </w:p>
    <w:p w14:paraId="626AAAA0" w14:textId="77777777" w:rsidR="00744ABF" w:rsidRPr="008A665E" w:rsidRDefault="00744ABF" w:rsidP="004D5B1F">
      <w:pPr>
        <w:pStyle w:val="Bezmezer"/>
        <w:spacing w:after="80"/>
        <w:ind w:left="567" w:hanging="567"/>
        <w:rPr>
          <w:b/>
        </w:rPr>
      </w:pPr>
      <w:r w:rsidRPr="008A665E">
        <w:rPr>
          <w:b/>
        </w:rPr>
        <w:t>Národní památkový ústav</w:t>
      </w:r>
      <w:r w:rsidRPr="00AF4C90">
        <w:t>, státní příspěvková organizace</w:t>
      </w:r>
    </w:p>
    <w:p w14:paraId="3120A746" w14:textId="77777777" w:rsidR="00744ABF" w:rsidRPr="00275210" w:rsidRDefault="00744ABF" w:rsidP="004D5B1F">
      <w:pPr>
        <w:pStyle w:val="Bezmezer"/>
        <w:spacing w:after="80"/>
        <w:ind w:left="567" w:hanging="567"/>
      </w:pPr>
      <w:r w:rsidRPr="00275210">
        <w:t>IČO: 75032333, DIČ: CZ75032333</w:t>
      </w:r>
    </w:p>
    <w:p w14:paraId="4CBDF887" w14:textId="77777777" w:rsidR="00744ABF" w:rsidRPr="00275210" w:rsidRDefault="00744ABF" w:rsidP="004D5B1F">
      <w:pPr>
        <w:pStyle w:val="Bezmezer"/>
        <w:spacing w:after="80"/>
        <w:ind w:left="567" w:hanging="567"/>
      </w:pPr>
      <w:r w:rsidRPr="00275210">
        <w:t>se sídlem Valdštejnské náměstí 162/3, 118 01 Praha 1 - Malá Strana</w:t>
      </w:r>
    </w:p>
    <w:p w14:paraId="2EF4338D" w14:textId="77777777" w:rsidR="00744ABF" w:rsidRPr="00275210" w:rsidRDefault="00744ABF" w:rsidP="004D5B1F">
      <w:pPr>
        <w:pStyle w:val="Bezmezer"/>
        <w:spacing w:after="80"/>
        <w:ind w:left="567" w:hanging="567"/>
      </w:pPr>
      <w:r w:rsidRPr="00275210">
        <w:t>zastoupen: Mgr. František Chupík, Ph.D., ředitelem územního odborného pracoviště v Olomouci</w:t>
      </w:r>
    </w:p>
    <w:p w14:paraId="696A8043" w14:textId="77777777" w:rsidR="00744ABF" w:rsidRPr="00275210" w:rsidRDefault="00744ABF" w:rsidP="004D5B1F">
      <w:pPr>
        <w:pStyle w:val="Bezmezer"/>
        <w:spacing w:after="80"/>
        <w:ind w:left="567" w:hanging="567"/>
      </w:pPr>
      <w:r w:rsidRPr="00275210">
        <w:t>bankovní spojení: Česká národní banka, č. </w:t>
      </w:r>
      <w:proofErr w:type="spellStart"/>
      <w:r w:rsidRPr="00275210">
        <w:t>ú.</w:t>
      </w:r>
      <w:proofErr w:type="spellEnd"/>
      <w:r w:rsidRPr="00275210">
        <w:t>: 910004-60039011/0710</w:t>
      </w:r>
    </w:p>
    <w:p w14:paraId="35C77497" w14:textId="77777777" w:rsidR="00744ABF" w:rsidRPr="00275210" w:rsidRDefault="00744ABF" w:rsidP="004D5B1F">
      <w:pPr>
        <w:pStyle w:val="Bezmezer"/>
        <w:spacing w:after="80"/>
        <w:ind w:left="567" w:hanging="567"/>
      </w:pPr>
      <w:r w:rsidRPr="00275210">
        <w:rPr>
          <w:i/>
        </w:rPr>
        <w:t>zástupce pro věcná jednání: Mgr. František Chupík, Ph.D., 724 096 184, chupik.frantisek@npu.cz (dále jen „Zástupce objednatele“)</w:t>
      </w:r>
    </w:p>
    <w:p w14:paraId="3FD08E10" w14:textId="77777777" w:rsidR="00744ABF" w:rsidRPr="00275210" w:rsidRDefault="00744ABF" w:rsidP="004D5B1F">
      <w:pPr>
        <w:pStyle w:val="Bezmezer"/>
        <w:spacing w:after="80"/>
        <w:ind w:left="567" w:hanging="567"/>
        <w:rPr>
          <w:u w:val="single"/>
        </w:rPr>
      </w:pPr>
      <w:r w:rsidRPr="00275210">
        <w:rPr>
          <w:u w:val="single"/>
        </w:rPr>
        <w:t>Doručovací adresa:</w:t>
      </w:r>
    </w:p>
    <w:p w14:paraId="3EE6C10C" w14:textId="77777777" w:rsidR="00744ABF" w:rsidRPr="00275210" w:rsidRDefault="00744ABF" w:rsidP="004D5B1F">
      <w:pPr>
        <w:pStyle w:val="Bezmezer"/>
        <w:spacing w:after="80"/>
        <w:ind w:left="567" w:hanging="567"/>
      </w:pPr>
      <w:r w:rsidRPr="00275210">
        <w:t>Národní památkový ústav, územní odborné pracoviště v Olomouci</w:t>
      </w:r>
    </w:p>
    <w:p w14:paraId="3588BCE8" w14:textId="77777777" w:rsidR="00744ABF" w:rsidRPr="00275210" w:rsidRDefault="00744ABF" w:rsidP="004D5B1F">
      <w:pPr>
        <w:pStyle w:val="Bezmezer"/>
        <w:spacing w:after="80"/>
        <w:ind w:left="567" w:hanging="567"/>
        <w:rPr>
          <w:highlight w:val="lightGray"/>
        </w:rPr>
      </w:pPr>
      <w:r w:rsidRPr="00275210">
        <w:t>adresa: Horní náměstí 25, 779 00 Olomouc</w:t>
      </w:r>
    </w:p>
    <w:p w14:paraId="59C3D810" w14:textId="77777777" w:rsidR="00744ABF" w:rsidRPr="00275210" w:rsidRDefault="00744ABF" w:rsidP="004D5B1F">
      <w:pPr>
        <w:pStyle w:val="Bezmezer"/>
        <w:spacing w:after="80"/>
        <w:ind w:left="567" w:hanging="567"/>
      </w:pPr>
      <w:r w:rsidRPr="00275210">
        <w:t>(dále jen „</w:t>
      </w:r>
      <w:r w:rsidRPr="0021371B">
        <w:rPr>
          <w:b/>
          <w:i/>
        </w:rPr>
        <w:t>Objednatel</w:t>
      </w:r>
      <w:r w:rsidRPr="00275210">
        <w:t>“)</w:t>
      </w:r>
    </w:p>
    <w:p w14:paraId="4944B81A" w14:textId="77777777" w:rsidR="00744ABF" w:rsidRPr="00275210" w:rsidRDefault="00744ABF" w:rsidP="004D5B1F">
      <w:pPr>
        <w:pStyle w:val="Bezmezer"/>
        <w:spacing w:after="80"/>
        <w:ind w:left="567" w:hanging="567"/>
      </w:pPr>
    </w:p>
    <w:p w14:paraId="6C579290" w14:textId="77777777" w:rsidR="00744ABF" w:rsidRPr="00275210" w:rsidRDefault="00744ABF" w:rsidP="004D5B1F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567" w:hanging="567"/>
        <w:rPr>
          <w:rFonts w:cstheme="minorHAnsi"/>
          <w:color w:val="000000"/>
        </w:rPr>
      </w:pPr>
      <w:r w:rsidRPr="00275210">
        <w:rPr>
          <w:rFonts w:cstheme="minorHAnsi"/>
          <w:color w:val="000000"/>
        </w:rPr>
        <w:t>a</w:t>
      </w:r>
    </w:p>
    <w:p w14:paraId="769E8556" w14:textId="77777777" w:rsidR="00744ABF" w:rsidRDefault="00744ABF" w:rsidP="004D5B1F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80" w:line="240" w:lineRule="auto"/>
        <w:ind w:left="567" w:hanging="567"/>
        <w:rPr>
          <w:rFonts w:cstheme="minorHAnsi"/>
          <w:color w:val="000000"/>
        </w:rPr>
      </w:pPr>
    </w:p>
    <w:p w14:paraId="121ED420" w14:textId="77777777" w:rsidR="00621BD4" w:rsidRDefault="00621BD4" w:rsidP="00621BD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Ing. Martin </w:t>
      </w:r>
      <w:proofErr w:type="spellStart"/>
      <w:r>
        <w:rPr>
          <w:rFonts w:ascii="Calibri" w:hAnsi="Calibri" w:cs="Calibri"/>
          <w:b/>
        </w:rPr>
        <w:t>Trokan</w:t>
      </w:r>
      <w:proofErr w:type="spellEnd"/>
    </w:p>
    <w:p w14:paraId="43BC947C" w14:textId="77777777" w:rsidR="00621BD4" w:rsidRDefault="00621BD4" w:rsidP="00621BD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sídlem: </w:t>
      </w:r>
      <w:proofErr w:type="spellStart"/>
      <w:r>
        <w:rPr>
          <w:rFonts w:ascii="Calibri" w:hAnsi="Calibri" w:cs="Calibri"/>
        </w:rPr>
        <w:t>xxxxxxxxxxxxxxxxxxx</w:t>
      </w:r>
      <w:proofErr w:type="spellEnd"/>
    </w:p>
    <w:p w14:paraId="3499301D" w14:textId="77777777" w:rsidR="00621BD4" w:rsidRDefault="00621BD4" w:rsidP="00621BD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IČO: 68924879, DIČ: </w:t>
      </w:r>
      <w:proofErr w:type="spellStart"/>
      <w:r>
        <w:rPr>
          <w:rFonts w:ascii="Calibri" w:hAnsi="Calibri" w:cs="Calibri"/>
        </w:rPr>
        <w:t>xxxxxxxxxxxxxx</w:t>
      </w:r>
      <w:proofErr w:type="spellEnd"/>
    </w:p>
    <w:p w14:paraId="73D7A4EB" w14:textId="77777777" w:rsidR="00621BD4" w:rsidRDefault="00621BD4" w:rsidP="00621BD4">
      <w:pPr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>
        <w:rPr>
          <w:rFonts w:ascii="Calibri" w:hAnsi="Calibri" w:cs="Calibri"/>
          <w:bCs/>
        </w:rPr>
        <w:t>ástupce zhotovitele ve věcech smluvních i technických</w:t>
      </w:r>
      <w:r>
        <w:rPr>
          <w:rFonts w:ascii="Calibri" w:hAnsi="Calibri" w:cs="Calibri"/>
        </w:rPr>
        <w:t xml:space="preserve">: Ing. Martin </w:t>
      </w:r>
      <w:proofErr w:type="spellStart"/>
      <w:r>
        <w:rPr>
          <w:rFonts w:ascii="Calibri" w:hAnsi="Calibri" w:cs="Calibri"/>
        </w:rPr>
        <w:t>Trokan</w:t>
      </w:r>
      <w:proofErr w:type="spellEnd"/>
      <w:r>
        <w:rPr>
          <w:rFonts w:ascii="Calibri" w:hAnsi="Calibri" w:cs="Calibri"/>
        </w:rPr>
        <w:t xml:space="preserve"> (dále jen „</w:t>
      </w:r>
      <w:r>
        <w:rPr>
          <w:rFonts w:ascii="Calibri" w:hAnsi="Calibri" w:cs="Calibri"/>
          <w:i/>
        </w:rPr>
        <w:t>Z</w:t>
      </w:r>
      <w:r>
        <w:rPr>
          <w:rFonts w:ascii="Calibri" w:hAnsi="Calibri" w:cs="Calibri"/>
          <w:bCs/>
          <w:i/>
        </w:rPr>
        <w:t>ástupce zhotovitele“)</w:t>
      </w:r>
    </w:p>
    <w:p w14:paraId="32DECA27" w14:textId="77777777" w:rsidR="00621BD4" w:rsidRDefault="00621BD4" w:rsidP="00621BD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bankovní spojení: </w:t>
      </w:r>
      <w:proofErr w:type="spellStart"/>
      <w:r>
        <w:rPr>
          <w:rFonts w:ascii="Calibri" w:hAnsi="Calibri" w:cs="Calibri"/>
        </w:rPr>
        <w:t>xxxxxxxxxxxxxxxxxxxxxx</w:t>
      </w:r>
      <w:proofErr w:type="spellEnd"/>
    </w:p>
    <w:p w14:paraId="27FDFA88" w14:textId="77777777" w:rsidR="00621BD4" w:rsidRDefault="00621BD4" w:rsidP="00621BD4">
      <w:pPr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>
        <w:rPr>
          <w:rFonts w:ascii="Calibri" w:hAnsi="Calibri" w:cs="Calibri"/>
          <w:i/>
        </w:rPr>
        <w:t>Zhotovitel</w:t>
      </w:r>
      <w:r>
        <w:rPr>
          <w:rFonts w:ascii="Calibri" w:hAnsi="Calibri" w:cs="Calibri"/>
        </w:rPr>
        <w:t>“)</w:t>
      </w:r>
    </w:p>
    <w:p w14:paraId="3D430566" w14:textId="77777777" w:rsidR="00C55C93" w:rsidRDefault="00C55C93" w:rsidP="004D5B1F">
      <w:pPr>
        <w:pStyle w:val="Zkladntext21"/>
        <w:spacing w:after="80"/>
        <w:ind w:left="567" w:hanging="567"/>
        <w:rPr>
          <w:rStyle w:val="Siln"/>
          <w:rFonts w:asciiTheme="minorHAnsi" w:hAnsiTheme="minorHAnsi" w:cstheme="minorHAnsi"/>
          <w:bCs/>
          <w:sz w:val="22"/>
          <w:szCs w:val="22"/>
        </w:rPr>
      </w:pPr>
    </w:p>
    <w:p w14:paraId="648A8C61" w14:textId="59D6FF1C" w:rsidR="00AF4C90" w:rsidRDefault="00AF4C90" w:rsidP="004D5B1F">
      <w:pPr>
        <w:pStyle w:val="Zkladntext21"/>
        <w:spacing w:after="80"/>
        <w:ind w:left="567" w:hanging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AF4C9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dále jednotlivě jako smluvní strana nebo společně jako smluvní strany </w:t>
      </w:r>
    </w:p>
    <w:p w14:paraId="2805CE1C" w14:textId="77777777" w:rsidR="00AF4C90" w:rsidRPr="00AF4C90" w:rsidRDefault="00AF4C90" w:rsidP="004D5B1F">
      <w:pPr>
        <w:pStyle w:val="Zkladntext21"/>
        <w:spacing w:after="80"/>
        <w:ind w:left="567" w:hanging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</w:p>
    <w:p w14:paraId="3BD353F9" w14:textId="77777777" w:rsidR="00007019" w:rsidRDefault="00AF4C90" w:rsidP="004D5B1F">
      <w:pPr>
        <w:pStyle w:val="Zkladntext21"/>
        <w:spacing w:after="80"/>
        <w:ind w:left="567" w:hanging="567"/>
        <w:jc w:val="center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AF4C9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uzavřely níže uvedeného dne, měsíce a roku dle ust. § 1901 zákona č. 89/2012 Sb., občanský zákon, tento</w:t>
      </w:r>
    </w:p>
    <w:p w14:paraId="578A303F" w14:textId="77777777" w:rsidR="00007019" w:rsidRDefault="00007019" w:rsidP="004D5B1F">
      <w:pPr>
        <w:pStyle w:val="Zkladntext21"/>
        <w:spacing w:after="80"/>
        <w:ind w:left="567" w:hanging="567"/>
        <w:jc w:val="center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</w:p>
    <w:p w14:paraId="23486431" w14:textId="77777777" w:rsidR="00EA0A77" w:rsidRDefault="00AF4C90" w:rsidP="004D5B1F">
      <w:pPr>
        <w:pStyle w:val="Zkladntext21"/>
        <w:spacing w:after="80"/>
        <w:ind w:left="567" w:hanging="567"/>
        <w:jc w:val="center"/>
        <w:rPr>
          <w:rStyle w:val="Siln"/>
          <w:rFonts w:asciiTheme="minorHAnsi" w:hAnsiTheme="minorHAnsi" w:cstheme="minorHAnsi"/>
          <w:bCs/>
        </w:rPr>
      </w:pPr>
      <w:r w:rsidRPr="00EA0A77">
        <w:rPr>
          <w:rStyle w:val="Siln"/>
          <w:rFonts w:asciiTheme="minorHAnsi" w:hAnsiTheme="minorHAnsi" w:cstheme="minorHAnsi"/>
          <w:b w:val="0"/>
          <w:bCs/>
        </w:rPr>
        <w:t xml:space="preserve"> </w:t>
      </w:r>
      <w:r w:rsidRPr="00EA0A77">
        <w:rPr>
          <w:rStyle w:val="Siln"/>
          <w:rFonts w:asciiTheme="minorHAnsi" w:hAnsiTheme="minorHAnsi" w:cstheme="minorHAnsi"/>
          <w:bCs/>
        </w:rPr>
        <w:t>dodatek č. 3 ke smlouvě o dílo</w:t>
      </w:r>
      <w:r w:rsidR="00EA0A77" w:rsidRPr="00EA0A77">
        <w:rPr>
          <w:rStyle w:val="Siln"/>
          <w:rFonts w:asciiTheme="minorHAnsi" w:hAnsiTheme="minorHAnsi" w:cstheme="minorHAnsi"/>
          <w:bCs/>
        </w:rPr>
        <w:t xml:space="preserve"> </w:t>
      </w:r>
    </w:p>
    <w:p w14:paraId="2715212B" w14:textId="2B38607A" w:rsidR="00AF4C90" w:rsidRPr="00EA0A77" w:rsidRDefault="00EA0A77" w:rsidP="004D5B1F">
      <w:pPr>
        <w:pStyle w:val="Zkladntext21"/>
        <w:spacing w:after="80"/>
        <w:ind w:left="567" w:hanging="567"/>
        <w:jc w:val="center"/>
        <w:rPr>
          <w:rStyle w:val="Siln"/>
          <w:rFonts w:asciiTheme="minorHAnsi" w:hAnsiTheme="minorHAnsi" w:cstheme="minorHAnsi"/>
          <w:bCs/>
        </w:rPr>
      </w:pPr>
      <w:r w:rsidRPr="00EA0A77">
        <w:rPr>
          <w:rStyle w:val="Siln"/>
          <w:rFonts w:asciiTheme="minorHAnsi" w:hAnsiTheme="minorHAnsi" w:cstheme="minorHAnsi"/>
          <w:b w:val="0"/>
          <w:bCs/>
        </w:rPr>
        <w:t xml:space="preserve">ze </w:t>
      </w:r>
      <w:r w:rsidRPr="00EA0A77">
        <w:rPr>
          <w:rStyle w:val="Siln"/>
          <w:rFonts w:asciiTheme="minorHAnsi" w:hAnsiTheme="minorHAnsi" w:cstheme="minorHAnsi"/>
          <w:b w:val="0"/>
          <w:bCs/>
          <w:spacing w:val="-2"/>
        </w:rPr>
        <w:t>dne 16. 1. 2019, č.j. smlouvy NPÚ – 391/3009/2019, ev. č. 1/391/19, ve znění dodatku č. 1 a č. 2</w:t>
      </w:r>
    </w:p>
    <w:p w14:paraId="13CC7E47" w14:textId="77777777" w:rsidR="00AF4C90" w:rsidRDefault="00AF4C90" w:rsidP="004D5B1F">
      <w:pPr>
        <w:pStyle w:val="Zkladntext21"/>
        <w:spacing w:after="80"/>
        <w:ind w:left="567" w:hanging="567"/>
        <w:jc w:val="center"/>
        <w:rPr>
          <w:rStyle w:val="Siln"/>
          <w:rFonts w:asciiTheme="minorHAnsi" w:hAnsiTheme="minorHAnsi" w:cstheme="minorHAnsi"/>
          <w:bCs/>
          <w:sz w:val="22"/>
          <w:szCs w:val="22"/>
        </w:rPr>
      </w:pPr>
    </w:p>
    <w:p w14:paraId="4F32FED5" w14:textId="204BB787" w:rsidR="00C55C93" w:rsidRPr="00275210" w:rsidRDefault="005C04F0" w:rsidP="004D5B1F">
      <w:pPr>
        <w:pStyle w:val="Zkladntext21"/>
        <w:spacing w:after="80"/>
        <w:ind w:left="567" w:hanging="567"/>
        <w:jc w:val="center"/>
        <w:rPr>
          <w:rStyle w:val="Siln"/>
          <w:rFonts w:asciiTheme="minorHAnsi" w:hAnsiTheme="minorHAnsi" w:cstheme="minorHAnsi"/>
          <w:bCs/>
          <w:sz w:val="22"/>
          <w:szCs w:val="22"/>
        </w:rPr>
      </w:pPr>
      <w:r>
        <w:rPr>
          <w:rStyle w:val="Siln"/>
          <w:rFonts w:asciiTheme="minorHAnsi" w:hAnsiTheme="minorHAnsi" w:cstheme="minorHAnsi"/>
          <w:bCs/>
          <w:sz w:val="22"/>
          <w:szCs w:val="22"/>
        </w:rPr>
        <w:t>Preambule</w:t>
      </w:r>
    </w:p>
    <w:p w14:paraId="7391269F" w14:textId="77777777" w:rsidR="005C04F0" w:rsidRPr="00552CF5" w:rsidRDefault="005C04F0" w:rsidP="004D5B1F">
      <w:pPr>
        <w:pStyle w:val="Zkladntext21"/>
        <w:spacing w:after="80"/>
        <w:ind w:left="567" w:hanging="567"/>
        <w:rPr>
          <w:rStyle w:val="Siln"/>
          <w:rFonts w:asciiTheme="minorHAnsi" w:hAnsiTheme="minorHAnsi" w:cstheme="minorHAnsi"/>
          <w:bCs/>
          <w:sz w:val="22"/>
          <w:szCs w:val="22"/>
        </w:rPr>
      </w:pPr>
    </w:p>
    <w:p w14:paraId="77E980B5" w14:textId="3A7A86CF" w:rsidR="00C55C93" w:rsidRPr="00275210" w:rsidRDefault="00276E31" w:rsidP="004D5B1F">
      <w:pPr>
        <w:pStyle w:val="Zkladntext21"/>
        <w:numPr>
          <w:ilvl w:val="0"/>
          <w:numId w:val="1"/>
        </w:numPr>
        <w:spacing w:after="80"/>
        <w:ind w:left="567" w:hanging="567"/>
        <w:rPr>
          <w:rStyle w:val="Siln"/>
          <w:rFonts w:asciiTheme="minorHAnsi" w:hAnsiTheme="minorHAnsi" w:cstheme="minorHAnsi"/>
          <w:bCs/>
          <w:sz w:val="22"/>
          <w:szCs w:val="22"/>
        </w:rPr>
      </w:pPr>
      <w:r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Smluvní strany uzavřely 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na základě výsledku veřejné zakázky </w:t>
      </w:r>
      <w:r w:rsidR="00074EA2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malého rozsahu zadávané mimo režim zákona č. 134/2016 Sb., o zadávání veřejných zakázek, v účinném znění (dále jen „ZZVZ“), 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pod názvem:</w:t>
      </w:r>
      <w:r w:rsidR="005C04F0" w:rsidRP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</w:t>
      </w:r>
      <w:r w:rsidR="00F86EDD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„</w:t>
      </w:r>
      <w:r w:rsidR="005C04F0" w:rsidRPr="00CC2A73">
        <w:rPr>
          <w:rStyle w:val="Siln"/>
          <w:rFonts w:asciiTheme="minorHAnsi" w:hAnsiTheme="minorHAnsi" w:cstheme="minorHAnsi"/>
          <w:bCs/>
          <w:i/>
          <w:spacing w:val="-2"/>
          <w:sz w:val="22"/>
          <w:szCs w:val="22"/>
        </w:rPr>
        <w:t xml:space="preserve">NPÚ, ÚOP v Olomouci – </w:t>
      </w:r>
      <w:r w:rsidR="00F86EDD" w:rsidRPr="00CC2A73">
        <w:rPr>
          <w:rStyle w:val="Siln"/>
          <w:rFonts w:asciiTheme="minorHAnsi" w:hAnsiTheme="minorHAnsi" w:cstheme="minorHAnsi"/>
          <w:bCs/>
          <w:i/>
          <w:spacing w:val="-2"/>
          <w:sz w:val="22"/>
          <w:szCs w:val="22"/>
        </w:rPr>
        <w:t>Projektová dokumentace výstavby</w:t>
      </w:r>
      <w:r w:rsidR="005C04F0" w:rsidRPr="00CC2A73">
        <w:rPr>
          <w:rStyle w:val="Siln"/>
          <w:rFonts w:asciiTheme="minorHAnsi" w:hAnsiTheme="minorHAnsi" w:cstheme="minorHAnsi"/>
          <w:bCs/>
          <w:i/>
          <w:spacing w:val="-2"/>
          <w:sz w:val="22"/>
          <w:szCs w:val="22"/>
        </w:rPr>
        <w:t xml:space="preserve"> depozitního skladu a technického zázemí</w:t>
      </w:r>
      <w:r w:rsidR="00F86EDD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“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, ev. č. NEN: </w:t>
      </w:r>
      <w:r w:rsidR="00F86EDD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N006/18/V00029887</w:t>
      </w:r>
      <w:r w:rsidR="005C04F0" w:rsidRP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(dále jen „</w:t>
      </w:r>
      <w:r w:rsidR="005C04F0" w:rsidRPr="00552CF5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Veřejná zakázka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“)</w:t>
      </w:r>
      <w:r w:rsidR="005C04F0" w:rsidRP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s</w:t>
      </w:r>
      <w:r w:rsidR="005C04F0"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mlouvu o dílo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</w:t>
      </w:r>
      <w:r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dne </w:t>
      </w:r>
      <w:r w:rsidR="00F86EDD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16. 1. 2019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, č.</w:t>
      </w:r>
      <w:r w:rsidR="0024523C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j.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smlouvy </w:t>
      </w:r>
      <w:r w:rsidR="0024523C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NPÚ – 391/3009/2019, ev. č. 1/391/19</w:t>
      </w:r>
      <w:r w:rsidR="005F0FE8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, ve znění dodatku č. 1 a dodatku č. 2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</w:t>
      </w:r>
      <w:r w:rsidR="00A0340D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(dále jen „</w:t>
      </w:r>
      <w:r w:rsidR="00A0340D" w:rsidRPr="00552CF5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Smlouva</w:t>
      </w:r>
      <w:r w:rsidR="00A0340D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“)</w:t>
      </w:r>
      <w:r w:rsidR="00C237AF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, jejímž předmětem bylo mj. zpracování projektové dokumentace</w:t>
      </w:r>
      <w:r w:rsidR="00EA54D9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, inženýrská činnost a výkon autorského dozoru v průběhu stavby</w:t>
      </w:r>
      <w:r w:rsidR="00FB2023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27E85B57" w14:textId="39DBD332" w:rsidR="00B241B8" w:rsidRPr="00B241B8" w:rsidRDefault="00B241B8" w:rsidP="004D5B1F">
      <w:pPr>
        <w:pStyle w:val="Zkladntext21"/>
        <w:numPr>
          <w:ilvl w:val="0"/>
          <w:numId w:val="1"/>
        </w:numPr>
        <w:spacing w:after="80"/>
        <w:ind w:left="567" w:hanging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B241B8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Vzhledem k tomu, že</w:t>
      </w:r>
      <w:r w:rsidR="00097C2E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:</w:t>
      </w:r>
      <w:r w:rsidRPr="00B241B8">
        <w:rPr>
          <w:rStyle w:val="Siln"/>
          <w:rFonts w:asciiTheme="minorHAnsi" w:hAnsiTheme="minorHAnsi" w:cstheme="minorHAnsi"/>
          <w:bCs/>
          <w:i/>
          <w:spacing w:val="-2"/>
          <w:sz w:val="22"/>
          <w:szCs w:val="22"/>
        </w:rPr>
        <w:t xml:space="preserve"> </w:t>
      </w:r>
    </w:p>
    <w:p w14:paraId="09BF04DC" w14:textId="19E6B1CD" w:rsidR="00DA6C95" w:rsidRPr="00DA6C95" w:rsidRDefault="00B241B8" w:rsidP="004D5B1F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lastRenderedPageBreak/>
        <w:t xml:space="preserve">Objednatel </w:t>
      </w:r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uzavřel </w:t>
      </w:r>
      <w:r w:rsidR="007C0F10"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dne 29. 7. 2024</w:t>
      </w:r>
      <w:r w:rsidR="007C0F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, </w:t>
      </w:r>
      <w:r w:rsidR="00097C2E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smlouvu o dílo, </w:t>
      </w:r>
      <w:r w:rsidR="007C0F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ev. č. smlouvy </w:t>
      </w:r>
      <w:r w:rsidR="007C0F10" w:rsidRP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37/391/2024</w:t>
      </w:r>
      <w:r w:rsidR="007C0F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,</w:t>
      </w:r>
      <w:r w:rsid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na provedení stavebních prací </w:t>
      </w:r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pod označením:</w:t>
      </w:r>
      <w:r w:rsidR="007C0F10" w:rsidRPr="007C0F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„</w:t>
      </w:r>
      <w:r w:rsidR="007C0F10" w:rsidRPr="007C0F10">
        <w:rPr>
          <w:rStyle w:val="Siln"/>
          <w:rFonts w:asciiTheme="minorHAnsi" w:hAnsiTheme="minorHAnsi" w:cstheme="minorHAnsi"/>
          <w:bCs/>
          <w:i/>
          <w:spacing w:val="-2"/>
          <w:sz w:val="22"/>
          <w:szCs w:val="22"/>
        </w:rPr>
        <w:t>NPÚ, ÚOP v Olomouci – Výstavba depozitního skladu a technického zázemí s fotovoltaickou elektrárnou</w:t>
      </w:r>
      <w:r w:rsidR="007C0F10" w:rsidRPr="007C0F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“ (dále jen „</w:t>
      </w:r>
      <w:r w:rsidR="007C0F10" w:rsidRPr="00B81BD5">
        <w:rPr>
          <w:rStyle w:val="Siln"/>
          <w:rFonts w:asciiTheme="minorHAnsi" w:hAnsiTheme="minorHAnsi" w:cstheme="minorHAnsi"/>
          <w:bCs/>
          <w:i/>
          <w:spacing w:val="-2"/>
          <w:sz w:val="22"/>
          <w:szCs w:val="22"/>
        </w:rPr>
        <w:t>Stavba</w:t>
      </w:r>
      <w:r w:rsidR="007C0F10" w:rsidRPr="007C0F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“)</w:t>
      </w:r>
      <w:r w:rsidR="007C0F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,</w:t>
      </w:r>
      <w:r w:rsidR="007C0F10" w:rsidRPr="007C0F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</w:t>
      </w:r>
      <w:r w:rsidR="007C0F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se </w:t>
      </w:r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zhotovitelem stavby společností BBP – </w:t>
      </w:r>
      <w:proofErr w:type="spellStart"/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Kami</w:t>
      </w:r>
      <w:proofErr w:type="spellEnd"/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spellStart"/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group</w:t>
      </w:r>
      <w:proofErr w:type="spellEnd"/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tvořené </w:t>
      </w:r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vedoucí</w:t>
      </w:r>
      <w:r w:rsid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m</w:t>
      </w:r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společník</w:t>
      </w:r>
      <w:r w:rsid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em</w:t>
      </w:r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: BBP Stavby s.r.o., se sídlem Korunovační 103/6, Bubeneč, 17000 Praha 7, IČO: 03875199, a společník</w:t>
      </w:r>
      <w:r w:rsidR="00DA6C95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em</w:t>
      </w:r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1: KAMI PROFIT, s.r.o.</w:t>
      </w:r>
      <w:r w:rsid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proofErr w:type="spellStart"/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Pri</w:t>
      </w:r>
      <w:proofErr w:type="spellEnd"/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spellStart"/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starom</w:t>
      </w:r>
      <w:proofErr w:type="spellEnd"/>
      <w:r w:rsidR="007C0F10"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letisku 9219/17, Bratislava, Slovenská republika, IČ: 35943301</w:t>
      </w:r>
      <w:r w:rsidR="00DA6C95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,</w:t>
      </w:r>
    </w:p>
    <w:p w14:paraId="7D83A704" w14:textId="0E9239E6" w:rsidR="00CD427E" w:rsidRDefault="00B241B8" w:rsidP="004D5B1F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po zahájení </w:t>
      </w:r>
      <w:r w:rsidR="00992B7B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S</w:t>
      </w:r>
      <w:r w:rsidRPr="007C0F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tavby</w:t>
      </w:r>
      <w:r w:rsidR="00CD427E" w:rsidRPr="007C0F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byla provedena fyzická sonda, z jejíž závěrů vyplynula jiná únosnost podloží,</w:t>
      </w:r>
      <w:r w:rsidR="00C237AF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než s jakou bylo počítáno dle zpracované projektové dokumentace</w:t>
      </w:r>
      <w:r w:rsidR="004D5B1F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dle Smlouvy,</w:t>
      </w:r>
    </w:p>
    <w:p w14:paraId="29020D08" w14:textId="56D40467" w:rsidR="006870B0" w:rsidRPr="004D5B1F" w:rsidRDefault="004D5B1F" w:rsidP="004D5B1F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je nutné provést aktualizaci projektové dokumentace v části statiky, </w:t>
      </w:r>
      <w:r w:rsidR="00E07203" w:rsidRPr="004D5B1F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nový </w:t>
      </w:r>
      <w:r w:rsidR="0057601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inženýrsko</w:t>
      </w:r>
      <w:r w:rsidR="00DE0C95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-</w:t>
      </w:r>
      <w:r w:rsidR="0057601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geologický průzkum</w:t>
      </w:r>
      <w:r w:rsidR="00E07203" w:rsidRPr="004D5B1F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a s tím související opravu projektové dokumentace</w:t>
      </w:r>
      <w:r w:rsidR="00E07203" w:rsidRPr="004D5B1F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v rozsahu základů</w:t>
      </w:r>
      <w:r w:rsidR="003D73B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Stavby a</w:t>
      </w:r>
      <w:r w:rsidR="00E07203" w:rsidRPr="004D5B1F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dále </w:t>
      </w:r>
      <w:r w:rsidR="00E07203" w:rsidRPr="004D5B1F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inženýrskou činnost pro změnu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Stavby před dokončením,</w:t>
      </w:r>
    </w:p>
    <w:p w14:paraId="175CE413" w14:textId="034CD9BB" w:rsidR="004D5B1F" w:rsidRPr="004D5B1F" w:rsidRDefault="004D5B1F" w:rsidP="004D5B1F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se smluvní strany dohodly na uzavření tohoto dodatku č. 3 ke Smlouvě (dále jen „</w:t>
      </w:r>
      <w:r w:rsidRPr="004D5B1F">
        <w:rPr>
          <w:rStyle w:val="Siln"/>
          <w:rFonts w:asciiTheme="minorHAnsi" w:hAnsiTheme="minorHAnsi" w:cstheme="minorHAnsi"/>
          <w:bCs/>
          <w:i/>
          <w:sz w:val="22"/>
          <w:szCs w:val="22"/>
        </w:rPr>
        <w:t>Dodatek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“). </w:t>
      </w:r>
    </w:p>
    <w:p w14:paraId="09F57216" w14:textId="77777777" w:rsidR="005C04F0" w:rsidRDefault="005C04F0" w:rsidP="004D5B1F">
      <w:pPr>
        <w:pStyle w:val="Zkladntext21"/>
        <w:spacing w:after="80"/>
        <w:ind w:left="567" w:hanging="567"/>
        <w:rPr>
          <w:rStyle w:val="Siln"/>
          <w:rFonts w:asciiTheme="minorHAnsi" w:hAnsiTheme="minorHAnsi" w:cstheme="minorHAnsi"/>
          <w:bCs/>
          <w:sz w:val="22"/>
          <w:szCs w:val="22"/>
        </w:rPr>
      </w:pPr>
    </w:p>
    <w:p w14:paraId="328DEE23" w14:textId="2A82230E" w:rsidR="005C04F0" w:rsidRPr="00275210" w:rsidRDefault="005C04F0" w:rsidP="004D5B1F">
      <w:pPr>
        <w:pStyle w:val="Zkladntext21"/>
        <w:spacing w:after="80"/>
        <w:ind w:left="567" w:hanging="567"/>
        <w:jc w:val="center"/>
        <w:rPr>
          <w:rStyle w:val="Siln"/>
          <w:rFonts w:asciiTheme="minorHAnsi" w:hAnsiTheme="minorHAnsi" w:cstheme="minorHAnsi"/>
          <w:bCs/>
          <w:sz w:val="22"/>
          <w:szCs w:val="22"/>
        </w:rPr>
      </w:pPr>
      <w:r>
        <w:rPr>
          <w:rStyle w:val="Siln"/>
          <w:rFonts w:asciiTheme="minorHAnsi" w:hAnsiTheme="minorHAnsi" w:cstheme="minorHAnsi"/>
          <w:bCs/>
          <w:sz w:val="22"/>
          <w:szCs w:val="22"/>
        </w:rPr>
        <w:t xml:space="preserve">Čl. II </w:t>
      </w:r>
      <w:r>
        <w:rPr>
          <w:rStyle w:val="Siln"/>
          <w:rFonts w:asciiTheme="minorHAnsi" w:hAnsiTheme="minorHAnsi" w:cstheme="minorHAnsi"/>
          <w:bCs/>
          <w:sz w:val="22"/>
          <w:szCs w:val="22"/>
        </w:rPr>
        <w:tab/>
      </w:r>
      <w:r w:rsidRPr="00275210">
        <w:rPr>
          <w:rStyle w:val="Siln"/>
          <w:rFonts w:asciiTheme="minorHAnsi" w:hAnsiTheme="minorHAnsi" w:cstheme="minorHAnsi"/>
          <w:bCs/>
          <w:sz w:val="22"/>
          <w:szCs w:val="22"/>
        </w:rPr>
        <w:t xml:space="preserve">Předmět </w:t>
      </w:r>
      <w:r>
        <w:rPr>
          <w:rStyle w:val="Siln"/>
          <w:rFonts w:asciiTheme="minorHAnsi" w:hAnsiTheme="minorHAnsi" w:cstheme="minorHAnsi"/>
          <w:bCs/>
          <w:sz w:val="22"/>
          <w:szCs w:val="22"/>
        </w:rPr>
        <w:t>D</w:t>
      </w:r>
      <w:r w:rsidRPr="00275210">
        <w:rPr>
          <w:rStyle w:val="Siln"/>
          <w:rFonts w:asciiTheme="minorHAnsi" w:hAnsiTheme="minorHAnsi" w:cstheme="minorHAnsi"/>
          <w:bCs/>
          <w:sz w:val="22"/>
          <w:szCs w:val="22"/>
        </w:rPr>
        <w:t>odatku</w:t>
      </w:r>
    </w:p>
    <w:p w14:paraId="5CEA4200" w14:textId="4F18F98A" w:rsidR="001C491D" w:rsidRDefault="00E60ACE" w:rsidP="001C491D">
      <w:pPr>
        <w:pStyle w:val="Zkladntext21"/>
        <w:numPr>
          <w:ilvl w:val="0"/>
          <w:numId w:val="9"/>
        </w:numPr>
        <w:spacing w:after="80"/>
        <w:ind w:left="567" w:hanging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S ohledem na výše uvedené skutečnosti se smluvní strany dohodly na změně Smlouvy, konkrétně </w:t>
      </w:r>
      <w:r w:rsidR="008343C8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na</w:t>
      </w:r>
      <w:r w:rsidR="00662D41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 </w:t>
      </w:r>
      <w:r w:rsidR="008343C8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provedení </w:t>
      </w:r>
      <w:r w:rsidR="0040201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následujících </w:t>
      </w:r>
      <w:r w:rsidR="008343C8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víceprací</w:t>
      </w:r>
      <w:r w:rsidR="00A5003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:</w:t>
      </w:r>
    </w:p>
    <w:p w14:paraId="5D2E0CD9" w14:textId="77777777" w:rsidR="007E5A48" w:rsidRPr="00540284" w:rsidRDefault="00A50034" w:rsidP="00A50034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Předmětem plnění je také</w:t>
      </w:r>
      <w:r w:rsidR="007E5A48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:</w:t>
      </w:r>
    </w:p>
    <w:p w14:paraId="6D81D4ED" w14:textId="63D6C3D2" w:rsidR="007E5A48" w:rsidRPr="00540284" w:rsidRDefault="00DA24FD" w:rsidP="007E5A48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1.1. </w:t>
      </w:r>
      <w:r w:rsidR="007E5A48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provedení nového inženýrsko</w:t>
      </w:r>
      <w:r w:rsidR="00353750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-</w:t>
      </w:r>
      <w:r w:rsidR="007E5A48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geologického průzkumu,</w:t>
      </w:r>
      <w:r w:rsidR="00304EC1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28506A30" w14:textId="7FF58BDA" w:rsidR="00353750" w:rsidRPr="00540284" w:rsidRDefault="00DA24FD" w:rsidP="007E5A48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1.2. </w:t>
      </w:r>
      <w:r w:rsidR="007E5A48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dle závěrů provedeného průzkumu </w:t>
      </w:r>
      <w:r w:rsidR="00C46619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aktualizace, resp. </w:t>
      </w:r>
      <w:r w:rsidR="00F20D6B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zpracování </w:t>
      </w:r>
      <w:r w:rsidR="00F30A85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části </w:t>
      </w:r>
      <w:r w:rsidR="00F20D6B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projektové dokumentace pro</w:t>
      </w:r>
      <w:r w:rsidR="00C46619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 </w:t>
      </w:r>
      <w:r w:rsidR="00F20D6B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povolení záměru ve</w:t>
      </w:r>
      <w:r w:rsidR="00353750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 </w:t>
      </w:r>
      <w:r w:rsidR="00F20D6B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smyslu ust. § 224 zákona č. 283/2024 Sb., stavební zákon, </w:t>
      </w:r>
      <w:r w:rsidR="00615493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pro </w:t>
      </w:r>
      <w:r w:rsidR="007B3520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účely </w:t>
      </w:r>
      <w:r w:rsidR="00615493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podání žádosti o změnu záměru (Stavby) před dokončením</w:t>
      </w:r>
      <w:r w:rsidR="00CA7319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,</w:t>
      </w:r>
      <w:r w:rsidR="00353750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a to v části statik</w:t>
      </w:r>
      <w:r w:rsidR="00DE0C95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a</w:t>
      </w:r>
      <w:r w:rsidR="00353750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,</w:t>
      </w:r>
      <w:r w:rsidR="00F30A85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vč. statického výpočtu základů a výkresovou část nového založení stavby,</w:t>
      </w:r>
      <w:r w:rsidR="00CA7319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0C9F7C39" w14:textId="02AC2FF4" w:rsidR="00EA7ECE" w:rsidRPr="00540284" w:rsidRDefault="00DA24FD" w:rsidP="007E5A48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1.3. </w:t>
      </w:r>
      <w:r w:rsidR="003F690C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zajištění inženýrské činnosti pro změnu Stavby před dokončením, tj. podání žádosti o změnu záměru (Stavby) před dokončením</w:t>
      </w:r>
      <w:r w:rsidR="00E7227E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, zajištění vydání povolení změny Stavby před dokončením</w:t>
      </w:r>
      <w:r w:rsidR="0073477E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643C1D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zastupování Objednatele ve stavebním řízení, </w:t>
      </w:r>
      <w:r w:rsidR="0073477E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případná vyjádření v řízení před orgány veřejné správy, účast při jednáních či při odvolacích řízení aj.</w:t>
      </w:r>
      <w:r w:rsidR="0084084C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,</w:t>
      </w:r>
    </w:p>
    <w:p w14:paraId="45188E92" w14:textId="5BDA2171" w:rsidR="0084084C" w:rsidRPr="00540284" w:rsidRDefault="00DA24FD" w:rsidP="007E5A48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1.4. </w:t>
      </w:r>
      <w:r w:rsidR="0084084C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zpracování, resp. aktualizace projektové dokumentace pro provádění Stavby v části statiky v souladu s ust. § 157 odst. 1 písm. d) zákona č. 283/2024 Sb., stavební zákon</w:t>
      </w:r>
      <w:r w:rsidR="005D659A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,</w:t>
      </w:r>
      <w:r w:rsidR="00A5174B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včetně aktualizovaného soupisu stavebních prací, dodávek a služeb s výkazem výměr, v části statiky, a kontrolního rozpočtu v této části,</w:t>
      </w:r>
    </w:p>
    <w:p w14:paraId="17390AC2" w14:textId="14E631CD" w:rsidR="005D659A" w:rsidRPr="00540284" w:rsidRDefault="00904025" w:rsidP="00D73002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D73002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(dále jen „</w:t>
      </w:r>
      <w:r w:rsidR="00D73002" w:rsidRPr="00D7252B">
        <w:rPr>
          <w:rStyle w:val="Siln"/>
          <w:rFonts w:asciiTheme="minorHAnsi" w:hAnsiTheme="minorHAnsi" w:cstheme="minorHAnsi"/>
          <w:bCs/>
          <w:i/>
          <w:sz w:val="22"/>
          <w:szCs w:val="22"/>
        </w:rPr>
        <w:t>vícepráce</w:t>
      </w:r>
      <w:r w:rsidR="00D73002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“). </w:t>
      </w:r>
      <w:r w:rsidR="005D659A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139C584C" w14:textId="73B2EEAC" w:rsidR="003F690C" w:rsidRPr="00540284" w:rsidRDefault="000A7F4F" w:rsidP="000A7F4F">
      <w:pPr>
        <w:pStyle w:val="Zkladntext21"/>
        <w:numPr>
          <w:ilvl w:val="0"/>
          <w:numId w:val="9"/>
        </w:numPr>
        <w:spacing w:after="80"/>
        <w:ind w:left="567" w:hanging="567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 w:rsidRPr="00540284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Doba pro dokončení víceprací dle tohoto Dodatku je stanovena takto:</w:t>
      </w:r>
    </w:p>
    <w:p w14:paraId="31C63C3D" w14:textId="3611A332" w:rsidR="000A7F4F" w:rsidRPr="00540284" w:rsidRDefault="00DA24FD" w:rsidP="00C97895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1.1. </w:t>
      </w:r>
      <w:r w:rsidR="00C97895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provedení nového inženýrsko-geologického průzkumu: nejpozději do </w:t>
      </w:r>
      <w:r w:rsidR="00DE0C95" w:rsidRPr="00F30A85">
        <w:rPr>
          <w:rStyle w:val="Siln"/>
          <w:rFonts w:asciiTheme="minorHAnsi" w:hAnsiTheme="minorHAnsi" w:cstheme="minorHAnsi"/>
          <w:bCs/>
          <w:sz w:val="22"/>
          <w:szCs w:val="22"/>
        </w:rPr>
        <w:t>25</w:t>
      </w:r>
      <w:r w:rsidR="00C97895" w:rsidRPr="00F30A85">
        <w:rPr>
          <w:rStyle w:val="Siln"/>
          <w:rFonts w:asciiTheme="minorHAnsi" w:hAnsiTheme="minorHAnsi" w:cstheme="minorHAnsi"/>
          <w:bCs/>
          <w:sz w:val="22"/>
          <w:szCs w:val="22"/>
        </w:rPr>
        <w:t xml:space="preserve"> </w:t>
      </w:r>
      <w:r w:rsidR="00DE0C95" w:rsidRPr="00F30A85">
        <w:rPr>
          <w:rStyle w:val="Siln"/>
          <w:rFonts w:asciiTheme="minorHAnsi" w:hAnsiTheme="minorHAnsi" w:cstheme="minorHAnsi"/>
          <w:bCs/>
          <w:sz w:val="22"/>
          <w:szCs w:val="22"/>
        </w:rPr>
        <w:t>dnů</w:t>
      </w:r>
      <w:r w:rsidR="00DE0C95" w:rsidRPr="00F30A85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C97895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ode dne nabytí účinnosti tohoto Dodatku,</w:t>
      </w:r>
    </w:p>
    <w:p w14:paraId="2087EA3B" w14:textId="5F6AA72F" w:rsidR="00C97895" w:rsidRPr="00540284" w:rsidRDefault="00DA24FD" w:rsidP="00C97895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1.2. </w:t>
      </w:r>
      <w:r w:rsidR="00C97895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aktualizace, resp. zpracování projektové dokumentace pro povolení záměru ve smyslu ust. § 224 zákona č. 283/2024 Sb., stavební zákon, pro účely podání žádosti o změnu záměru (Stavby) před dokončením, a to v části statiky: nejpozději do </w:t>
      </w:r>
      <w:r w:rsidR="00F30A85" w:rsidRPr="00F30A85">
        <w:rPr>
          <w:rStyle w:val="Siln"/>
          <w:rFonts w:asciiTheme="minorHAnsi" w:hAnsiTheme="minorHAnsi" w:cstheme="minorHAnsi"/>
          <w:bCs/>
          <w:sz w:val="22"/>
          <w:szCs w:val="22"/>
        </w:rPr>
        <w:t>42</w:t>
      </w:r>
      <w:r w:rsidR="00C97895" w:rsidRPr="00F30A85">
        <w:rPr>
          <w:rStyle w:val="Siln"/>
          <w:rFonts w:asciiTheme="minorHAnsi" w:hAnsiTheme="minorHAnsi" w:cstheme="minorHAnsi"/>
          <w:bCs/>
          <w:sz w:val="22"/>
          <w:szCs w:val="22"/>
        </w:rPr>
        <w:t xml:space="preserve"> </w:t>
      </w:r>
      <w:r w:rsidR="00F30A85" w:rsidRPr="00F30A85">
        <w:rPr>
          <w:rStyle w:val="Siln"/>
          <w:rFonts w:asciiTheme="minorHAnsi" w:hAnsiTheme="minorHAnsi" w:cstheme="minorHAnsi"/>
          <w:bCs/>
          <w:sz w:val="22"/>
          <w:szCs w:val="22"/>
        </w:rPr>
        <w:t xml:space="preserve">dnů </w:t>
      </w:r>
      <w:r w:rsidR="00C97895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ode dne nabytí účinnosti tohoto Dodatku,</w:t>
      </w:r>
    </w:p>
    <w:p w14:paraId="0B402753" w14:textId="7EDDDC75" w:rsidR="00FA7688" w:rsidRPr="00540284" w:rsidRDefault="00FA7688" w:rsidP="00FA7688">
      <w:pPr>
        <w:pStyle w:val="Zkladntext21"/>
        <w:spacing w:after="80"/>
        <w:ind w:left="927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Objednatel má </w:t>
      </w:r>
      <w:r w:rsidR="00DA24FD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v rámci akceptačního řízení </w:t>
      </w: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na kontrolu tohoto plnění lhůtu 7 pracovních dní a Zhotovitel je povine</w:t>
      </w:r>
      <w:r w:rsidR="00DA24FD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n</w:t>
      </w: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zapracovat případné připomínky Objedna</w:t>
      </w:r>
      <w:r w:rsidR="008A568D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tele do 5 pracovních dní od jeji</w:t>
      </w: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ch obdržení;</w:t>
      </w:r>
    </w:p>
    <w:p w14:paraId="7CE4C976" w14:textId="76EC38FF" w:rsidR="00C97895" w:rsidRPr="00540284" w:rsidRDefault="008F3C9C" w:rsidP="00C97895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1.3. </w:t>
      </w:r>
      <w:r w:rsidR="00C97895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zajištění inženýrské činnosti pro změnu Stavby před dokončením:</w:t>
      </w:r>
    </w:p>
    <w:p w14:paraId="17DBB1EB" w14:textId="1C6515DE" w:rsidR="00B23446" w:rsidRPr="00540284" w:rsidRDefault="00C97895" w:rsidP="00C97895">
      <w:pPr>
        <w:pStyle w:val="Zkladntext21"/>
        <w:spacing w:after="80"/>
        <w:ind w:left="92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podání žádosti o změnu záměru (Stavby) před dokončením – </w:t>
      </w:r>
      <w:r w:rsidR="00DA24FD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nejpozději </w:t>
      </w:r>
      <w:r w:rsidR="00D76B88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do </w:t>
      </w:r>
      <w:r w:rsidR="00F30A85" w:rsidRPr="0039212C">
        <w:rPr>
          <w:rStyle w:val="Siln"/>
          <w:rFonts w:asciiTheme="minorHAnsi" w:hAnsiTheme="minorHAnsi" w:cstheme="minorHAnsi"/>
          <w:bCs/>
          <w:sz w:val="22"/>
          <w:szCs w:val="22"/>
        </w:rPr>
        <w:t xml:space="preserve">60 </w:t>
      </w:r>
      <w:r w:rsidR="00DA24FD" w:rsidRPr="0039212C">
        <w:rPr>
          <w:rStyle w:val="Siln"/>
          <w:rFonts w:asciiTheme="minorHAnsi" w:hAnsiTheme="minorHAnsi" w:cstheme="minorHAnsi"/>
          <w:bCs/>
          <w:sz w:val="22"/>
          <w:szCs w:val="22"/>
        </w:rPr>
        <w:t>dn</w:t>
      </w:r>
      <w:r w:rsidR="003031D6" w:rsidRPr="0039212C">
        <w:rPr>
          <w:rStyle w:val="Siln"/>
          <w:rFonts w:asciiTheme="minorHAnsi" w:hAnsiTheme="minorHAnsi" w:cstheme="minorHAnsi"/>
          <w:bCs/>
          <w:sz w:val="22"/>
          <w:szCs w:val="22"/>
        </w:rPr>
        <w:t>ů</w:t>
      </w:r>
      <w:r w:rsidR="00DA24FD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EE2349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ode dne nabytí účinnosti tohoto Dodatku</w:t>
      </w:r>
      <w:r w:rsidR="002552C7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,</w:t>
      </w:r>
      <w:r w:rsidR="00B23446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32436EFC" w14:textId="39DBA74A" w:rsidR="00F40E67" w:rsidRPr="00540284" w:rsidRDefault="00F40E67" w:rsidP="00F40E67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1.4. zpracování, resp. aktualizace projektové dokumentace pro provádění Stavby v části statiky</w:t>
      </w:r>
      <w:r w:rsidR="00A5174B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, včetně aktualizovaného soupisu stavebních prací, dodávek a služeb s výkazem výměr, v části statiky, a kontrolního rozpočtu v této části</w:t>
      </w: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: nejpozději do </w:t>
      </w:r>
      <w:r w:rsidR="00F30A85" w:rsidRPr="00F30A85">
        <w:rPr>
          <w:rStyle w:val="Siln"/>
          <w:rFonts w:asciiTheme="minorHAnsi" w:hAnsiTheme="minorHAnsi" w:cstheme="minorHAnsi"/>
          <w:bCs/>
          <w:sz w:val="22"/>
          <w:szCs w:val="22"/>
        </w:rPr>
        <w:t>60</w:t>
      </w:r>
      <w:r w:rsidRPr="00F30A85">
        <w:rPr>
          <w:rStyle w:val="Siln"/>
          <w:rFonts w:asciiTheme="minorHAnsi" w:hAnsiTheme="minorHAnsi" w:cstheme="minorHAnsi"/>
          <w:bCs/>
          <w:sz w:val="22"/>
          <w:szCs w:val="22"/>
        </w:rPr>
        <w:t xml:space="preserve"> </w:t>
      </w:r>
      <w:r w:rsidR="003031D6" w:rsidRPr="00F30A85">
        <w:rPr>
          <w:rStyle w:val="Siln"/>
          <w:rFonts w:asciiTheme="minorHAnsi" w:hAnsiTheme="minorHAnsi" w:cstheme="minorHAnsi"/>
          <w:bCs/>
          <w:sz w:val="22"/>
          <w:szCs w:val="22"/>
        </w:rPr>
        <w:t>dnů</w:t>
      </w:r>
      <w:r w:rsidR="003031D6" w:rsidRPr="00F30A85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094FEA"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ode dne nabytí účinnosti tohoto Dodatku</w:t>
      </w:r>
      <w:r w:rsidRPr="00540284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,</w:t>
      </w:r>
    </w:p>
    <w:p w14:paraId="00A70DEA" w14:textId="77777777" w:rsidR="00EB459E" w:rsidRDefault="00EB459E" w:rsidP="00EB459E">
      <w:pPr>
        <w:pStyle w:val="Zkladntext21"/>
        <w:spacing w:after="80"/>
        <w:ind w:left="92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</w:p>
    <w:p w14:paraId="23CD6E20" w14:textId="77777777" w:rsidR="00EB459E" w:rsidRDefault="00EB459E" w:rsidP="00EB459E">
      <w:pPr>
        <w:pStyle w:val="Zkladntext21"/>
        <w:spacing w:after="80"/>
        <w:ind w:left="92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</w:p>
    <w:p w14:paraId="1B068A3C" w14:textId="77777777" w:rsidR="00EB459E" w:rsidRPr="00540284" w:rsidRDefault="00EB459E" w:rsidP="00EB459E">
      <w:pPr>
        <w:pStyle w:val="Zkladntext21"/>
        <w:spacing w:after="80"/>
        <w:ind w:left="92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</w:p>
    <w:p w14:paraId="20265D3C" w14:textId="77777777" w:rsidR="00D2418F" w:rsidRDefault="00D2418F" w:rsidP="004D5B1F">
      <w:pPr>
        <w:pStyle w:val="Zkladntext21"/>
        <w:numPr>
          <w:ilvl w:val="0"/>
          <w:numId w:val="9"/>
        </w:numPr>
        <w:spacing w:after="80"/>
        <w:ind w:left="567" w:hanging="567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Smluvní strany se dohodly na ceně za vícepráce dle tohoto Dodatku takto:</w:t>
      </w:r>
    </w:p>
    <w:p w14:paraId="3063D9A2" w14:textId="0343E16B" w:rsidR="0040363E" w:rsidRDefault="0040363E" w:rsidP="0040363E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Plnění dle čl. II odst. 1, bod 1.1. Dodatku</w:t>
      </w: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ab/>
      </w:r>
      <w:r w:rsidR="00DE0C95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55.000,-</w:t>
      </w: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Kč bez DPH</w:t>
      </w:r>
    </w:p>
    <w:p w14:paraId="29B7196E" w14:textId="656CFDA7" w:rsidR="0040363E" w:rsidRDefault="0040363E" w:rsidP="0040363E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Plnění dle čl. II odst. 1, bod 1.</w:t>
      </w:r>
      <w:r w:rsidR="0048202D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2</w:t>
      </w: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. Dodatku</w:t>
      </w: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ab/>
      </w:r>
      <w:r w:rsidR="00DE0C95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45.000,-</w:t>
      </w: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Kč bez DPH</w:t>
      </w:r>
    </w:p>
    <w:p w14:paraId="70575BD0" w14:textId="519C3561" w:rsidR="0040363E" w:rsidRDefault="0040363E" w:rsidP="0040363E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Plnění </w:t>
      </w:r>
      <w:r w:rsidR="0048202D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dle čl. II odst. 1, bod 1.3</w:t>
      </w: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. Dodatku</w:t>
      </w: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ab/>
      </w:r>
      <w:r w:rsidR="00DE0C95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2</w:t>
      </w:r>
      <w:r w:rsidR="00860EE1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5</w:t>
      </w:r>
      <w:r w:rsidR="00DE0C95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.000,- </w:t>
      </w: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Kč bez DPH</w:t>
      </w:r>
      <w:r w:rsidR="00860EE1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vč.</w:t>
      </w:r>
      <w:r w:rsidR="003F3E5B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správní</w:t>
      </w:r>
      <w:r w:rsidR="00860EE1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ho</w:t>
      </w:r>
      <w:r w:rsidR="003F3E5B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poplatk</w:t>
      </w:r>
      <w:r w:rsidR="00860EE1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u</w:t>
      </w:r>
    </w:p>
    <w:p w14:paraId="626A2602" w14:textId="18FB6A5F" w:rsidR="0040363E" w:rsidRDefault="0040363E" w:rsidP="0040363E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Plnění </w:t>
      </w:r>
      <w:r w:rsidR="0048202D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dle čl. II odst. 1, bod 1.4</w:t>
      </w: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. Dodatku</w:t>
      </w: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ab/>
      </w:r>
      <w:r w:rsidR="00DE0C95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25.000,- </w:t>
      </w: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Kč bez DPH</w:t>
      </w:r>
    </w:p>
    <w:p w14:paraId="625ECFD0" w14:textId="1D1EE3AE" w:rsidR="00540284" w:rsidRPr="000E4998" w:rsidRDefault="004E4A99" w:rsidP="0040363E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</w:pPr>
      <w:r w:rsidRPr="000E4998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>Celkem za vícepráce</w:t>
      </w:r>
      <w:r w:rsidRPr="000E4998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ab/>
      </w:r>
      <w:r w:rsidRPr="000E4998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ab/>
      </w:r>
      <w:r w:rsidRPr="000E4998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ab/>
      </w:r>
      <w:r w:rsidR="00F30A85" w:rsidRPr="000E4998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>15</w:t>
      </w:r>
      <w:r w:rsidR="003F3E5B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>0</w:t>
      </w:r>
      <w:r w:rsidR="00F30A85" w:rsidRPr="000E4998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>.000,-</w:t>
      </w:r>
      <w:r w:rsidRPr="000E4998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 xml:space="preserve"> Kč bez DPH</w:t>
      </w:r>
    </w:p>
    <w:p w14:paraId="1D4106DA" w14:textId="0BE88AD5" w:rsidR="0040363E" w:rsidRDefault="0040363E" w:rsidP="0040363E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</w:p>
    <w:p w14:paraId="7322BEE7" w14:textId="4DD2AF22" w:rsidR="004E4A99" w:rsidRDefault="004E4A99" w:rsidP="001D2DBE">
      <w:pPr>
        <w:pStyle w:val="Zkladntext21"/>
        <w:numPr>
          <w:ilvl w:val="0"/>
          <w:numId w:val="9"/>
        </w:numPr>
        <w:spacing w:after="80"/>
        <w:ind w:left="567" w:hanging="567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Smluvní strany se v návaznosti na shora uvedené dohodly na změně </w:t>
      </w:r>
      <w:r w:rsidRPr="001D2DBE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čl. </w:t>
      </w:r>
      <w:r w:rsidRPr="001D2DBE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>V</w:t>
      </w:r>
      <w:r w:rsidR="003F3E5B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>.</w:t>
      </w:r>
      <w:r w:rsidRPr="001D2DBE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 xml:space="preserve"> Cena a platební podmínky</w:t>
      </w:r>
      <w:r w:rsidRPr="001D2DBE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,</w:t>
      </w:r>
      <w:r w:rsidRPr="00CA1E93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 xml:space="preserve"> odst. 1 </w:t>
      </w:r>
      <w: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takto: </w:t>
      </w:r>
    </w:p>
    <w:p w14:paraId="05D7B456" w14:textId="77777777" w:rsidR="005721FE" w:rsidRDefault="00540284" w:rsidP="0040363E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</w:pPr>
      <w:r w:rsidRPr="004E4A99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Celková cena díla</w:t>
      </w:r>
      <w:r w:rsidR="0048343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, včetně </w:t>
      </w:r>
      <w:r w:rsidR="005721F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správních poplatků a </w:t>
      </w:r>
      <w:r w:rsidR="0048343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víceprací,</w:t>
      </w:r>
      <w:r w:rsidRPr="004E4A99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 s výjimkou autorského dozoru </w:t>
      </w:r>
      <w:r w:rsidR="005721F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činí</w:t>
      </w:r>
    </w:p>
    <w:p w14:paraId="08695B48" w14:textId="4B99E66A" w:rsidR="005721FE" w:rsidRDefault="005721FE" w:rsidP="005721FE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Cena dle Smlouvy ve znění </w:t>
      </w:r>
      <w:r w:rsidRPr="005721F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ev. č. smlouvy 37/391/2024</w:t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  <w:t>492.000,- Kč</w:t>
      </w:r>
      <w:r w:rsidRPr="005721F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 </w:t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bez DPH</w:t>
      </w:r>
    </w:p>
    <w:p w14:paraId="37991C13" w14:textId="76039940" w:rsidR="005721FE" w:rsidRDefault="005721FE" w:rsidP="005721FE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Cena správních poplatků dle dodatku č. 1</w:t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  <w:t xml:space="preserve"> 33.500,- Kč bez DPH</w:t>
      </w:r>
    </w:p>
    <w:p w14:paraId="50505F3C" w14:textId="138F91FD" w:rsidR="005721FE" w:rsidRDefault="005721FE" w:rsidP="005721FE">
      <w:pPr>
        <w:pStyle w:val="Zkladntext21"/>
        <w:numPr>
          <w:ilvl w:val="0"/>
          <w:numId w:val="12"/>
        </w:numPr>
        <w:spacing w:after="80"/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Cena víceprací ve znění dodatku č. 3</w:t>
      </w:r>
      <w:r w:rsidR="003F3E5B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 </w:t>
      </w:r>
      <w:r w:rsidR="00B0235F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1</w:t>
      </w:r>
      <w:r w:rsidR="003031D6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45.000,-</w:t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 Kč bez DPH</w:t>
      </w:r>
      <w:r w:rsidR="00BA405C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 + správní poplatek ve výši</w:t>
      </w:r>
      <w:r w:rsidR="003F3E5B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 5.000,-</w:t>
      </w:r>
      <w:r w:rsidR="00BA405C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Kč</w:t>
      </w:r>
    </w:p>
    <w:p w14:paraId="4CDF99E5" w14:textId="1BFED2B3" w:rsidR="005721FE" w:rsidRDefault="00E350B7" w:rsidP="0040363E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Cena celkem</w:t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 w:rsidR="003F3E5B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150.000,- </w:t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Kč bez DPH</w:t>
      </w:r>
    </w:p>
    <w:p w14:paraId="13EDD647" w14:textId="5FF61157" w:rsidR="00E350B7" w:rsidRDefault="00E350B7" w:rsidP="0040363E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DPH ve výši 21%</w:t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 w:rsidR="003F3E5B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3</w:t>
      </w:r>
      <w:r w:rsidR="00860EE1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1</w:t>
      </w:r>
      <w:r w:rsidR="003F3E5B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.</w:t>
      </w:r>
      <w:r w:rsidR="00860EE1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 50</w:t>
      </w:r>
      <w:r w:rsidR="003F3E5B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0,- </w:t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Kč</w:t>
      </w:r>
    </w:p>
    <w:p w14:paraId="38818848" w14:textId="30AD4B4F" w:rsidR="00E350B7" w:rsidRDefault="00E350B7" w:rsidP="0040363E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Cena vč. DPH</w:t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ab/>
      </w:r>
      <w:r w:rsidR="003F3E5B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18</w:t>
      </w:r>
      <w:r w:rsidR="00860EE1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1</w:t>
      </w:r>
      <w:r w:rsidR="003F3E5B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.</w:t>
      </w:r>
      <w:r w:rsidR="00860EE1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 </w:t>
      </w:r>
      <w:r w:rsidR="003F3E5B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5</w:t>
      </w:r>
      <w:r w:rsidR="00860EE1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0</w:t>
      </w:r>
      <w:r w:rsidR="003F3E5B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0,- </w:t>
      </w:r>
      <w:r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Kč </w:t>
      </w:r>
      <w:r w:rsidR="00917629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vč. DPH</w:t>
      </w:r>
    </w:p>
    <w:p w14:paraId="0EE76828" w14:textId="564D3591" w:rsidR="0040363E" w:rsidRPr="004E4A99" w:rsidRDefault="00540284" w:rsidP="0040363E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</w:pPr>
      <w:r w:rsidRPr="004E4A99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Sjednaná cena díla je konečná a nepřekročitelná a zahrnuje provedení a dodání díla</w:t>
      </w:r>
      <w:r w:rsidR="00E75EB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 a víceprací</w:t>
      </w:r>
      <w:r w:rsidRPr="004E4A99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, jakož i</w:t>
      </w:r>
      <w:r w:rsidR="002430F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 </w:t>
      </w:r>
      <w:r w:rsidRPr="004E4A99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veškeré výlohy, výdaje a náklady vzniklé zhotoviteli v souvislosti se zhotovením a předáním díla</w:t>
      </w:r>
      <w:r w:rsidR="00E75EB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 a</w:t>
      </w:r>
      <w:r w:rsidR="002430F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 </w:t>
      </w:r>
      <w:r w:rsidR="00E75EB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víceprací</w:t>
      </w:r>
      <w:r w:rsidRPr="004E4A99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.</w:t>
      </w:r>
      <w:r w:rsidR="002430F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 </w:t>
      </w:r>
      <w:r w:rsidRPr="004E4A99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Změna ceny je možná pouze na základě písemného dodatku a v souladu s platnými právními předpisy (zejm. zákonem o zadávání veřejných zakázek). Objednatel neposkytuje zhotoviteli žádné zálohy. </w:t>
      </w:r>
      <w:r w:rsidR="002430F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 xml:space="preserve"> </w:t>
      </w:r>
      <w:r w:rsidRPr="004E4A99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Po řádném předání této části díla dle této smlouvy Objednateli vystaví Zhotovitel na úhradu díla bez zbytečného odkladu daňový doklad (fakturu) se splatností 60 dní ode dne jejího doručení Objednateli a to z důvodu schvalovacích procesů na straně poskytovatele dotace</w:t>
      </w:r>
      <w:r w:rsidR="00E75EBE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.</w:t>
      </w:r>
    </w:p>
    <w:p w14:paraId="570C8866" w14:textId="77777777" w:rsidR="001D2DBE" w:rsidRDefault="001D2DBE" w:rsidP="001D2DBE">
      <w:pPr>
        <w:pStyle w:val="Zkladntext21"/>
        <w:spacing w:after="80"/>
        <w:ind w:left="284"/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</w:p>
    <w:p w14:paraId="3081B973" w14:textId="4BA5A357" w:rsidR="008F157B" w:rsidRPr="008F157B" w:rsidRDefault="008F157B" w:rsidP="009E4DCA">
      <w:pPr>
        <w:pStyle w:val="Zkladntext21"/>
        <w:numPr>
          <w:ilvl w:val="0"/>
          <w:numId w:val="9"/>
        </w:numPr>
        <w:spacing w:after="80"/>
        <w:ind w:left="567" w:hanging="567"/>
        <w:rPr>
          <w:rStyle w:val="Siln"/>
          <w:rFonts w:ascii="Calibri" w:hAnsi="Calibri" w:cs="Calibri"/>
          <w:b w:val="0"/>
          <w:iCs/>
          <w:sz w:val="22"/>
          <w:szCs w:val="22"/>
        </w:rPr>
      </w:pPr>
      <w:r>
        <w:rPr>
          <w:rStyle w:val="Siln"/>
          <w:rFonts w:ascii="Calibri" w:hAnsi="Calibri" w:cs="Calibri"/>
          <w:b w:val="0"/>
          <w:iCs/>
          <w:sz w:val="22"/>
          <w:szCs w:val="22"/>
        </w:rPr>
        <w:t>Podmínky provádění víceprací</w:t>
      </w:r>
    </w:p>
    <w:p w14:paraId="00AB3CB0" w14:textId="4CCCD4D9" w:rsidR="009E4DCA" w:rsidRPr="007E11B7" w:rsidRDefault="009E4DCA" w:rsidP="008F157B">
      <w:pPr>
        <w:pStyle w:val="Zkladntext21"/>
        <w:spacing w:after="80"/>
        <w:ind w:left="567"/>
        <w:rPr>
          <w:rFonts w:ascii="Calibri" w:hAnsi="Calibri" w:cs="Calibri"/>
          <w:iCs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Zhotovitel </w:t>
      </w:r>
      <w:r w:rsidRPr="008B2287">
        <w:rPr>
          <w:rFonts w:ascii="Calibri" w:hAnsi="Calibri" w:cs="Calibri"/>
          <w:sz w:val="22"/>
          <w:szCs w:val="22"/>
        </w:rPr>
        <w:t xml:space="preserve">se zavazuje provádět </w:t>
      </w:r>
      <w:r>
        <w:rPr>
          <w:rFonts w:ascii="Calibri" w:hAnsi="Calibri" w:cs="Calibri"/>
          <w:sz w:val="22"/>
          <w:szCs w:val="22"/>
        </w:rPr>
        <w:t xml:space="preserve">vícepráce v souladu s tímto Dodatkem, a není-li jím stanoveno jinak, pak v souladu se Smlouvou, podle právních předpisů účinných v době provádění, resp. předání plnění, </w:t>
      </w:r>
      <w:r w:rsidRPr="008B2287">
        <w:rPr>
          <w:rFonts w:ascii="Calibri" w:hAnsi="Calibri" w:cs="Calibri"/>
          <w:sz w:val="22"/>
          <w:szCs w:val="22"/>
        </w:rPr>
        <w:t xml:space="preserve">v souladu s platnými zákony a podzákonnými právními předpisy České republiky, a v souladu s normami ČSN, </w:t>
      </w:r>
      <w:r>
        <w:rPr>
          <w:rFonts w:ascii="Calibri" w:hAnsi="Calibri" w:cs="Calibri"/>
          <w:sz w:val="22"/>
          <w:szCs w:val="22"/>
        </w:rPr>
        <w:t xml:space="preserve">ČSN </w:t>
      </w:r>
      <w:r w:rsidRPr="008B2287">
        <w:rPr>
          <w:rFonts w:ascii="Calibri" w:hAnsi="Calibri" w:cs="Calibri"/>
          <w:sz w:val="22"/>
          <w:szCs w:val="22"/>
        </w:rPr>
        <w:t xml:space="preserve">EN </w:t>
      </w:r>
      <w:r>
        <w:rPr>
          <w:rFonts w:ascii="Calibri" w:hAnsi="Calibri" w:cs="Calibri"/>
          <w:sz w:val="22"/>
          <w:szCs w:val="22"/>
        </w:rPr>
        <w:t xml:space="preserve">a ČSN ISO </w:t>
      </w:r>
      <w:r w:rsidRPr="008B2287">
        <w:rPr>
          <w:rFonts w:ascii="Calibri" w:hAnsi="Calibri" w:cs="Calibri"/>
          <w:sz w:val="22"/>
          <w:szCs w:val="22"/>
        </w:rPr>
        <w:t>a obecně závaznými předpisy</w:t>
      </w:r>
      <w:r w:rsidRPr="008B2287" w:rsidDel="009F0848">
        <w:rPr>
          <w:rFonts w:ascii="Calibri" w:hAnsi="Calibri" w:cs="Calibri"/>
          <w:sz w:val="22"/>
          <w:szCs w:val="22"/>
        </w:rPr>
        <w:t xml:space="preserve"> </w:t>
      </w:r>
      <w:r w:rsidRPr="008B2287">
        <w:rPr>
          <w:rFonts w:ascii="Calibri" w:hAnsi="Calibri" w:cs="Calibri"/>
          <w:sz w:val="22"/>
          <w:szCs w:val="22"/>
        </w:rPr>
        <w:t>týkající</w:t>
      </w:r>
      <w:r>
        <w:rPr>
          <w:rFonts w:ascii="Calibri" w:hAnsi="Calibri" w:cs="Calibri"/>
          <w:sz w:val="22"/>
          <w:szCs w:val="22"/>
        </w:rPr>
        <w:t>mi</w:t>
      </w:r>
      <w:r w:rsidRPr="008B2287">
        <w:rPr>
          <w:rFonts w:ascii="Calibri" w:hAnsi="Calibri" w:cs="Calibri"/>
          <w:sz w:val="22"/>
          <w:szCs w:val="22"/>
        </w:rPr>
        <w:t xml:space="preserve"> se oblasti projektování</w:t>
      </w:r>
      <w:r>
        <w:rPr>
          <w:rFonts w:ascii="Calibri" w:hAnsi="Calibri" w:cs="Calibri"/>
          <w:sz w:val="22"/>
          <w:szCs w:val="22"/>
        </w:rPr>
        <w:t xml:space="preserve"> a v souladu s podklady a pokyny, které mu Objednatel za účelem provedení plnění předal či předá, a oprávněnými zájmy Objednatele.</w:t>
      </w:r>
    </w:p>
    <w:p w14:paraId="4443EC27" w14:textId="66B5C01F" w:rsidR="009E4DCA" w:rsidRDefault="009E4DCA" w:rsidP="009E4DCA">
      <w:pPr>
        <w:spacing w:after="0" w:line="160" w:lineRule="atLeast"/>
        <w:ind w:left="567"/>
        <w:jc w:val="both"/>
        <w:rPr>
          <w:rFonts w:ascii="Calibri" w:hAnsi="Calibri" w:cs="Calibri"/>
        </w:rPr>
      </w:pPr>
      <w:r w:rsidRPr="008B2287">
        <w:rPr>
          <w:rFonts w:ascii="Calibri" w:hAnsi="Calibri" w:cs="Calibri"/>
        </w:rPr>
        <w:t xml:space="preserve">Zhotovitel se dále zavazuje při </w:t>
      </w:r>
      <w:r>
        <w:rPr>
          <w:rFonts w:ascii="Calibri" w:hAnsi="Calibri" w:cs="Calibri"/>
        </w:rPr>
        <w:t>provádění</w:t>
      </w:r>
      <w:r w:rsidRPr="008B228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plnění</w:t>
      </w:r>
      <w:r w:rsidRPr="008B2287">
        <w:rPr>
          <w:rFonts w:ascii="Calibri" w:hAnsi="Calibri" w:cs="Calibri"/>
        </w:rPr>
        <w:t xml:space="preserve"> dodržovat všechna pravidla pro jeho provádění vyplývající z podmínek </w:t>
      </w:r>
      <w:r>
        <w:rPr>
          <w:rFonts w:ascii="Calibri" w:hAnsi="Calibri" w:cs="Calibri"/>
        </w:rPr>
        <w:t xml:space="preserve">rozhodnutí o </w:t>
      </w:r>
      <w:r w:rsidRPr="008B2287">
        <w:rPr>
          <w:rFonts w:ascii="Calibri" w:hAnsi="Calibri" w:cs="Calibri"/>
        </w:rPr>
        <w:t>povolení</w:t>
      </w:r>
      <w:r>
        <w:rPr>
          <w:rFonts w:ascii="Calibri" w:hAnsi="Calibri" w:cs="Calibri"/>
        </w:rPr>
        <w:t xml:space="preserve"> záměru</w:t>
      </w:r>
      <w:r w:rsidRPr="008B2287">
        <w:rPr>
          <w:rFonts w:ascii="Calibri" w:hAnsi="Calibri" w:cs="Calibri"/>
        </w:rPr>
        <w:t xml:space="preserve"> či závazných podmínek vyplývajících ze</w:t>
      </w:r>
      <w:r>
        <w:rPr>
          <w:rFonts w:ascii="Calibri" w:hAnsi="Calibri" w:cs="Calibri"/>
        </w:rPr>
        <w:t> </w:t>
      </w:r>
      <w:r w:rsidRPr="008B2287">
        <w:rPr>
          <w:rFonts w:ascii="Calibri" w:hAnsi="Calibri" w:cs="Calibri"/>
        </w:rPr>
        <w:t>stanovis</w:t>
      </w:r>
      <w:r>
        <w:rPr>
          <w:rFonts w:ascii="Calibri" w:hAnsi="Calibri" w:cs="Calibri"/>
        </w:rPr>
        <w:t>e</w:t>
      </w:r>
      <w:r w:rsidRPr="008B2287">
        <w:rPr>
          <w:rFonts w:ascii="Calibri" w:hAnsi="Calibri" w:cs="Calibri"/>
        </w:rPr>
        <w:t>k dotčených orgánů státní správy, případně změn a doplnění takov</w:t>
      </w:r>
      <w:r>
        <w:rPr>
          <w:rFonts w:ascii="Calibri" w:hAnsi="Calibri" w:cs="Calibri"/>
        </w:rPr>
        <w:t>ých</w:t>
      </w:r>
      <w:r w:rsidRPr="008B2287">
        <w:rPr>
          <w:rFonts w:ascii="Calibri" w:hAnsi="Calibri" w:cs="Calibri"/>
        </w:rPr>
        <w:t xml:space="preserve"> stanovis</w:t>
      </w:r>
      <w:r>
        <w:rPr>
          <w:rFonts w:ascii="Calibri" w:hAnsi="Calibri" w:cs="Calibri"/>
        </w:rPr>
        <w:t>e</w:t>
      </w:r>
      <w:r w:rsidRPr="008B2287">
        <w:rPr>
          <w:rFonts w:ascii="Calibri" w:hAnsi="Calibri" w:cs="Calibri"/>
        </w:rPr>
        <w:t>k vydan</w:t>
      </w:r>
      <w:r>
        <w:rPr>
          <w:rFonts w:ascii="Calibri" w:hAnsi="Calibri" w:cs="Calibri"/>
        </w:rPr>
        <w:t>ých</w:t>
      </w:r>
      <w:r w:rsidRPr="008B2287">
        <w:rPr>
          <w:rFonts w:ascii="Calibri" w:hAnsi="Calibri" w:cs="Calibri"/>
        </w:rPr>
        <w:t xml:space="preserve"> v průběhu provádění </w:t>
      </w:r>
      <w:r>
        <w:rPr>
          <w:rFonts w:ascii="Calibri" w:hAnsi="Calibri" w:cs="Calibri"/>
        </w:rPr>
        <w:t>S</w:t>
      </w:r>
      <w:r w:rsidRPr="008B2287">
        <w:rPr>
          <w:rFonts w:ascii="Calibri" w:hAnsi="Calibri" w:cs="Calibri"/>
        </w:rPr>
        <w:t>tav</w:t>
      </w:r>
      <w:r>
        <w:rPr>
          <w:rFonts w:ascii="Calibri" w:hAnsi="Calibri" w:cs="Calibri"/>
        </w:rPr>
        <w:t xml:space="preserve">by, </w:t>
      </w:r>
      <w:r w:rsidRPr="008B2287">
        <w:rPr>
          <w:rFonts w:ascii="Calibri" w:hAnsi="Calibri" w:cs="Calibri"/>
        </w:rPr>
        <w:t>a to včetně ústně sdělených pokynů, které budou dodatečně zdokumentovány zápisem.</w:t>
      </w:r>
    </w:p>
    <w:p w14:paraId="1C70DAAC" w14:textId="77777777" w:rsidR="008F157B" w:rsidRDefault="008F157B" w:rsidP="009E4DCA">
      <w:pPr>
        <w:spacing w:after="0" w:line="160" w:lineRule="atLeast"/>
        <w:ind w:left="567"/>
        <w:jc w:val="both"/>
        <w:rPr>
          <w:rFonts w:ascii="Calibri" w:hAnsi="Calibri" w:cs="Calibri"/>
        </w:rPr>
      </w:pPr>
    </w:p>
    <w:p w14:paraId="2D1244CC" w14:textId="7A9D4682" w:rsidR="008F157B" w:rsidRDefault="008F157B" w:rsidP="008F157B">
      <w:pPr>
        <w:keepNext/>
        <w:spacing w:after="0" w:line="160" w:lineRule="atLeast"/>
        <w:ind w:left="567"/>
        <w:jc w:val="both"/>
        <w:rPr>
          <w:rFonts w:ascii="Calibri" w:hAnsi="Calibri" w:cs="Calibri"/>
          <w:lang w:eastAsia="cs-CZ"/>
        </w:rPr>
      </w:pPr>
      <w:r w:rsidRPr="00431E73">
        <w:rPr>
          <w:rFonts w:ascii="Calibri" w:hAnsi="Calibri" w:cs="Calibri"/>
          <w:lang w:eastAsia="cs-CZ"/>
        </w:rPr>
        <w:t xml:space="preserve">Zhotovitel poskytuje </w:t>
      </w:r>
      <w:r>
        <w:rPr>
          <w:rFonts w:ascii="Calibri" w:hAnsi="Calibri" w:cs="Calibri"/>
          <w:lang w:eastAsia="cs-CZ"/>
        </w:rPr>
        <w:t>O</w:t>
      </w:r>
      <w:r w:rsidRPr="00431E73">
        <w:rPr>
          <w:rFonts w:ascii="Calibri" w:hAnsi="Calibri" w:cs="Calibri"/>
          <w:lang w:eastAsia="cs-CZ"/>
        </w:rPr>
        <w:t xml:space="preserve">bjednateli záruku na </w:t>
      </w:r>
      <w:r>
        <w:rPr>
          <w:rFonts w:ascii="Calibri" w:hAnsi="Calibri" w:cs="Calibri"/>
          <w:lang w:eastAsia="cs-CZ"/>
        </w:rPr>
        <w:t>vícepráce, ev. dílčí části plnění</w:t>
      </w:r>
      <w:r w:rsidRPr="00431E73">
        <w:rPr>
          <w:rFonts w:ascii="Calibri" w:hAnsi="Calibri" w:cs="Calibri"/>
          <w:lang w:eastAsia="cs-CZ"/>
        </w:rPr>
        <w:t>, přičemž záruční doba trvá ve vztahu k</w:t>
      </w:r>
      <w:r>
        <w:rPr>
          <w:rFonts w:ascii="Calibri" w:hAnsi="Calibri" w:cs="Calibri"/>
          <w:lang w:eastAsia="cs-CZ"/>
        </w:rPr>
        <w:t> </w:t>
      </w:r>
      <w:r w:rsidRPr="00431E73">
        <w:rPr>
          <w:rFonts w:ascii="Calibri" w:hAnsi="Calibri" w:cs="Calibri"/>
          <w:lang w:eastAsia="cs-CZ"/>
        </w:rPr>
        <w:t xml:space="preserve">jednotlivým dokončeným částem </w:t>
      </w:r>
      <w:r>
        <w:rPr>
          <w:rFonts w:ascii="Calibri" w:hAnsi="Calibri" w:cs="Calibri"/>
          <w:lang w:eastAsia="cs-CZ"/>
        </w:rPr>
        <w:t xml:space="preserve">v rozsahu příslušného dílčího plnění </w:t>
      </w:r>
      <w:r w:rsidRPr="00431E73">
        <w:rPr>
          <w:rFonts w:ascii="Calibri" w:hAnsi="Calibri" w:cs="Calibri"/>
          <w:lang w:eastAsia="cs-CZ"/>
        </w:rPr>
        <w:t>od</w:t>
      </w:r>
      <w:r>
        <w:rPr>
          <w:rFonts w:ascii="Calibri" w:hAnsi="Calibri" w:cs="Calibri"/>
          <w:lang w:eastAsia="cs-CZ"/>
        </w:rPr>
        <w:t> </w:t>
      </w:r>
      <w:r w:rsidRPr="00431E73">
        <w:rPr>
          <w:rFonts w:ascii="Calibri" w:hAnsi="Calibri" w:cs="Calibri"/>
          <w:lang w:eastAsia="cs-CZ"/>
        </w:rPr>
        <w:t xml:space="preserve">okamžiku </w:t>
      </w:r>
      <w:r>
        <w:rPr>
          <w:rFonts w:ascii="Calibri" w:hAnsi="Calibri" w:cs="Calibri"/>
          <w:lang w:eastAsia="cs-CZ"/>
        </w:rPr>
        <w:t>převzetí plnění bez vad a nedodělků</w:t>
      </w:r>
      <w:r w:rsidRPr="00431E73">
        <w:rPr>
          <w:rFonts w:ascii="Calibri" w:hAnsi="Calibri" w:cs="Calibri"/>
          <w:lang w:eastAsia="cs-CZ"/>
        </w:rPr>
        <w:t xml:space="preserve"> v délce </w:t>
      </w:r>
      <w:r>
        <w:rPr>
          <w:rFonts w:ascii="Calibri" w:hAnsi="Calibri" w:cs="Calibri"/>
          <w:lang w:eastAsia="cs-CZ"/>
        </w:rPr>
        <w:t>6</w:t>
      </w:r>
      <w:r w:rsidRPr="00431E73">
        <w:rPr>
          <w:rFonts w:ascii="Calibri" w:hAnsi="Calibri" w:cs="Calibri"/>
          <w:lang w:eastAsia="cs-CZ"/>
        </w:rPr>
        <w:t>0 měsíců, a</w:t>
      </w:r>
      <w:r>
        <w:rPr>
          <w:rFonts w:ascii="Calibri" w:hAnsi="Calibri" w:cs="Calibri"/>
          <w:lang w:eastAsia="cs-CZ"/>
        </w:rPr>
        <w:t> </w:t>
      </w:r>
      <w:r w:rsidRPr="00431E73">
        <w:rPr>
          <w:rFonts w:ascii="Calibri" w:hAnsi="Calibri" w:cs="Calibri"/>
          <w:lang w:eastAsia="cs-CZ"/>
        </w:rPr>
        <w:t>ve</w:t>
      </w:r>
      <w:r>
        <w:rPr>
          <w:rFonts w:ascii="Calibri" w:hAnsi="Calibri" w:cs="Calibri"/>
          <w:lang w:eastAsia="cs-CZ"/>
        </w:rPr>
        <w:t xml:space="preserve"> vztahu k vícepracím jako celku </w:t>
      </w:r>
      <w:r w:rsidRPr="00431E73">
        <w:rPr>
          <w:rFonts w:ascii="Calibri" w:hAnsi="Calibri" w:cs="Calibri"/>
          <w:lang w:eastAsia="cs-CZ"/>
        </w:rPr>
        <w:t>trvá po</w:t>
      </w:r>
      <w:r>
        <w:rPr>
          <w:rFonts w:ascii="Calibri" w:hAnsi="Calibri" w:cs="Calibri"/>
          <w:lang w:eastAsia="cs-CZ"/>
        </w:rPr>
        <w:t> </w:t>
      </w:r>
      <w:r w:rsidRPr="00431E73">
        <w:rPr>
          <w:rFonts w:ascii="Calibri" w:hAnsi="Calibri" w:cs="Calibri"/>
          <w:lang w:eastAsia="cs-CZ"/>
        </w:rPr>
        <w:t>dobu </w:t>
      </w:r>
      <w:r>
        <w:rPr>
          <w:rFonts w:ascii="Calibri" w:hAnsi="Calibri" w:cs="Calibri"/>
          <w:lang w:eastAsia="cs-CZ"/>
        </w:rPr>
        <w:t>6</w:t>
      </w:r>
      <w:r w:rsidRPr="00431E73">
        <w:rPr>
          <w:rFonts w:ascii="Calibri" w:hAnsi="Calibri" w:cs="Calibri"/>
          <w:lang w:eastAsia="cs-CZ"/>
        </w:rPr>
        <w:t xml:space="preserve">0 měsíců ode dne zahájení </w:t>
      </w:r>
      <w:r>
        <w:rPr>
          <w:rFonts w:ascii="Calibri" w:hAnsi="Calibri" w:cs="Calibri"/>
          <w:lang w:eastAsia="cs-CZ"/>
        </w:rPr>
        <w:t>S</w:t>
      </w:r>
      <w:r w:rsidRPr="00431E73">
        <w:rPr>
          <w:rFonts w:ascii="Calibri" w:hAnsi="Calibri" w:cs="Calibri"/>
          <w:lang w:eastAsia="cs-CZ"/>
        </w:rPr>
        <w:t>tavby.</w:t>
      </w:r>
    </w:p>
    <w:p w14:paraId="7EA6E1EF" w14:textId="77777777" w:rsidR="008F157B" w:rsidRPr="00431E73" w:rsidRDefault="008F157B" w:rsidP="008F157B">
      <w:pPr>
        <w:keepNext/>
        <w:spacing w:after="0" w:line="160" w:lineRule="atLeast"/>
        <w:ind w:left="567"/>
        <w:jc w:val="both"/>
        <w:rPr>
          <w:rFonts w:ascii="Calibri" w:hAnsi="Calibri" w:cs="Calibri"/>
          <w:lang w:eastAsia="cs-CZ"/>
        </w:rPr>
      </w:pPr>
    </w:p>
    <w:p w14:paraId="38ED4A8D" w14:textId="46213FA5" w:rsidR="009E4DCA" w:rsidRPr="008F157B" w:rsidRDefault="008F157B" w:rsidP="008F157B">
      <w:pPr>
        <w:spacing w:after="0" w:line="160" w:lineRule="atLeast"/>
        <w:ind w:left="567"/>
        <w:jc w:val="both"/>
        <w:rPr>
          <w:rStyle w:val="Siln"/>
          <w:rFonts w:ascii="Calibri" w:hAnsi="Calibri" w:cs="Calibri"/>
          <w:b w:val="0"/>
          <w:iCs/>
        </w:rPr>
      </w:pPr>
      <w:r w:rsidRPr="001E2EAA">
        <w:rPr>
          <w:rFonts w:ascii="Calibri" w:hAnsi="Calibri" w:cs="Calibri"/>
          <w:lang w:eastAsia="cs-CZ"/>
        </w:rPr>
        <w:t xml:space="preserve">V případě, že </w:t>
      </w:r>
      <w:r>
        <w:rPr>
          <w:rFonts w:ascii="Calibri" w:hAnsi="Calibri" w:cs="Calibri"/>
          <w:lang w:eastAsia="cs-CZ"/>
        </w:rPr>
        <w:t>O</w:t>
      </w:r>
      <w:r w:rsidRPr="001E2EAA">
        <w:rPr>
          <w:rFonts w:ascii="Calibri" w:hAnsi="Calibri" w:cs="Calibri"/>
          <w:lang w:eastAsia="cs-CZ"/>
        </w:rPr>
        <w:t xml:space="preserve">bjednatel během záruční doby zjistí jakoukoli vadu, za kterou je ve smyslu </w:t>
      </w:r>
      <w:r>
        <w:rPr>
          <w:rFonts w:ascii="Calibri" w:hAnsi="Calibri" w:cs="Calibri"/>
          <w:lang w:eastAsia="cs-CZ"/>
        </w:rPr>
        <w:t>tohoto Dodatku</w:t>
      </w:r>
      <w:r w:rsidRPr="001E2EAA">
        <w:rPr>
          <w:rFonts w:ascii="Calibri" w:hAnsi="Calibri" w:cs="Calibri"/>
          <w:lang w:eastAsia="cs-CZ"/>
        </w:rPr>
        <w:t xml:space="preserve"> odpovědný </w:t>
      </w:r>
      <w:r>
        <w:rPr>
          <w:rFonts w:ascii="Calibri" w:hAnsi="Calibri" w:cs="Calibri"/>
          <w:lang w:eastAsia="cs-CZ"/>
        </w:rPr>
        <w:t>Z</w:t>
      </w:r>
      <w:r w:rsidRPr="001E2EAA">
        <w:rPr>
          <w:rFonts w:ascii="Calibri" w:hAnsi="Calibri" w:cs="Calibri"/>
          <w:lang w:eastAsia="cs-CZ"/>
        </w:rPr>
        <w:t xml:space="preserve">hotovitel, bude </w:t>
      </w:r>
      <w:r>
        <w:rPr>
          <w:rFonts w:ascii="Calibri" w:hAnsi="Calibri" w:cs="Calibri"/>
          <w:lang w:eastAsia="cs-CZ"/>
        </w:rPr>
        <w:t>O</w:t>
      </w:r>
      <w:r w:rsidRPr="001E2EAA">
        <w:rPr>
          <w:rFonts w:ascii="Calibri" w:hAnsi="Calibri" w:cs="Calibri"/>
          <w:lang w:eastAsia="cs-CZ"/>
        </w:rPr>
        <w:t xml:space="preserve">bjednatel </w:t>
      </w:r>
      <w:r>
        <w:rPr>
          <w:rFonts w:ascii="Calibri" w:hAnsi="Calibri" w:cs="Calibri"/>
          <w:lang w:eastAsia="cs-CZ"/>
        </w:rPr>
        <w:t>vadu u Z</w:t>
      </w:r>
      <w:r w:rsidRPr="001E2EAA">
        <w:rPr>
          <w:rFonts w:ascii="Calibri" w:hAnsi="Calibri" w:cs="Calibri"/>
          <w:lang w:eastAsia="cs-CZ"/>
        </w:rPr>
        <w:t xml:space="preserve">hotovitele písemně </w:t>
      </w:r>
      <w:r>
        <w:rPr>
          <w:rFonts w:ascii="Calibri" w:hAnsi="Calibri" w:cs="Calibri"/>
          <w:lang w:eastAsia="cs-CZ"/>
        </w:rPr>
        <w:t>reklamovat</w:t>
      </w:r>
      <w:r w:rsidRPr="001E2EAA">
        <w:rPr>
          <w:rFonts w:ascii="Calibri" w:hAnsi="Calibri" w:cs="Calibri"/>
          <w:lang w:eastAsia="cs-CZ"/>
        </w:rPr>
        <w:t xml:space="preserve"> a vyzve ho k </w:t>
      </w:r>
      <w:r w:rsidRPr="001E2EAA">
        <w:rPr>
          <w:rFonts w:ascii="Calibri" w:hAnsi="Calibri" w:cs="Calibri"/>
          <w:lang w:eastAsia="cs-CZ"/>
        </w:rPr>
        <w:lastRenderedPageBreak/>
        <w:t>okamžitému odstranění takové vady</w:t>
      </w:r>
      <w:r>
        <w:rPr>
          <w:rFonts w:ascii="Calibri" w:hAnsi="Calibri" w:cs="Calibri"/>
          <w:lang w:eastAsia="cs-CZ"/>
        </w:rPr>
        <w:t xml:space="preserve">, přičemž </w:t>
      </w:r>
      <w:r w:rsidR="009E4DCA" w:rsidRPr="008F157B">
        <w:rPr>
          <w:rStyle w:val="Siln"/>
          <w:rFonts w:cstheme="minorHAnsi"/>
          <w:b w:val="0"/>
          <w:bCs/>
        </w:rPr>
        <w:t>Zhotovitel</w:t>
      </w:r>
      <w:r>
        <w:rPr>
          <w:rStyle w:val="Siln"/>
          <w:rFonts w:cstheme="minorHAnsi"/>
          <w:b w:val="0"/>
          <w:bCs/>
        </w:rPr>
        <w:t xml:space="preserve"> je</w:t>
      </w:r>
      <w:r w:rsidR="009E4DCA" w:rsidRPr="008F157B">
        <w:rPr>
          <w:rStyle w:val="Siln"/>
          <w:rFonts w:cstheme="minorHAnsi"/>
          <w:b w:val="0"/>
          <w:bCs/>
        </w:rPr>
        <w:t xml:space="preserve"> povinen je odstranit nejpozději do</w:t>
      </w:r>
      <w:r>
        <w:rPr>
          <w:rStyle w:val="Siln"/>
          <w:rFonts w:cstheme="minorHAnsi"/>
          <w:b w:val="0"/>
          <w:bCs/>
        </w:rPr>
        <w:t> 14</w:t>
      </w:r>
      <w:r w:rsidR="009E4DCA" w:rsidRPr="008F157B">
        <w:rPr>
          <w:rStyle w:val="Siln"/>
          <w:rFonts w:cstheme="minorHAnsi"/>
          <w:b w:val="0"/>
          <w:bCs/>
        </w:rPr>
        <w:t xml:space="preserve"> pracovních dní od obdržení </w:t>
      </w:r>
      <w:r>
        <w:rPr>
          <w:rStyle w:val="Siln"/>
          <w:rFonts w:cstheme="minorHAnsi"/>
          <w:b w:val="0"/>
          <w:bCs/>
        </w:rPr>
        <w:t xml:space="preserve">reklamace. </w:t>
      </w:r>
    </w:p>
    <w:p w14:paraId="548CCEFB" w14:textId="77777777" w:rsidR="009E4DCA" w:rsidRDefault="009E4DCA" w:rsidP="008F157B">
      <w:pPr>
        <w:pStyle w:val="Zkladntext21"/>
        <w:spacing w:after="80"/>
        <w:ind w:left="340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</w:p>
    <w:p w14:paraId="20941CE6" w14:textId="77777777" w:rsidR="00A7143C" w:rsidRDefault="00A7143C" w:rsidP="0097755F">
      <w:pPr>
        <w:pStyle w:val="Zkladntext21"/>
        <w:numPr>
          <w:ilvl w:val="0"/>
          <w:numId w:val="9"/>
        </w:numPr>
        <w:spacing w:after="80"/>
        <w:ind w:left="567" w:hanging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Smluvní strany se dohodly na těchto smluvních pokutách:</w:t>
      </w:r>
    </w:p>
    <w:p w14:paraId="4BF4D7C4" w14:textId="5DEC417D" w:rsidR="00857A7F" w:rsidRPr="00857A7F" w:rsidRDefault="00857A7F" w:rsidP="0097755F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857A7F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Při nesplnění </w:t>
      </w:r>
      <w:r w:rsidR="007F584A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některého z </w:t>
      </w:r>
      <w:r w:rsidRPr="00857A7F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termín</w:t>
      </w:r>
      <w:r w:rsidR="007F584A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ů</w:t>
      </w:r>
      <w:r w:rsidRPr="00857A7F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A02DEB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dle čl. I</w:t>
      </w:r>
      <w:r w:rsidR="0025188D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I</w:t>
      </w:r>
      <w:r w:rsidR="00214717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odst. 2 tohoto Dodatku </w:t>
      </w:r>
      <w:r w:rsidRPr="00857A7F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je Objednatel oprávněn uplatnit vůči Zhotoviteli smluvní pokutu ve výši 0,</w:t>
      </w:r>
      <w:r w:rsidR="00214717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3</w:t>
      </w:r>
      <w:r w:rsidRPr="00857A7F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% z ceny </w:t>
      </w:r>
      <w:r w:rsidR="00214717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(bez DPH) příslušného dílčího plnění</w:t>
      </w:r>
      <w:r w:rsidR="00214717" w:rsidRPr="00214717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214717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dle čl. II odst. 3 tohoto Dodatku, s nímž je Zhotovitel v prodlení, a to z</w:t>
      </w:r>
      <w:r w:rsidRPr="00857A7F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a každý i započatý den prodlení.</w:t>
      </w:r>
    </w:p>
    <w:p w14:paraId="191157E8" w14:textId="77777777" w:rsidR="008F157B" w:rsidRDefault="00857A7F" w:rsidP="0097755F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857A7F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Při nesplnění termínu pro odstranění vad a nedodělků, jakož i pro odstranění záručních vad, je Objednatel oprávněn uplatnit vůči Zhotoviteli smluvní pokutu ve výši </w:t>
      </w:r>
      <w:r w:rsidR="008F157B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1.000,- Kč</w:t>
      </w:r>
      <w:r w:rsidRPr="00857A7F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za každý i započatý den prodlení</w:t>
      </w:r>
      <w:r w:rsidR="008F157B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526A5FF4" w14:textId="77777777" w:rsidR="00EB6C9D" w:rsidRDefault="00EB6C9D" w:rsidP="0097755F">
      <w:pPr>
        <w:pStyle w:val="Zkladntext21"/>
        <w:spacing w:after="80"/>
        <w:ind w:left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</w:p>
    <w:p w14:paraId="28217DE4" w14:textId="5B01271C" w:rsidR="00B510F0" w:rsidRPr="00B510F0" w:rsidRDefault="00EB6C9D" w:rsidP="00EB6C9D">
      <w:pPr>
        <w:pStyle w:val="Zkladntext21"/>
        <w:numPr>
          <w:ilvl w:val="0"/>
          <w:numId w:val="9"/>
        </w:numPr>
        <w:tabs>
          <w:tab w:val="left" w:pos="567"/>
        </w:tabs>
        <w:spacing w:after="80"/>
        <w:ind w:left="567" w:hanging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Pro vyloučení pochybností smluvní strany potvrzují, že ve vztahu k vícepracím provedeným dle tohoto Dodatku se aplikují ustanovení čl.</w:t>
      </w:r>
      <w:r w:rsidR="00CF5C4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X Práva duševního vlastnictví a čl. XI. Odstoupení od smlouvy, vypovězení smlouvy. </w:t>
      </w:r>
    </w:p>
    <w:p w14:paraId="1905AC04" w14:textId="77777777" w:rsidR="00C06EDD" w:rsidRPr="00275210" w:rsidRDefault="00C06EDD" w:rsidP="004D5B1F">
      <w:pPr>
        <w:pStyle w:val="Zkladntext21"/>
        <w:spacing w:after="80"/>
        <w:ind w:left="567" w:hanging="567"/>
        <w:rPr>
          <w:rStyle w:val="Siln"/>
          <w:rFonts w:asciiTheme="minorHAnsi" w:hAnsiTheme="minorHAnsi" w:cstheme="minorHAnsi"/>
          <w:bCs/>
          <w:sz w:val="22"/>
          <w:szCs w:val="22"/>
        </w:rPr>
      </w:pPr>
    </w:p>
    <w:p w14:paraId="3C84725D" w14:textId="3381B577" w:rsidR="00DA38B2" w:rsidRPr="00275210" w:rsidRDefault="00DA38B2" w:rsidP="004D5B1F">
      <w:pPr>
        <w:pStyle w:val="Zkladntext21"/>
        <w:spacing w:after="80"/>
        <w:ind w:left="567" w:hanging="567"/>
        <w:jc w:val="center"/>
        <w:rPr>
          <w:rStyle w:val="Siln"/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275210">
        <w:rPr>
          <w:rStyle w:val="Siln"/>
          <w:rFonts w:asciiTheme="minorHAnsi" w:hAnsiTheme="minorHAnsi" w:cstheme="minorHAnsi"/>
          <w:bCs/>
          <w:sz w:val="22"/>
          <w:szCs w:val="22"/>
        </w:rPr>
        <w:t>Čl.</w:t>
      </w:r>
      <w:r w:rsidR="001C40C7" w:rsidRPr="00275210">
        <w:rPr>
          <w:rStyle w:val="Siln"/>
          <w:rFonts w:asciiTheme="minorHAnsi" w:hAnsiTheme="minorHAnsi" w:cstheme="minorHAnsi"/>
          <w:bCs/>
          <w:sz w:val="22"/>
          <w:szCs w:val="22"/>
        </w:rPr>
        <w:t xml:space="preserve"> </w:t>
      </w:r>
      <w:r w:rsidRPr="00275210">
        <w:rPr>
          <w:rStyle w:val="Siln"/>
          <w:rFonts w:asciiTheme="minorHAnsi" w:hAnsiTheme="minorHAnsi" w:cstheme="minorHAnsi"/>
          <w:bCs/>
          <w:sz w:val="22"/>
          <w:szCs w:val="22"/>
        </w:rPr>
        <w:t>III</w:t>
      </w:r>
      <w:r w:rsidR="00475581">
        <w:rPr>
          <w:rStyle w:val="Siln"/>
          <w:rFonts w:asciiTheme="minorHAnsi" w:hAnsiTheme="minorHAnsi" w:cstheme="minorHAnsi"/>
          <w:bCs/>
          <w:sz w:val="22"/>
          <w:szCs w:val="22"/>
        </w:rPr>
        <w:tab/>
      </w:r>
      <w:r w:rsidRPr="00275210">
        <w:rPr>
          <w:rStyle w:val="Siln"/>
          <w:rFonts w:asciiTheme="minorHAnsi" w:hAnsiTheme="minorHAnsi" w:cstheme="minorHAnsi"/>
          <w:bCs/>
          <w:sz w:val="22"/>
          <w:szCs w:val="22"/>
        </w:rPr>
        <w:t>Závěrečná ustanovení</w:t>
      </w:r>
    </w:p>
    <w:p w14:paraId="3DE55E1C" w14:textId="510022B4" w:rsidR="00ED1A5D" w:rsidRPr="00275210" w:rsidRDefault="00ED1A5D" w:rsidP="004D5B1F">
      <w:pPr>
        <w:pStyle w:val="Zkladntext21"/>
        <w:numPr>
          <w:ilvl w:val="0"/>
          <w:numId w:val="5"/>
        </w:numPr>
        <w:spacing w:after="80"/>
        <w:ind w:left="567" w:hanging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Smluvní strany prohlašují, že si tento Dodatek č. </w:t>
      </w:r>
      <w:r w:rsidR="00EA09C9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3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před jeho podepsáním přečetly, že byl uzavřen po vzájemném projednání podle jejich pravé a svobodné vůle. </w:t>
      </w:r>
    </w:p>
    <w:p w14:paraId="23583A68" w14:textId="403A24A3" w:rsidR="00ED1A5D" w:rsidRPr="00275210" w:rsidRDefault="00ED1A5D" w:rsidP="004D5B1F">
      <w:pPr>
        <w:pStyle w:val="Zkladntext21"/>
        <w:numPr>
          <w:ilvl w:val="0"/>
          <w:numId w:val="5"/>
        </w:numPr>
        <w:spacing w:after="80"/>
        <w:ind w:left="567" w:hanging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Tento </w:t>
      </w:r>
      <w:r w:rsidR="0014212C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D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odatek nabývá platnosti </w:t>
      </w:r>
      <w:r w:rsidR="009F7D8B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podpisem 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oprávněných zástupců obou smluvních stran a účinnosti dnem jejího uveřejnění v registru smluv podle zákona č. 340/2015 Sb., o registru smluv, přičemž </w:t>
      </w:r>
      <w:r w:rsidR="0014212C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D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odatek uveřejní objednatel.</w:t>
      </w:r>
    </w:p>
    <w:p w14:paraId="2D76D13A" w14:textId="06888344" w:rsidR="00DA38B2" w:rsidRPr="00275210" w:rsidRDefault="00DA38B2" w:rsidP="004D5B1F">
      <w:pPr>
        <w:pStyle w:val="Zkladntext21"/>
        <w:numPr>
          <w:ilvl w:val="0"/>
          <w:numId w:val="5"/>
        </w:numPr>
        <w:spacing w:after="80"/>
        <w:ind w:left="567" w:hanging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Ostatní ujednání původní Smlouvy </w:t>
      </w:r>
      <w:r w:rsidR="005654FE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zůstávají tímto Dodatkem č. </w:t>
      </w:r>
      <w:r w:rsidR="00EA09C9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3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nedotčené a beze změn.</w:t>
      </w:r>
    </w:p>
    <w:p w14:paraId="4289CCB4" w14:textId="119C4CE5" w:rsidR="00477DEC" w:rsidRDefault="008A665E" w:rsidP="004D5B1F">
      <w:pPr>
        <w:pStyle w:val="Zkladntext21"/>
        <w:numPr>
          <w:ilvl w:val="0"/>
          <w:numId w:val="5"/>
        </w:numPr>
        <w:spacing w:after="80"/>
        <w:ind w:left="567" w:hanging="567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8A665E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Tento </w:t>
      </w:r>
      <w:r w:rsidR="00CB48B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D</w:t>
      </w:r>
      <w:r w:rsidRPr="008A665E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odatek je vyhotoven v elektronické podobě s připojenými elektronickými podpisy smluvních stran.</w:t>
      </w:r>
    </w:p>
    <w:tbl>
      <w:tblPr>
        <w:tblW w:w="9742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744ABF" w:rsidRPr="00275210" w14:paraId="38163E85" w14:textId="77777777" w:rsidTr="00581EA8">
        <w:trPr>
          <w:cantSplit/>
          <w:trHeight w:val="2160"/>
        </w:trPr>
        <w:tc>
          <w:tcPr>
            <w:tcW w:w="4871" w:type="dxa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6BD3D6F4" w14:textId="14A3965F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  <w:r w:rsidRPr="00275210">
              <w:rPr>
                <w:rFonts w:cstheme="minorHAnsi"/>
                <w:color w:val="000000"/>
              </w:rPr>
              <w:t>V Olomouci, datum viz elektronický podpis</w:t>
            </w:r>
          </w:p>
          <w:p w14:paraId="38EA3F7C" w14:textId="77777777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</w:p>
          <w:p w14:paraId="0D9240CE" w14:textId="5E0FDAF0" w:rsidR="00744ABF" w:rsidRPr="00275210" w:rsidRDefault="00B81BD5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="00744ABF" w:rsidRPr="00275210">
              <w:rPr>
                <w:rFonts w:cstheme="minorHAnsi"/>
                <w:color w:val="000000"/>
              </w:rPr>
              <w:t>bjednatel</w:t>
            </w:r>
          </w:p>
          <w:p w14:paraId="3ECCE0A0" w14:textId="77777777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</w:p>
          <w:p w14:paraId="225BADE5" w14:textId="77777777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</w:p>
          <w:p w14:paraId="322AE17D" w14:textId="77777777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  <w:r w:rsidRPr="00275210">
              <w:rPr>
                <w:rFonts w:cstheme="minorHAnsi"/>
                <w:color w:val="000000"/>
              </w:rPr>
              <w:t>……………………………………………………</w:t>
            </w:r>
          </w:p>
          <w:p w14:paraId="32195433" w14:textId="77777777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  <w:r w:rsidRPr="00275210">
              <w:rPr>
                <w:rFonts w:cstheme="minorHAnsi"/>
                <w:color w:val="000000"/>
              </w:rPr>
              <w:t>Národní památkový ústav</w:t>
            </w:r>
          </w:p>
          <w:p w14:paraId="10BFEF90" w14:textId="77777777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</w:p>
          <w:sdt>
            <w:sdtPr>
              <w:rPr>
                <w:rFonts w:cstheme="minorHAnsi"/>
              </w:rPr>
              <w:tag w:val="goog_rdk_43"/>
              <w:id w:val="-643656925"/>
            </w:sdtPr>
            <w:sdtEndPr/>
            <w:sdtContent>
              <w:p w14:paraId="2E562248" w14:textId="77777777" w:rsidR="00744ABF" w:rsidRPr="00275210" w:rsidRDefault="00BB42FE" w:rsidP="004D5B1F">
                <w:pPr>
                  <w:keepNext/>
                  <w:keepLines/>
                  <w:widowControl w:val="0"/>
                  <w:spacing w:after="80" w:line="240" w:lineRule="auto"/>
                  <w:ind w:left="567" w:hanging="567"/>
                  <w:rPr>
                    <w:rFonts w:eastAsia="Times New Roman" w:cstheme="minorHAnsi"/>
                    <w:color w:val="000000"/>
                  </w:rPr>
                </w:pPr>
                <w:sdt>
                  <w:sdtPr>
                    <w:rPr>
                      <w:rFonts w:cstheme="minorHAnsi"/>
                    </w:rPr>
                    <w:tag w:val="goog_rdk_39"/>
                    <w:id w:val="137228590"/>
                  </w:sdtPr>
                  <w:sdtEndPr/>
                  <w:sdtContent>
                    <w:sdt>
                      <w:sdtPr>
                        <w:rPr>
                          <w:rFonts w:cstheme="minorHAnsi"/>
                        </w:rPr>
                        <w:tag w:val="goog_rdk_40"/>
                        <w:id w:val="631825756"/>
                      </w:sdtPr>
                      <w:sdtEndPr/>
                      <w:sdtContent>
                        <w:r w:rsidR="00744ABF" w:rsidRPr="00275210">
                          <w:rPr>
                            <w:rFonts w:cstheme="minorHAnsi"/>
                          </w:rPr>
                          <w:t>Mgr. František Chupík, Ph.D., ředitel územního odborného</w:t>
                        </w:r>
                      </w:sdtContent>
                    </w:sdt>
                    <w:r w:rsidR="00744ABF" w:rsidRPr="00275210">
                      <w:rPr>
                        <w:rFonts w:cstheme="minorHAnsi"/>
                      </w:rPr>
                      <w:t xml:space="preserve"> </w:t>
                    </w:r>
                    <w:sdt>
                      <w:sdtPr>
                        <w:rPr>
                          <w:rFonts w:cstheme="minorHAnsi"/>
                        </w:rPr>
                        <w:tag w:val="goog_rdk_41"/>
                        <w:id w:val="1496757790"/>
                      </w:sdtPr>
                      <w:sdtEndPr/>
                      <w:sdtContent>
                        <w:r w:rsidR="00744ABF" w:rsidRPr="00275210">
                          <w:rPr>
                            <w:rFonts w:cstheme="minorHAnsi"/>
                          </w:rPr>
                          <w:t>pracoviště v Olomouci</w:t>
                        </w:r>
                      </w:sdtContent>
                    </w:sdt>
                  </w:sdtContent>
                </w:sdt>
                <w:sdt>
                  <w:sdtPr>
                    <w:rPr>
                      <w:rFonts w:cstheme="minorHAnsi"/>
                    </w:rPr>
                    <w:tag w:val="goog_rdk_42"/>
                    <w:id w:val="-469983950"/>
                    <w:showingPlcHdr/>
                  </w:sdtPr>
                  <w:sdtEndPr/>
                  <w:sdtContent>
                    <w:r w:rsidR="00744ABF" w:rsidRPr="00275210">
                      <w:rPr>
                        <w:rFonts w:cstheme="minorHAnsi"/>
                      </w:rPr>
                      <w:t xml:space="preserve">     </w:t>
                    </w:r>
                  </w:sdtContent>
                </w:sdt>
              </w:p>
            </w:sdtContent>
          </w:sdt>
          <w:p w14:paraId="396DFC1F" w14:textId="77777777" w:rsidR="00744ABF" w:rsidRPr="00275210" w:rsidRDefault="00BB42FE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</w:rPr>
                <w:tag w:val="goog_rdk_45"/>
                <w:id w:val="110559199"/>
                <w:showingPlcHdr/>
              </w:sdtPr>
              <w:sdtEndPr/>
              <w:sdtContent>
                <w:r w:rsidR="00744ABF" w:rsidRPr="00275210">
                  <w:rPr>
                    <w:rFonts w:cstheme="minorHAnsi"/>
                  </w:rPr>
                  <w:t xml:space="preserve">     </w:t>
                </w:r>
              </w:sdtContent>
            </w:sdt>
          </w:p>
        </w:tc>
        <w:tc>
          <w:tcPr>
            <w:tcW w:w="4871" w:type="dxa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4B6E148B" w14:textId="1CCE03DE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  <w:r w:rsidRPr="00275210">
              <w:rPr>
                <w:rFonts w:cstheme="minorHAnsi"/>
                <w:color w:val="000000"/>
              </w:rPr>
              <w:t>V </w:t>
            </w:r>
            <w:r w:rsidR="003031D6">
              <w:rPr>
                <w:rFonts w:cstheme="minorHAnsi"/>
                <w:color w:val="000000"/>
              </w:rPr>
              <w:t>Olomouci</w:t>
            </w:r>
            <w:r w:rsidRPr="00275210">
              <w:rPr>
                <w:rFonts w:cstheme="minorHAnsi"/>
                <w:color w:val="000000"/>
              </w:rPr>
              <w:t xml:space="preserve"> datum viz elektronický podpis</w:t>
            </w:r>
          </w:p>
          <w:p w14:paraId="5916E5D2" w14:textId="77777777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</w:p>
          <w:p w14:paraId="5E7B9483" w14:textId="727E2F52" w:rsidR="00744ABF" w:rsidRPr="00275210" w:rsidRDefault="00B81BD5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</w:t>
            </w:r>
            <w:r w:rsidR="00744ABF" w:rsidRPr="00275210">
              <w:rPr>
                <w:rFonts w:cstheme="minorHAnsi"/>
                <w:color w:val="000000"/>
              </w:rPr>
              <w:t>hotovitel</w:t>
            </w:r>
          </w:p>
          <w:p w14:paraId="4A644249" w14:textId="77777777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</w:p>
          <w:p w14:paraId="034FD140" w14:textId="77777777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</w:p>
          <w:p w14:paraId="281B38DA" w14:textId="77777777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  <w:r w:rsidRPr="00275210">
              <w:rPr>
                <w:rFonts w:cstheme="minorHAnsi"/>
                <w:color w:val="000000"/>
              </w:rPr>
              <w:t>……………………………………………………</w:t>
            </w:r>
          </w:p>
          <w:p w14:paraId="22F3C6A5" w14:textId="77777777" w:rsidR="00EA09C9" w:rsidRPr="00EA09C9" w:rsidRDefault="00EA09C9" w:rsidP="00EA09C9">
            <w:pPr>
              <w:pStyle w:val="Bezmezer"/>
              <w:spacing w:after="80"/>
              <w:ind w:left="567" w:hanging="567"/>
              <w:jc w:val="center"/>
            </w:pPr>
            <w:r w:rsidRPr="00EA09C9">
              <w:t xml:space="preserve">Ing. Martin </w:t>
            </w:r>
            <w:proofErr w:type="spellStart"/>
            <w:r w:rsidRPr="00EA09C9">
              <w:t>Trokan</w:t>
            </w:r>
            <w:proofErr w:type="spellEnd"/>
          </w:p>
          <w:p w14:paraId="3760CA4E" w14:textId="1C166A2B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</w:p>
          <w:p w14:paraId="173DEB47" w14:textId="77777777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</w:p>
          <w:p w14:paraId="3D77CD92" w14:textId="296CC3E6" w:rsidR="00744ABF" w:rsidRPr="00275210" w:rsidRDefault="00744ABF" w:rsidP="004D5B1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567" w:hanging="567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7B6449AA" w14:textId="53A5BED5" w:rsidR="00BB445C" w:rsidRPr="00275210" w:rsidRDefault="00BB445C" w:rsidP="004D5B1F">
      <w:pPr>
        <w:pStyle w:val="Zkladntext21"/>
        <w:spacing w:after="80"/>
        <w:ind w:left="567" w:hanging="567"/>
        <w:rPr>
          <w:rStyle w:val="Siln"/>
          <w:rFonts w:asciiTheme="minorHAnsi" w:hAnsiTheme="minorHAnsi" w:cstheme="minorHAnsi"/>
          <w:b w:val="0"/>
          <w:sz w:val="22"/>
          <w:szCs w:val="22"/>
        </w:rPr>
      </w:pPr>
    </w:p>
    <w:sectPr w:rsidR="00BB445C" w:rsidRPr="00275210" w:rsidSect="00F1252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A8623" w14:textId="77777777" w:rsidR="00DA66A5" w:rsidRDefault="00DA66A5" w:rsidP="00E50AAC">
      <w:pPr>
        <w:spacing w:after="0" w:line="240" w:lineRule="auto"/>
      </w:pPr>
      <w:r>
        <w:separator/>
      </w:r>
    </w:p>
  </w:endnote>
  <w:endnote w:type="continuationSeparator" w:id="0">
    <w:p w14:paraId="4FF76BD7" w14:textId="77777777" w:rsidR="00DA66A5" w:rsidRDefault="00DA66A5" w:rsidP="00E5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0F872" w14:textId="77777777" w:rsidR="00DA66A5" w:rsidRDefault="00DA66A5" w:rsidP="00E50AAC">
      <w:pPr>
        <w:spacing w:after="0" w:line="240" w:lineRule="auto"/>
      </w:pPr>
      <w:r>
        <w:separator/>
      </w:r>
    </w:p>
  </w:footnote>
  <w:footnote w:type="continuationSeparator" w:id="0">
    <w:p w14:paraId="258ED3B6" w14:textId="77777777" w:rsidR="00DA66A5" w:rsidRDefault="00DA66A5" w:rsidP="00E5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500AB" w14:textId="671B6DA7" w:rsidR="00E50AAC" w:rsidRPr="000E4998" w:rsidRDefault="00E50AAC" w:rsidP="00E50AAC">
    <w:pPr>
      <w:pStyle w:val="Zhlav"/>
      <w:jc w:val="right"/>
      <w:rPr>
        <w:rFonts w:cstheme="minorHAnsi"/>
      </w:rPr>
    </w:pPr>
    <w:r w:rsidRPr="000E4998">
      <w:tab/>
    </w:r>
    <w:r w:rsidR="00EA0A77">
      <w:t xml:space="preserve">Č.j. </w:t>
    </w:r>
    <w:r w:rsidRPr="000E4998">
      <w:rPr>
        <w:rFonts w:cstheme="minorHAnsi"/>
        <w:bCs/>
      </w:rPr>
      <w:t>NPU-</w:t>
    </w:r>
    <w:r w:rsidR="00744ABF" w:rsidRPr="000E4998">
      <w:rPr>
        <w:rFonts w:cstheme="minorHAnsi"/>
        <w:bCs/>
      </w:rPr>
      <w:t>391</w:t>
    </w:r>
    <w:r w:rsidRPr="000E4998">
      <w:rPr>
        <w:rFonts w:cstheme="minorHAnsi"/>
        <w:bCs/>
      </w:rPr>
      <w:t>/</w:t>
    </w:r>
    <w:r w:rsidR="000E4998" w:rsidRPr="000E4998">
      <w:rPr>
        <w:rFonts w:cstheme="minorHAnsi"/>
        <w:bCs/>
      </w:rPr>
      <w:t>89944</w:t>
    </w:r>
    <w:r w:rsidRPr="000E4998">
      <w:rPr>
        <w:rFonts w:cstheme="minorHAnsi"/>
        <w:bCs/>
      </w:rPr>
      <w:t>/202</w:t>
    </w:r>
    <w:r w:rsidR="001C40C7" w:rsidRPr="000E4998">
      <w:rPr>
        <w:rFonts w:cstheme="minorHAnsi"/>
        <w:bCs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1583"/>
    <w:multiLevelType w:val="multilevel"/>
    <w:tmpl w:val="BF12C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86C2B"/>
    <w:multiLevelType w:val="multilevel"/>
    <w:tmpl w:val="1430B29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/>
        <w:vertAlign w:val="baseline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0E0D3880"/>
    <w:multiLevelType w:val="hybridMultilevel"/>
    <w:tmpl w:val="EA345520"/>
    <w:lvl w:ilvl="0" w:tplc="30B2939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D4C15"/>
    <w:multiLevelType w:val="hybridMultilevel"/>
    <w:tmpl w:val="07441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506C3"/>
    <w:multiLevelType w:val="hybridMultilevel"/>
    <w:tmpl w:val="12D6F4B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D3C3D02"/>
    <w:multiLevelType w:val="hybridMultilevel"/>
    <w:tmpl w:val="85300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D145E"/>
    <w:multiLevelType w:val="hybridMultilevel"/>
    <w:tmpl w:val="EA345520"/>
    <w:lvl w:ilvl="0" w:tplc="30B2939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64459"/>
    <w:multiLevelType w:val="multilevel"/>
    <w:tmpl w:val="FFFFFFFF"/>
    <w:lvl w:ilvl="0">
      <w:start w:val="7"/>
      <w:numFmt w:val="decimal"/>
      <w:lvlText w:val="%1"/>
      <w:lvlJc w:val="left"/>
      <w:pPr>
        <w:ind w:left="567" w:hanging="567"/>
      </w:pPr>
      <w:rPr>
        <w:b/>
        <w:i w:val="0"/>
        <w:vertAlign w:val="baseli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/>
        <w:i w:val="0"/>
        <w:vertAlign w:val="baseline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134" w:hanging="17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160" w:hanging="1800"/>
      </w:pPr>
      <w:rPr>
        <w:vertAlign w:val="baseline"/>
      </w:rPr>
    </w:lvl>
  </w:abstractNum>
  <w:abstractNum w:abstractNumId="8" w15:restartNumberingAfterBreak="0">
    <w:nsid w:val="61745BF4"/>
    <w:multiLevelType w:val="multilevel"/>
    <w:tmpl w:val="E654BD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9" w15:restartNumberingAfterBreak="0">
    <w:nsid w:val="62593276"/>
    <w:multiLevelType w:val="hybridMultilevel"/>
    <w:tmpl w:val="E71E1272"/>
    <w:lvl w:ilvl="0" w:tplc="CF6C227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76814"/>
    <w:multiLevelType w:val="multilevel"/>
    <w:tmpl w:val="175463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1" w15:restartNumberingAfterBreak="0">
    <w:nsid w:val="6F99008C"/>
    <w:multiLevelType w:val="hybridMultilevel"/>
    <w:tmpl w:val="ED3A743A"/>
    <w:lvl w:ilvl="0" w:tplc="61CA07A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93"/>
    <w:rsid w:val="00007019"/>
    <w:rsid w:val="000073A9"/>
    <w:rsid w:val="000321C4"/>
    <w:rsid w:val="0004067C"/>
    <w:rsid w:val="00053B96"/>
    <w:rsid w:val="00055177"/>
    <w:rsid w:val="00074EA2"/>
    <w:rsid w:val="00075899"/>
    <w:rsid w:val="000900AF"/>
    <w:rsid w:val="00094FEA"/>
    <w:rsid w:val="00097C2E"/>
    <w:rsid w:val="000A0D83"/>
    <w:rsid w:val="000A7F4F"/>
    <w:rsid w:val="000D2F5F"/>
    <w:rsid w:val="000E4998"/>
    <w:rsid w:val="000E50BB"/>
    <w:rsid w:val="000E5CF1"/>
    <w:rsid w:val="000F2277"/>
    <w:rsid w:val="001060F8"/>
    <w:rsid w:val="0011094E"/>
    <w:rsid w:val="00121842"/>
    <w:rsid w:val="00122C23"/>
    <w:rsid w:val="0013024C"/>
    <w:rsid w:val="00130EBE"/>
    <w:rsid w:val="00134EBA"/>
    <w:rsid w:val="0014212C"/>
    <w:rsid w:val="00185CDA"/>
    <w:rsid w:val="00196885"/>
    <w:rsid w:val="001A6497"/>
    <w:rsid w:val="001B5241"/>
    <w:rsid w:val="001C40C7"/>
    <w:rsid w:val="001C45CE"/>
    <w:rsid w:val="001C491D"/>
    <w:rsid w:val="001C7B5E"/>
    <w:rsid w:val="001D2DBE"/>
    <w:rsid w:val="001F1626"/>
    <w:rsid w:val="0021113B"/>
    <w:rsid w:val="00212759"/>
    <w:rsid w:val="0021371B"/>
    <w:rsid w:val="00214717"/>
    <w:rsid w:val="00240A42"/>
    <w:rsid w:val="00240E17"/>
    <w:rsid w:val="002430FE"/>
    <w:rsid w:val="0024523C"/>
    <w:rsid w:val="0024558D"/>
    <w:rsid w:val="0025188D"/>
    <w:rsid w:val="002552C7"/>
    <w:rsid w:val="002563F8"/>
    <w:rsid w:val="00263E80"/>
    <w:rsid w:val="00275210"/>
    <w:rsid w:val="00276E31"/>
    <w:rsid w:val="00286829"/>
    <w:rsid w:val="002934DE"/>
    <w:rsid w:val="002A1427"/>
    <w:rsid w:val="002A76EC"/>
    <w:rsid w:val="002D4262"/>
    <w:rsid w:val="002F37F1"/>
    <w:rsid w:val="002F55E8"/>
    <w:rsid w:val="003031D6"/>
    <w:rsid w:val="00304EC1"/>
    <w:rsid w:val="00314C1C"/>
    <w:rsid w:val="003167F2"/>
    <w:rsid w:val="00321653"/>
    <w:rsid w:val="00323962"/>
    <w:rsid w:val="0034402B"/>
    <w:rsid w:val="00353750"/>
    <w:rsid w:val="00353F46"/>
    <w:rsid w:val="00366160"/>
    <w:rsid w:val="003779A0"/>
    <w:rsid w:val="0039212C"/>
    <w:rsid w:val="003978F6"/>
    <w:rsid w:val="003D73B0"/>
    <w:rsid w:val="003E7F2B"/>
    <w:rsid w:val="003F2546"/>
    <w:rsid w:val="003F3E5B"/>
    <w:rsid w:val="003F690C"/>
    <w:rsid w:val="003F79B0"/>
    <w:rsid w:val="00402012"/>
    <w:rsid w:val="0040363E"/>
    <w:rsid w:val="00404DC4"/>
    <w:rsid w:val="0040625D"/>
    <w:rsid w:val="0042663B"/>
    <w:rsid w:val="004275C9"/>
    <w:rsid w:val="00436B20"/>
    <w:rsid w:val="004440DA"/>
    <w:rsid w:val="0044680B"/>
    <w:rsid w:val="00447E43"/>
    <w:rsid w:val="00452FE0"/>
    <w:rsid w:val="004566C8"/>
    <w:rsid w:val="00460008"/>
    <w:rsid w:val="0046303F"/>
    <w:rsid w:val="00463DCC"/>
    <w:rsid w:val="00475581"/>
    <w:rsid w:val="00477DEC"/>
    <w:rsid w:val="0048202D"/>
    <w:rsid w:val="0048343E"/>
    <w:rsid w:val="00491389"/>
    <w:rsid w:val="004B42E6"/>
    <w:rsid w:val="004C7235"/>
    <w:rsid w:val="004D48FE"/>
    <w:rsid w:val="004D57C8"/>
    <w:rsid w:val="004D5B1F"/>
    <w:rsid w:val="004E4A99"/>
    <w:rsid w:val="004E5FA2"/>
    <w:rsid w:val="004E7BB9"/>
    <w:rsid w:val="004F0A1E"/>
    <w:rsid w:val="00502694"/>
    <w:rsid w:val="00503F4E"/>
    <w:rsid w:val="00504D55"/>
    <w:rsid w:val="00531B86"/>
    <w:rsid w:val="0053771C"/>
    <w:rsid w:val="00537A19"/>
    <w:rsid w:val="00540284"/>
    <w:rsid w:val="00543DDE"/>
    <w:rsid w:val="00552CF5"/>
    <w:rsid w:val="00553A74"/>
    <w:rsid w:val="005654FE"/>
    <w:rsid w:val="005721FE"/>
    <w:rsid w:val="00576012"/>
    <w:rsid w:val="00585A22"/>
    <w:rsid w:val="005B7C32"/>
    <w:rsid w:val="005C04F0"/>
    <w:rsid w:val="005C6C11"/>
    <w:rsid w:val="005D659A"/>
    <w:rsid w:val="005F0FE8"/>
    <w:rsid w:val="00600FAD"/>
    <w:rsid w:val="00606672"/>
    <w:rsid w:val="00615493"/>
    <w:rsid w:val="00621BD4"/>
    <w:rsid w:val="00624C2A"/>
    <w:rsid w:val="00627DDB"/>
    <w:rsid w:val="00643C1D"/>
    <w:rsid w:val="00653093"/>
    <w:rsid w:val="00662D41"/>
    <w:rsid w:val="0068427C"/>
    <w:rsid w:val="006870B0"/>
    <w:rsid w:val="006A23CD"/>
    <w:rsid w:val="006A433F"/>
    <w:rsid w:val="0073477E"/>
    <w:rsid w:val="00744ABF"/>
    <w:rsid w:val="00760FF0"/>
    <w:rsid w:val="007627A6"/>
    <w:rsid w:val="00781291"/>
    <w:rsid w:val="00792033"/>
    <w:rsid w:val="007A7EE6"/>
    <w:rsid w:val="007B3520"/>
    <w:rsid w:val="007C0F10"/>
    <w:rsid w:val="007C1ED7"/>
    <w:rsid w:val="007C24C5"/>
    <w:rsid w:val="007C4F76"/>
    <w:rsid w:val="007C62D3"/>
    <w:rsid w:val="007E5A48"/>
    <w:rsid w:val="007F5556"/>
    <w:rsid w:val="007F584A"/>
    <w:rsid w:val="008078CD"/>
    <w:rsid w:val="00821602"/>
    <w:rsid w:val="008343C8"/>
    <w:rsid w:val="0084084C"/>
    <w:rsid w:val="00851147"/>
    <w:rsid w:val="00856596"/>
    <w:rsid w:val="00857A7F"/>
    <w:rsid w:val="00860EE1"/>
    <w:rsid w:val="00865F87"/>
    <w:rsid w:val="00883676"/>
    <w:rsid w:val="00894DD4"/>
    <w:rsid w:val="008A568D"/>
    <w:rsid w:val="008A665E"/>
    <w:rsid w:val="008C78D3"/>
    <w:rsid w:val="008D2985"/>
    <w:rsid w:val="008E502A"/>
    <w:rsid w:val="008F157B"/>
    <w:rsid w:val="008F3C9C"/>
    <w:rsid w:val="00904025"/>
    <w:rsid w:val="00907E55"/>
    <w:rsid w:val="00912CEB"/>
    <w:rsid w:val="00917629"/>
    <w:rsid w:val="0095716B"/>
    <w:rsid w:val="00961D88"/>
    <w:rsid w:val="0097755F"/>
    <w:rsid w:val="009817B1"/>
    <w:rsid w:val="00984944"/>
    <w:rsid w:val="00984AAF"/>
    <w:rsid w:val="00992B7B"/>
    <w:rsid w:val="009A7F96"/>
    <w:rsid w:val="009B5035"/>
    <w:rsid w:val="009C19F1"/>
    <w:rsid w:val="009D2278"/>
    <w:rsid w:val="009E4DCA"/>
    <w:rsid w:val="009F7D8B"/>
    <w:rsid w:val="00A00B7A"/>
    <w:rsid w:val="00A02DEB"/>
    <w:rsid w:val="00A0340D"/>
    <w:rsid w:val="00A06CB8"/>
    <w:rsid w:val="00A1102D"/>
    <w:rsid w:val="00A14004"/>
    <w:rsid w:val="00A225DD"/>
    <w:rsid w:val="00A24F26"/>
    <w:rsid w:val="00A30857"/>
    <w:rsid w:val="00A47BA6"/>
    <w:rsid w:val="00A50034"/>
    <w:rsid w:val="00A5174B"/>
    <w:rsid w:val="00A62E32"/>
    <w:rsid w:val="00A7143C"/>
    <w:rsid w:val="00AA071B"/>
    <w:rsid w:val="00AB4B17"/>
    <w:rsid w:val="00AC2953"/>
    <w:rsid w:val="00AC7107"/>
    <w:rsid w:val="00AF4C90"/>
    <w:rsid w:val="00B0235F"/>
    <w:rsid w:val="00B04C0E"/>
    <w:rsid w:val="00B136F0"/>
    <w:rsid w:val="00B15116"/>
    <w:rsid w:val="00B16D35"/>
    <w:rsid w:val="00B23446"/>
    <w:rsid w:val="00B23EA8"/>
    <w:rsid w:val="00B241B8"/>
    <w:rsid w:val="00B24CAE"/>
    <w:rsid w:val="00B411E4"/>
    <w:rsid w:val="00B50E63"/>
    <w:rsid w:val="00B510F0"/>
    <w:rsid w:val="00B52D40"/>
    <w:rsid w:val="00B56154"/>
    <w:rsid w:val="00B80EAE"/>
    <w:rsid w:val="00B81BD5"/>
    <w:rsid w:val="00BA405C"/>
    <w:rsid w:val="00BB42FE"/>
    <w:rsid w:val="00BB445C"/>
    <w:rsid w:val="00BB6331"/>
    <w:rsid w:val="00BD6DB6"/>
    <w:rsid w:val="00BE2F4D"/>
    <w:rsid w:val="00BE7C32"/>
    <w:rsid w:val="00BF29A6"/>
    <w:rsid w:val="00C06EDD"/>
    <w:rsid w:val="00C237AF"/>
    <w:rsid w:val="00C46619"/>
    <w:rsid w:val="00C46F07"/>
    <w:rsid w:val="00C55C93"/>
    <w:rsid w:val="00C631BD"/>
    <w:rsid w:val="00C635BE"/>
    <w:rsid w:val="00C65B74"/>
    <w:rsid w:val="00C8228C"/>
    <w:rsid w:val="00C834AE"/>
    <w:rsid w:val="00C97895"/>
    <w:rsid w:val="00CA1E93"/>
    <w:rsid w:val="00CA7319"/>
    <w:rsid w:val="00CB48B0"/>
    <w:rsid w:val="00CB6267"/>
    <w:rsid w:val="00CC1974"/>
    <w:rsid w:val="00CC2A73"/>
    <w:rsid w:val="00CD1E7F"/>
    <w:rsid w:val="00CD427E"/>
    <w:rsid w:val="00CE7F35"/>
    <w:rsid w:val="00CF5C42"/>
    <w:rsid w:val="00D0398B"/>
    <w:rsid w:val="00D125E9"/>
    <w:rsid w:val="00D12ACD"/>
    <w:rsid w:val="00D231AD"/>
    <w:rsid w:val="00D2418F"/>
    <w:rsid w:val="00D26715"/>
    <w:rsid w:val="00D37C2E"/>
    <w:rsid w:val="00D56334"/>
    <w:rsid w:val="00D7252B"/>
    <w:rsid w:val="00D73002"/>
    <w:rsid w:val="00D76B88"/>
    <w:rsid w:val="00D84290"/>
    <w:rsid w:val="00D9038F"/>
    <w:rsid w:val="00D947F5"/>
    <w:rsid w:val="00DA24FD"/>
    <w:rsid w:val="00DA38B2"/>
    <w:rsid w:val="00DA66A5"/>
    <w:rsid w:val="00DA6C95"/>
    <w:rsid w:val="00DB3F89"/>
    <w:rsid w:val="00DD4392"/>
    <w:rsid w:val="00DE0C95"/>
    <w:rsid w:val="00DE7BDB"/>
    <w:rsid w:val="00E07203"/>
    <w:rsid w:val="00E22605"/>
    <w:rsid w:val="00E30FE0"/>
    <w:rsid w:val="00E350B7"/>
    <w:rsid w:val="00E50AAC"/>
    <w:rsid w:val="00E60ACE"/>
    <w:rsid w:val="00E711AC"/>
    <w:rsid w:val="00E7227E"/>
    <w:rsid w:val="00E75EBE"/>
    <w:rsid w:val="00E936B4"/>
    <w:rsid w:val="00EA09C9"/>
    <w:rsid w:val="00EA0A77"/>
    <w:rsid w:val="00EA54D9"/>
    <w:rsid w:val="00EA7ECE"/>
    <w:rsid w:val="00EB459E"/>
    <w:rsid w:val="00EB6C9D"/>
    <w:rsid w:val="00ED03C3"/>
    <w:rsid w:val="00ED1A5D"/>
    <w:rsid w:val="00EE2349"/>
    <w:rsid w:val="00EF16E7"/>
    <w:rsid w:val="00EF5A43"/>
    <w:rsid w:val="00F1252E"/>
    <w:rsid w:val="00F20A95"/>
    <w:rsid w:val="00F20D6B"/>
    <w:rsid w:val="00F21A5A"/>
    <w:rsid w:val="00F30A85"/>
    <w:rsid w:val="00F40E67"/>
    <w:rsid w:val="00F57901"/>
    <w:rsid w:val="00F61974"/>
    <w:rsid w:val="00F62C06"/>
    <w:rsid w:val="00F86EDD"/>
    <w:rsid w:val="00FA0BBB"/>
    <w:rsid w:val="00FA7688"/>
    <w:rsid w:val="00FB2023"/>
    <w:rsid w:val="00FB744F"/>
    <w:rsid w:val="00FC6518"/>
    <w:rsid w:val="00FE2141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CC71"/>
  <w15:chartTrackingRefBased/>
  <w15:docId w15:val="{723DAA6C-798B-4309-9DA8-5BEEEDCA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5C93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C55C93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C55C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Standardnpsmoodstavce"/>
    <w:rsid w:val="00C55C93"/>
  </w:style>
  <w:style w:type="character" w:styleId="Hypertextovodkaz">
    <w:name w:val="Hyperlink"/>
    <w:basedOn w:val="Standardnpsmoodstavce"/>
    <w:uiPriority w:val="99"/>
    <w:unhideWhenUsed/>
    <w:rsid w:val="00C55C93"/>
    <w:rPr>
      <w:color w:val="0563C1" w:themeColor="hyperlink"/>
      <w:u w:val="single"/>
    </w:rPr>
  </w:style>
  <w:style w:type="paragraph" w:customStyle="1" w:styleId="Odstavec1">
    <w:name w:val="Odstavec 1."/>
    <w:basedOn w:val="Normln"/>
    <w:uiPriority w:val="99"/>
    <w:rsid w:val="00DB3F89"/>
    <w:pPr>
      <w:keepNext/>
      <w:numPr>
        <w:numId w:val="2"/>
      </w:numPr>
      <w:spacing w:before="360" w:after="120" w:line="240" w:lineRule="auto"/>
    </w:pPr>
    <w:rPr>
      <w:rFonts w:ascii="Calibri" w:eastAsia="Times New Roman" w:hAnsi="Calibri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DB3F89"/>
    <w:pPr>
      <w:numPr>
        <w:ilvl w:val="1"/>
        <w:numId w:val="2"/>
      </w:numPr>
      <w:spacing w:before="120" w:after="12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platne1">
    <w:name w:val="platne1"/>
    <w:uiPriority w:val="99"/>
    <w:rsid w:val="00DB3F89"/>
  </w:style>
  <w:style w:type="paragraph" w:styleId="Textbubliny">
    <w:name w:val="Balloon Text"/>
    <w:basedOn w:val="Normln"/>
    <w:link w:val="TextbublinyChar"/>
    <w:uiPriority w:val="99"/>
    <w:semiHidden/>
    <w:unhideWhenUsed/>
    <w:rsid w:val="003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0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24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50A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50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AAC"/>
  </w:style>
  <w:style w:type="paragraph" w:styleId="Zpat">
    <w:name w:val="footer"/>
    <w:basedOn w:val="Normln"/>
    <w:link w:val="Zpat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AAC"/>
  </w:style>
  <w:style w:type="paragraph" w:styleId="Odstavecseseznamem">
    <w:name w:val="List Paragraph"/>
    <w:basedOn w:val="Normln"/>
    <w:uiPriority w:val="99"/>
    <w:qFormat/>
    <w:rsid w:val="00314C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Mičková Petra</cp:lastModifiedBy>
  <cp:revision>2</cp:revision>
  <cp:lastPrinted>2023-08-09T07:26:00Z</cp:lastPrinted>
  <dcterms:created xsi:type="dcterms:W3CDTF">2024-10-04T05:10:00Z</dcterms:created>
  <dcterms:modified xsi:type="dcterms:W3CDTF">2024-10-04T05:10:00Z</dcterms:modified>
</cp:coreProperties>
</file>