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6FD2" w14:textId="0D7665B0" w:rsidR="0059316D" w:rsidRDefault="004B63CF" w:rsidP="0059316D">
      <w:pPr>
        <w:pStyle w:val="Nadpis1"/>
      </w:pPr>
      <w:r>
        <w:t xml:space="preserve">dodatek </w:t>
      </w:r>
      <w:r w:rsidR="0027555C">
        <w:t xml:space="preserve">č. </w:t>
      </w:r>
      <w:r w:rsidR="002524B9">
        <w:t>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5441556" w14:textId="6D5BF4B1" w:rsidR="0027555C" w:rsidRDefault="002524B9" w:rsidP="004B63CF">
      <w:r>
        <w:t>Věra Novotná</w:t>
      </w:r>
    </w:p>
    <w:p w14:paraId="5F82661A" w14:textId="689CF08D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FD2490">
        <w:t>xxx</w:t>
      </w:r>
      <w:r w:rsidR="002524B9">
        <w:t>, Praha 8, 180 00</w:t>
      </w:r>
    </w:p>
    <w:p w14:paraId="4D552BCD" w14:textId="2DFBF6AF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</w:r>
      <w:r w:rsidR="001E1340">
        <w:t>46</w:t>
      </w:r>
      <w:r w:rsidR="00EA785E">
        <w:t>389342</w:t>
      </w:r>
    </w:p>
    <w:p w14:paraId="3E604EE3" w14:textId="77777777" w:rsidR="00A87363" w:rsidRDefault="00A87363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61A79D56" w:rsidR="00CB3EA1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0EEE6C3B" w14:textId="0B7D4FF4" w:rsidR="00CB3EA1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2A412575" w:rsidR="00CB3EA1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6150D30" w14:textId="3E67CF67" w:rsidR="00CB3EA1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6EC7C65D" w:rsidR="001E1473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zakázka pro concierge</w:t>
            </w:r>
          </w:p>
        </w:tc>
        <w:tc>
          <w:tcPr>
            <w:tcW w:w="3105" w:type="dxa"/>
          </w:tcPr>
          <w:p w14:paraId="4AE7B41A" w14:textId="503E0B6F" w:rsidR="001E1473" w:rsidRPr="00E05F03" w:rsidRDefault="00FD2490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07F95E31" w:rsidR="004B63CF" w:rsidRDefault="004B63CF" w:rsidP="004B63CF">
      <w:r>
        <w:t>V Praze dne</w:t>
      </w:r>
      <w:r w:rsidR="00792F98">
        <w:t xml:space="preserve"> </w:t>
      </w:r>
      <w:r w:rsidR="00725E30">
        <w:t>10</w:t>
      </w:r>
      <w:r w:rsidR="007D034B">
        <w:t>.</w:t>
      </w:r>
      <w:r w:rsidR="00725E30">
        <w:t>5</w:t>
      </w:r>
      <w:r w:rsidR="007D034B">
        <w:t>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5471C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DCF9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2E2A60A5" w:rsidR="004B63CF" w:rsidRDefault="004B63CF" w:rsidP="004B63CF">
      <w:r>
        <w:t>V Praze dne</w:t>
      </w:r>
      <w:r w:rsidR="00792F98">
        <w:t xml:space="preserve"> </w:t>
      </w:r>
      <w:r w:rsidR="005B484C">
        <w:t>20.6</w:t>
      </w:r>
      <w:r w:rsidR="00792F98">
        <w:t>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6BE23C24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C5403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BC116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AD7CB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1753"/>
    <w:rsid w:val="00047095"/>
    <w:rsid w:val="000716DD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340"/>
    <w:rsid w:val="001E1473"/>
    <w:rsid w:val="001E4B65"/>
    <w:rsid w:val="001F360A"/>
    <w:rsid w:val="001F4128"/>
    <w:rsid w:val="002174A4"/>
    <w:rsid w:val="00237572"/>
    <w:rsid w:val="00240DB2"/>
    <w:rsid w:val="002524B9"/>
    <w:rsid w:val="00260B20"/>
    <w:rsid w:val="0027555C"/>
    <w:rsid w:val="00294F41"/>
    <w:rsid w:val="002B6E84"/>
    <w:rsid w:val="002E139E"/>
    <w:rsid w:val="002E5645"/>
    <w:rsid w:val="002F2EE0"/>
    <w:rsid w:val="00331224"/>
    <w:rsid w:val="003341C1"/>
    <w:rsid w:val="003B5654"/>
    <w:rsid w:val="003C189A"/>
    <w:rsid w:val="003D2112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44B0"/>
    <w:rsid w:val="005256D4"/>
    <w:rsid w:val="00544C79"/>
    <w:rsid w:val="00560F2F"/>
    <w:rsid w:val="00567C38"/>
    <w:rsid w:val="00582B3A"/>
    <w:rsid w:val="00587C9A"/>
    <w:rsid w:val="0059316D"/>
    <w:rsid w:val="005A119C"/>
    <w:rsid w:val="005A16BE"/>
    <w:rsid w:val="005A35BB"/>
    <w:rsid w:val="005B484C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59F8"/>
    <w:rsid w:val="006676A4"/>
    <w:rsid w:val="0067138E"/>
    <w:rsid w:val="006C1BF3"/>
    <w:rsid w:val="006C6B21"/>
    <w:rsid w:val="006D4CFE"/>
    <w:rsid w:val="006F2F91"/>
    <w:rsid w:val="006F54DD"/>
    <w:rsid w:val="00725E30"/>
    <w:rsid w:val="007471D9"/>
    <w:rsid w:val="00753253"/>
    <w:rsid w:val="0077325A"/>
    <w:rsid w:val="00774FFF"/>
    <w:rsid w:val="00776C5D"/>
    <w:rsid w:val="00780E2D"/>
    <w:rsid w:val="00792F98"/>
    <w:rsid w:val="007A1B92"/>
    <w:rsid w:val="007B2658"/>
    <w:rsid w:val="007D034B"/>
    <w:rsid w:val="007D3B18"/>
    <w:rsid w:val="00804263"/>
    <w:rsid w:val="00834060"/>
    <w:rsid w:val="00857B13"/>
    <w:rsid w:val="0088050D"/>
    <w:rsid w:val="00887CDC"/>
    <w:rsid w:val="0089357A"/>
    <w:rsid w:val="008A766B"/>
    <w:rsid w:val="008C28B0"/>
    <w:rsid w:val="008F40F6"/>
    <w:rsid w:val="008F7EE9"/>
    <w:rsid w:val="0090446B"/>
    <w:rsid w:val="0091020B"/>
    <w:rsid w:val="009335DF"/>
    <w:rsid w:val="00954C84"/>
    <w:rsid w:val="00965EE5"/>
    <w:rsid w:val="009800AA"/>
    <w:rsid w:val="00995D1A"/>
    <w:rsid w:val="009A2B3E"/>
    <w:rsid w:val="009B3C85"/>
    <w:rsid w:val="009E4136"/>
    <w:rsid w:val="00A53984"/>
    <w:rsid w:val="00A64748"/>
    <w:rsid w:val="00A7204D"/>
    <w:rsid w:val="00A77A52"/>
    <w:rsid w:val="00A82682"/>
    <w:rsid w:val="00A87363"/>
    <w:rsid w:val="00A91F1B"/>
    <w:rsid w:val="00A972CF"/>
    <w:rsid w:val="00AB6105"/>
    <w:rsid w:val="00AD3B2E"/>
    <w:rsid w:val="00AE1D9F"/>
    <w:rsid w:val="00AF5419"/>
    <w:rsid w:val="00AF6497"/>
    <w:rsid w:val="00B20ED7"/>
    <w:rsid w:val="00B56515"/>
    <w:rsid w:val="00B60BA4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7842"/>
    <w:rsid w:val="00C77558"/>
    <w:rsid w:val="00C80D78"/>
    <w:rsid w:val="00C95844"/>
    <w:rsid w:val="00CA4AFB"/>
    <w:rsid w:val="00CB121D"/>
    <w:rsid w:val="00CB3EA1"/>
    <w:rsid w:val="00CC0B01"/>
    <w:rsid w:val="00CE5F5C"/>
    <w:rsid w:val="00D23CB1"/>
    <w:rsid w:val="00D33BA6"/>
    <w:rsid w:val="00D83EA3"/>
    <w:rsid w:val="00DB1860"/>
    <w:rsid w:val="00E05F03"/>
    <w:rsid w:val="00E24252"/>
    <w:rsid w:val="00E24FC8"/>
    <w:rsid w:val="00E41493"/>
    <w:rsid w:val="00E4576A"/>
    <w:rsid w:val="00EA785E"/>
    <w:rsid w:val="00EB1857"/>
    <w:rsid w:val="00F17428"/>
    <w:rsid w:val="00F27F9C"/>
    <w:rsid w:val="00F362E4"/>
    <w:rsid w:val="00F4133B"/>
    <w:rsid w:val="00F92C7E"/>
    <w:rsid w:val="00FD2490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4</cp:revision>
  <cp:lastPrinted>2024-04-18T14:21:00Z</cp:lastPrinted>
  <dcterms:created xsi:type="dcterms:W3CDTF">2024-05-24T10:37:00Z</dcterms:created>
  <dcterms:modified xsi:type="dcterms:W3CDTF">2024-10-03T08:23:00Z</dcterms:modified>
</cp:coreProperties>
</file>