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both"/>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 smlouvy objednatele: 1063/2024</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80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889000</wp:posOffset>
                </wp:positionH>
                <wp:positionV relativeFrom="paragraph">
                  <wp:posOffset>393700</wp:posOffset>
                </wp:positionV>
                <wp:extent cx="1085215" cy="1042670"/>
                <wp:wrapSquare wrapText="bothSides"/>
                <wp:docPr id="1" name="Shape 1"/>
                <a:graphic xmlns:a="http://schemas.openxmlformats.org/drawingml/2006/main">
                  <a:graphicData uri="http://schemas.microsoft.com/office/word/2010/wordprocessingShape">
                    <wps:wsp>
                      <wps:cNvSpPr txBox="1"/>
                      <wps:spPr>
                        <a:xfrm>
                          <a:ext cx="1085215" cy="104267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pt;margin-top:31.pt;width:85.450000000000003pt;height:82.10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MVE Doksany - oprava převodovky TG1</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48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889000</wp:posOffset>
                </wp:positionH>
                <wp:positionV relativeFrom="paragraph">
                  <wp:posOffset>12700</wp:posOffset>
                </wp:positionV>
                <wp:extent cx="749935" cy="716280"/>
                <wp:wrapSquare wrapText="bothSides"/>
                <wp:docPr id="3" name="Shape 3"/>
                <a:graphic xmlns:a="http://schemas.openxmlformats.org/drawingml/2006/main">
                  <a:graphicData uri="http://schemas.microsoft.com/office/word/2010/wordprocessingShape">
                    <wps:wsp>
                      <wps:cNvSpPr txBox="1"/>
                      <wps:spPr>
                        <a:xfrm>
                          <a:ext cx="74993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70.pt;margin-top:1.pt;width:59.050000000000004pt;height:56.3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Strojírny Brno, a.s.</w:t>
      </w:r>
    </w:p>
    <w:p>
      <w:pPr>
        <w:pStyle w:val="Style2"/>
        <w:keepNext w:val="0"/>
        <w:keepLines w:val="0"/>
        <w:widowControl w:val="0"/>
        <w:shd w:val="clear" w:color="auto" w:fill="auto"/>
        <w:bidi w:val="0"/>
        <w:spacing w:before="0" w:after="0" w:line="240" w:lineRule="auto"/>
        <w:ind w:left="2480" w:right="0" w:firstLine="0"/>
        <w:jc w:val="left"/>
      </w:pPr>
      <w:r>
        <w:rPr>
          <w:color w:val="000000"/>
          <w:spacing w:val="0"/>
          <w:w w:val="100"/>
          <w:position w:val="0"/>
          <w:shd w:val="clear" w:color="auto" w:fill="auto"/>
          <w:lang w:val="cs-CZ" w:eastAsia="cs-CZ" w:bidi="cs-CZ"/>
        </w:rPr>
        <w:t>Blanenská 1278/55, 664 34 Kuřim</w:t>
      </w:r>
    </w:p>
    <w:p>
      <w:pPr>
        <w:pStyle w:val="Style2"/>
        <w:keepNext w:val="0"/>
        <w:keepLines w:val="0"/>
        <w:widowControl w:val="0"/>
        <w:shd w:val="clear" w:color="auto" w:fill="auto"/>
        <w:bidi w:val="0"/>
        <w:spacing w:before="0" w:after="0" w:line="240" w:lineRule="auto"/>
        <w:ind w:left="2480" w:right="0" w:firstLine="0"/>
        <w:jc w:val="left"/>
      </w:pPr>
      <w:r>
        <w:rPr>
          <w:color w:val="000000"/>
          <w:spacing w:val="0"/>
          <w:w w:val="100"/>
          <w:position w:val="0"/>
          <w:shd w:val="clear" w:color="auto" w:fill="auto"/>
          <w:lang w:val="cs-CZ" w:eastAsia="cs-CZ" w:bidi="cs-CZ"/>
        </w:rPr>
        <w:t>25543512</w:t>
      </w:r>
    </w:p>
    <w:p>
      <w:pPr>
        <w:pStyle w:val="Style2"/>
        <w:keepNext w:val="0"/>
        <w:keepLines w:val="0"/>
        <w:widowControl w:val="0"/>
        <w:shd w:val="clear" w:color="auto" w:fill="auto"/>
        <w:bidi w:val="0"/>
        <w:spacing w:before="0" w:line="240" w:lineRule="auto"/>
        <w:ind w:left="2480" w:right="0" w:firstLine="0"/>
        <w:jc w:val="left"/>
      </w:pPr>
      <w:r>
        <w:rPr>
          <w:color w:val="000000"/>
          <w:spacing w:val="0"/>
          <w:w w:val="100"/>
          <w:position w:val="0"/>
          <w:shd w:val="clear" w:color="auto" w:fill="auto"/>
          <w:lang w:val="cs-CZ" w:eastAsia="cs-CZ" w:bidi="cs-CZ"/>
        </w:rPr>
        <w:t>CZ25543512</w:t>
      </w:r>
    </w:p>
    <w:p>
      <w:pPr>
        <w:pStyle w:val="Style2"/>
        <w:keepNext w:val="0"/>
        <w:keepLines w:val="0"/>
        <w:widowControl w:val="0"/>
        <w:shd w:val="clear" w:color="auto" w:fill="auto"/>
        <w:bidi w:val="0"/>
        <w:spacing w:before="0" w:after="602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val="0"/>
        <w:keepLines w:val="0"/>
        <w:widowControl w:val="0"/>
        <w:numPr>
          <w:ilvl w:val="0"/>
          <w:numId w:val="1"/>
        </w:numPr>
        <w:shd w:val="clear" w:color="auto" w:fill="auto"/>
        <w:tabs>
          <w:tab w:pos="427" w:val="left"/>
        </w:tabs>
        <w:bidi w:val="0"/>
        <w:spacing w:before="0" w:line="240" w:lineRule="auto"/>
        <w:ind w:left="380" w:right="0" w:hanging="380"/>
        <w:jc w:val="both"/>
      </w:pPr>
      <w:bookmarkStart w:id="4" w:name="bookmark4"/>
      <w:bookmarkEnd w:id="4"/>
      <w:r>
        <w:rPr>
          <w:color w:val="000000"/>
          <w:spacing w:val="0"/>
          <w:w w:val="100"/>
          <w:position w:val="0"/>
          <w:shd w:val="clear" w:color="auto" w:fill="auto"/>
          <w:lang w:val="cs-CZ" w:eastAsia="cs-CZ" w:bidi="cs-CZ"/>
        </w:rPr>
        <w:t>Předmětem díla je oprava technologického soustrojí TG1 ve strojovně MVE Doksany na ………….. (dále jen ,,strojovna MVE“). Konkrétně bude provedena prohlídka a oprava místa příčiny zvýšené teploty a vibrace v oblasti převodovky a OK TG1 v souladu se závěry vibrodiagnostického měření.</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Předmětem prací je:</w:t>
      </w:r>
    </w:p>
    <w:p>
      <w:pPr>
        <w:pStyle w:val="Style2"/>
        <w:keepNext w:val="0"/>
        <w:keepLines w:val="0"/>
        <w:widowControl w:val="0"/>
        <w:numPr>
          <w:ilvl w:val="0"/>
          <w:numId w:val="3"/>
        </w:numPr>
        <w:shd w:val="clear" w:color="auto" w:fill="auto"/>
        <w:tabs>
          <w:tab w:pos="832" w:val="left"/>
        </w:tabs>
        <w:bidi w:val="0"/>
        <w:spacing w:before="0" w:after="0" w:line="240" w:lineRule="auto"/>
        <w:ind w:left="740" w:right="0" w:hanging="300"/>
        <w:jc w:val="both"/>
      </w:pPr>
      <w:bookmarkStart w:id="5" w:name="bookmark5"/>
      <w:bookmarkEnd w:id="5"/>
      <w:r>
        <w:rPr>
          <w:color w:val="000000"/>
          <w:spacing w:val="0"/>
          <w:w w:val="100"/>
          <w:position w:val="0"/>
          <w:shd w:val="clear" w:color="auto" w:fill="auto"/>
          <w:lang w:val="cs-CZ" w:eastAsia="cs-CZ" w:bidi="cs-CZ"/>
        </w:rPr>
        <w:t>Rozbor oleje a olejové náplně na kovové nečistoty s určením třídy materiálu případných kovových částic.</w:t>
      </w:r>
    </w:p>
    <w:p>
      <w:pPr>
        <w:pStyle w:val="Style2"/>
        <w:keepNext w:val="0"/>
        <w:keepLines w:val="0"/>
        <w:widowControl w:val="0"/>
        <w:numPr>
          <w:ilvl w:val="0"/>
          <w:numId w:val="3"/>
        </w:numPr>
        <w:shd w:val="clear" w:color="auto" w:fill="auto"/>
        <w:tabs>
          <w:tab w:pos="832" w:val="left"/>
        </w:tabs>
        <w:bidi w:val="0"/>
        <w:spacing w:before="0" w:after="0" w:line="240" w:lineRule="auto"/>
        <w:ind w:left="740" w:right="0" w:hanging="300"/>
        <w:jc w:val="both"/>
      </w:pPr>
      <w:bookmarkStart w:id="6" w:name="bookmark6"/>
      <w:bookmarkEnd w:id="6"/>
      <w:r>
        <w:rPr>
          <w:color w:val="000000"/>
          <w:spacing w:val="0"/>
          <w:w w:val="100"/>
          <w:position w:val="0"/>
          <w:shd w:val="clear" w:color="auto" w:fill="auto"/>
          <w:lang w:val="cs-CZ" w:eastAsia="cs-CZ" w:bidi="cs-CZ"/>
        </w:rPr>
        <w:t>Prověření dodávky, průtoku maziva a mazivové náplně na části převodovky, ozubené převody a ložiska L1.</w:t>
      </w:r>
    </w:p>
    <w:p>
      <w:pPr>
        <w:pStyle w:val="Style2"/>
        <w:keepNext w:val="0"/>
        <w:keepLines w:val="0"/>
        <w:widowControl w:val="0"/>
        <w:numPr>
          <w:ilvl w:val="0"/>
          <w:numId w:val="3"/>
        </w:numPr>
        <w:shd w:val="clear" w:color="auto" w:fill="auto"/>
        <w:tabs>
          <w:tab w:pos="832" w:val="left"/>
        </w:tabs>
        <w:bidi w:val="0"/>
        <w:spacing w:before="0" w:after="0" w:line="240" w:lineRule="auto"/>
        <w:ind w:left="740" w:right="0" w:hanging="300"/>
        <w:jc w:val="both"/>
      </w:pPr>
      <w:bookmarkStart w:id="7" w:name="bookmark7"/>
      <w:bookmarkEnd w:id="7"/>
      <w:r>
        <w:rPr>
          <w:color w:val="000000"/>
          <w:spacing w:val="0"/>
          <w:w w:val="100"/>
          <w:position w:val="0"/>
          <w:shd w:val="clear" w:color="auto" w:fill="auto"/>
          <w:lang w:val="cs-CZ" w:eastAsia="cs-CZ" w:bidi="cs-CZ"/>
        </w:rPr>
        <w:t>Kontrola stavu ustavení os, případně prohlédnout protokol o měření souososti, vliv teploty na stav osové výchylky.</w:t>
      </w:r>
    </w:p>
    <w:p>
      <w:pPr>
        <w:pStyle w:val="Style2"/>
        <w:keepNext w:val="0"/>
        <w:keepLines w:val="0"/>
        <w:widowControl w:val="0"/>
        <w:numPr>
          <w:ilvl w:val="0"/>
          <w:numId w:val="3"/>
        </w:numPr>
        <w:shd w:val="clear" w:color="auto" w:fill="auto"/>
        <w:tabs>
          <w:tab w:pos="832" w:val="left"/>
        </w:tabs>
        <w:bidi w:val="0"/>
        <w:spacing w:before="0" w:after="0" w:line="240" w:lineRule="auto"/>
        <w:ind w:left="740" w:right="0" w:hanging="300"/>
        <w:jc w:val="both"/>
      </w:pPr>
      <w:bookmarkStart w:id="8" w:name="bookmark8"/>
      <w:bookmarkEnd w:id="8"/>
      <w:r>
        <w:rPr>
          <w:color w:val="000000"/>
          <w:spacing w:val="0"/>
          <w:w w:val="100"/>
          <w:position w:val="0"/>
          <w:shd w:val="clear" w:color="auto" w:fill="auto"/>
          <w:lang w:val="cs-CZ" w:eastAsia="cs-CZ" w:bidi="cs-CZ"/>
        </w:rPr>
        <w:t>Ověření možného vlivu naklopení, zatížení ložiska L1 vlivem mazání, torzních sil a následné zatížení ozubených převodů.</w:t>
      </w:r>
    </w:p>
    <w:p>
      <w:pPr>
        <w:pStyle w:val="Style2"/>
        <w:keepNext w:val="0"/>
        <w:keepLines w:val="0"/>
        <w:widowControl w:val="0"/>
        <w:numPr>
          <w:ilvl w:val="0"/>
          <w:numId w:val="3"/>
        </w:numPr>
        <w:shd w:val="clear" w:color="auto" w:fill="auto"/>
        <w:tabs>
          <w:tab w:pos="832" w:val="left"/>
        </w:tabs>
        <w:bidi w:val="0"/>
        <w:spacing w:before="0" w:line="240" w:lineRule="auto"/>
        <w:ind w:left="740" w:right="0" w:hanging="300"/>
        <w:jc w:val="both"/>
      </w:pPr>
      <w:bookmarkStart w:id="9" w:name="bookmark9"/>
      <w:bookmarkEnd w:id="9"/>
      <w:r>
        <w:rPr>
          <w:color w:val="000000"/>
          <w:spacing w:val="0"/>
          <w:w w:val="100"/>
          <w:position w:val="0"/>
          <w:shd w:val="clear" w:color="auto" w:fill="auto"/>
          <w:lang w:val="cs-CZ" w:eastAsia="cs-CZ" w:bidi="cs-CZ"/>
        </w:rPr>
        <w:t>Provedení vizuální revize ozubených převodů (endoskopická kontrola, pokud bude možná vzhledem k hladině maziva a přístupnosti).</w:t>
      </w:r>
    </w:p>
    <w:p>
      <w:pPr>
        <w:pStyle w:val="Style2"/>
        <w:keepNext w:val="0"/>
        <w:keepLines w:val="0"/>
        <w:widowControl w:val="0"/>
        <w:numPr>
          <w:ilvl w:val="0"/>
          <w:numId w:val="5"/>
        </w:numPr>
        <w:shd w:val="clear" w:color="auto" w:fill="auto"/>
        <w:tabs>
          <w:tab w:pos="724" w:val="left"/>
        </w:tabs>
        <w:bidi w:val="0"/>
        <w:spacing w:before="0" w:after="0" w:line="240" w:lineRule="auto"/>
        <w:ind w:left="380" w:right="0" w:firstLine="60"/>
        <w:jc w:val="both"/>
      </w:pPr>
      <w:bookmarkStart w:id="10" w:name="bookmark10"/>
      <w:bookmarkEnd w:id="10"/>
      <w:r>
        <w:rPr>
          <w:color w:val="000000"/>
          <w:spacing w:val="0"/>
          <w:w w:val="100"/>
          <w:position w:val="0"/>
          <w:shd w:val="clear" w:color="auto" w:fill="auto"/>
          <w:lang w:val="cs-CZ" w:eastAsia="cs-CZ" w:bidi="cs-CZ"/>
        </w:rPr>
        <w:t>první fázi opravy budou provedeny body 1), 2) a 5). Body 3) a 4) není možné prověřit bez demontáže převodovky a bude k nim přistoupeno poté, co bude rozhodnuto o demontáži převodovky a její revizi na dílně zhotovitele.</w:t>
      </w:r>
    </w:p>
    <w:p>
      <w:pPr>
        <w:pStyle w:val="Style2"/>
        <w:keepNext w:val="0"/>
        <w:keepLines w:val="0"/>
        <w:widowControl w:val="0"/>
        <w:numPr>
          <w:ilvl w:val="0"/>
          <w:numId w:val="5"/>
        </w:numPr>
        <w:shd w:val="clear" w:color="auto" w:fill="auto"/>
        <w:tabs>
          <w:tab w:pos="724" w:val="left"/>
        </w:tabs>
        <w:bidi w:val="0"/>
        <w:spacing w:before="0" w:after="0" w:line="240" w:lineRule="auto"/>
        <w:ind w:left="0" w:right="0" w:firstLine="380"/>
        <w:jc w:val="both"/>
      </w:pPr>
      <w:bookmarkStart w:id="11" w:name="bookmark11"/>
      <w:bookmarkEnd w:id="11"/>
      <w:r>
        <w:rPr>
          <w:color w:val="000000"/>
          <w:spacing w:val="0"/>
          <w:w w:val="100"/>
          <w:position w:val="0"/>
          <w:shd w:val="clear" w:color="auto" w:fill="auto"/>
          <w:lang w:val="cs-CZ" w:eastAsia="cs-CZ" w:bidi="cs-CZ"/>
        </w:rPr>
        <w:t>případě, že bude přistoupeno k demontáži převodovky, bude následovat:</w:t>
      </w:r>
    </w:p>
    <w:p>
      <w:pPr>
        <w:pStyle w:val="Style2"/>
        <w:keepNext w:val="0"/>
        <w:keepLines w:val="0"/>
        <w:widowControl w:val="0"/>
        <w:numPr>
          <w:ilvl w:val="0"/>
          <w:numId w:val="3"/>
        </w:numPr>
        <w:shd w:val="clear" w:color="auto" w:fill="auto"/>
        <w:tabs>
          <w:tab w:pos="832" w:val="left"/>
        </w:tabs>
        <w:bidi w:val="0"/>
        <w:spacing w:before="0" w:after="0" w:line="240" w:lineRule="auto"/>
        <w:ind w:left="740" w:right="0" w:hanging="300"/>
        <w:jc w:val="both"/>
      </w:pPr>
      <w:bookmarkStart w:id="12" w:name="bookmark12"/>
      <w:bookmarkEnd w:id="12"/>
      <w:r>
        <w:rPr>
          <w:color w:val="000000"/>
          <w:spacing w:val="0"/>
          <w:w w:val="100"/>
          <w:position w:val="0"/>
          <w:shd w:val="clear" w:color="auto" w:fill="auto"/>
          <w:lang w:val="cs-CZ" w:eastAsia="cs-CZ" w:bidi="cs-CZ"/>
        </w:rPr>
        <w:t>Demontáž převodovky ve strojovně MVE (přípravné práce, zaslepení hrdla savky a příruby statoru turbíny, demontáž servomotoru, ucpávky, oběžného kola),</w:t>
      </w:r>
    </w:p>
    <w:p>
      <w:pPr>
        <w:pStyle w:val="Style2"/>
        <w:keepNext w:val="0"/>
        <w:keepLines w:val="0"/>
        <w:widowControl w:val="0"/>
        <w:numPr>
          <w:ilvl w:val="0"/>
          <w:numId w:val="3"/>
        </w:numPr>
        <w:shd w:val="clear" w:color="auto" w:fill="auto"/>
        <w:tabs>
          <w:tab w:pos="772" w:val="left"/>
        </w:tabs>
        <w:bidi w:val="0"/>
        <w:spacing w:before="0" w:after="0" w:line="240" w:lineRule="auto"/>
        <w:ind w:left="0" w:right="0" w:firstLine="380"/>
        <w:jc w:val="both"/>
      </w:pPr>
      <w:bookmarkStart w:id="13" w:name="bookmark13"/>
      <w:bookmarkEnd w:id="13"/>
      <w:r>
        <w:rPr>
          <w:color w:val="000000"/>
          <w:spacing w:val="0"/>
          <w:w w:val="100"/>
          <w:position w:val="0"/>
          <w:shd w:val="clear" w:color="auto" w:fill="auto"/>
          <w:lang w:val="cs-CZ" w:eastAsia="cs-CZ" w:bidi="cs-CZ"/>
        </w:rPr>
        <w:t>Odvoz převodovky do výrobního závodu zhotovitele,</w:t>
      </w:r>
    </w:p>
    <w:p>
      <w:pPr>
        <w:pStyle w:val="Style2"/>
        <w:keepNext w:val="0"/>
        <w:keepLines w:val="0"/>
        <w:widowControl w:val="0"/>
        <w:numPr>
          <w:ilvl w:val="0"/>
          <w:numId w:val="3"/>
        </w:numPr>
        <w:shd w:val="clear" w:color="auto" w:fill="auto"/>
        <w:tabs>
          <w:tab w:pos="772" w:val="left"/>
        </w:tabs>
        <w:bidi w:val="0"/>
        <w:spacing w:before="0" w:after="0" w:line="240" w:lineRule="auto"/>
        <w:ind w:left="0" w:right="0" w:firstLine="380"/>
        <w:jc w:val="both"/>
      </w:pPr>
      <w:bookmarkStart w:id="14" w:name="bookmark14"/>
      <w:bookmarkEnd w:id="14"/>
      <w:r>
        <w:rPr>
          <w:color w:val="000000"/>
          <w:spacing w:val="0"/>
          <w:w w:val="100"/>
          <w:position w:val="0"/>
          <w:shd w:val="clear" w:color="auto" w:fill="auto"/>
          <w:lang w:val="cs-CZ" w:eastAsia="cs-CZ" w:bidi="cs-CZ"/>
        </w:rPr>
        <w:t>Oprava převodovky na dílně zhotovitele,</w:t>
      </w:r>
    </w:p>
    <w:p>
      <w:pPr>
        <w:pStyle w:val="Style2"/>
        <w:keepNext w:val="0"/>
        <w:keepLines w:val="0"/>
        <w:widowControl w:val="0"/>
        <w:numPr>
          <w:ilvl w:val="0"/>
          <w:numId w:val="3"/>
        </w:numPr>
        <w:shd w:val="clear" w:color="auto" w:fill="auto"/>
        <w:tabs>
          <w:tab w:pos="832" w:val="left"/>
        </w:tabs>
        <w:bidi w:val="0"/>
        <w:spacing w:before="0" w:after="0" w:line="240" w:lineRule="auto"/>
        <w:ind w:left="740" w:right="0" w:hanging="300"/>
        <w:jc w:val="both"/>
      </w:pPr>
      <w:bookmarkStart w:id="15" w:name="bookmark15"/>
      <w:bookmarkEnd w:id="15"/>
      <w:r>
        <w:rPr>
          <w:color w:val="000000"/>
          <w:spacing w:val="0"/>
          <w:w w:val="100"/>
          <w:position w:val="0"/>
          <w:shd w:val="clear" w:color="auto" w:fill="auto"/>
          <w:lang w:val="cs-CZ" w:eastAsia="cs-CZ" w:bidi="cs-CZ"/>
        </w:rPr>
        <w:t>Zpětná montáž převodovky a ostatních prvků TG1 ve strojovně MVE (demontáž příruby statoru turbíny a savky),</w:t>
      </w:r>
    </w:p>
    <w:p>
      <w:pPr>
        <w:pStyle w:val="Style2"/>
        <w:keepNext w:val="0"/>
        <w:keepLines w:val="0"/>
        <w:widowControl w:val="0"/>
        <w:numPr>
          <w:ilvl w:val="0"/>
          <w:numId w:val="3"/>
        </w:numPr>
        <w:shd w:val="clear" w:color="auto" w:fill="auto"/>
        <w:tabs>
          <w:tab w:pos="957" w:val="left"/>
        </w:tabs>
        <w:bidi w:val="0"/>
        <w:spacing w:before="0" w:line="240" w:lineRule="auto"/>
        <w:ind w:left="740" w:right="0" w:hanging="300"/>
        <w:jc w:val="both"/>
      </w:pPr>
      <w:bookmarkStart w:id="16" w:name="bookmark16"/>
      <w:bookmarkEnd w:id="16"/>
      <w:r>
        <w:rPr>
          <w:color w:val="000000"/>
          <w:spacing w:val="0"/>
          <w:w w:val="100"/>
          <w:position w:val="0"/>
          <w:shd w:val="clear" w:color="auto" w:fill="auto"/>
          <w:lang w:val="cs-CZ" w:eastAsia="cs-CZ" w:bidi="cs-CZ"/>
        </w:rPr>
        <w:t>Provozní a zátěžové zkoušky, vč. pomocných prací ve strojovně MVE (demontáž provizorního hrazení, připojení generátoru a čidel atd.).</w:t>
      </w:r>
    </w:p>
    <w:p>
      <w:pPr>
        <w:pStyle w:val="Style2"/>
        <w:keepNext w:val="0"/>
        <w:keepLines w:val="0"/>
        <w:widowControl w:val="0"/>
        <w:numPr>
          <w:ilvl w:val="0"/>
          <w:numId w:val="5"/>
        </w:numPr>
        <w:shd w:val="clear" w:color="auto" w:fill="auto"/>
        <w:tabs>
          <w:tab w:pos="724" w:val="left"/>
        </w:tabs>
        <w:bidi w:val="0"/>
        <w:spacing w:before="0" w:line="240" w:lineRule="auto"/>
        <w:ind w:left="380" w:right="0" w:firstLine="60"/>
        <w:jc w:val="both"/>
      </w:pPr>
      <w:bookmarkStart w:id="17" w:name="bookmark17"/>
      <w:bookmarkEnd w:id="17"/>
      <w:r>
        <w:rPr>
          <w:color w:val="000000"/>
          <w:spacing w:val="0"/>
          <w:w w:val="100"/>
          <w:position w:val="0"/>
          <w:shd w:val="clear" w:color="auto" w:fill="auto"/>
          <w:lang w:val="cs-CZ" w:eastAsia="cs-CZ" w:bidi="cs-CZ"/>
        </w:rPr>
        <w:t>rámci součinnosti objednatele budou ze strany objednatele zajištěny nutné demontáže a montáže elektroinstalace, vč. jejich aktivace do řídícího systému MVE, potápěčské a jeřábnické práce (montáž a demontáž provizorního hrazení přívodního a odpadního kanálu TG1).</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Místo provádění díla: Strojovna MVE Doksany na …………….</w:t>
      </w:r>
    </w:p>
    <w:p>
      <w:pPr>
        <w:pStyle w:val="Style2"/>
        <w:keepNext w:val="0"/>
        <w:keepLines w:val="0"/>
        <w:widowControl w:val="0"/>
        <w:numPr>
          <w:ilvl w:val="0"/>
          <w:numId w:val="1"/>
        </w:numPr>
        <w:shd w:val="clear" w:color="auto" w:fill="auto"/>
        <w:tabs>
          <w:tab w:pos="427" w:val="left"/>
        </w:tabs>
        <w:bidi w:val="0"/>
        <w:spacing w:before="0" w:after="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Za předmět díla se dále považuje:</w:t>
      </w:r>
    </w:p>
    <w:p>
      <w:pPr>
        <w:pStyle w:val="Style12"/>
        <w:keepNext/>
        <w:keepLines/>
        <w:widowControl w:val="0"/>
        <w:numPr>
          <w:ilvl w:val="0"/>
          <w:numId w:val="7"/>
        </w:numPr>
        <w:shd w:val="clear" w:color="auto" w:fill="auto"/>
        <w:tabs>
          <w:tab w:pos="1103" w:val="left"/>
        </w:tabs>
        <w:bidi w:val="0"/>
        <w:spacing w:before="0" w:after="0" w:line="240" w:lineRule="auto"/>
        <w:ind w:right="0" w:hanging="580"/>
        <w:jc w:val="both"/>
      </w:pPr>
      <w:bookmarkStart w:id="19" w:name="bookmark19"/>
      <w:bookmarkStart w:id="20" w:name="bookmark20"/>
      <w:bookmarkStart w:id="21" w:name="bookmark21"/>
      <w:bookmarkStart w:id="22" w:name="bookmark22"/>
      <w:bookmarkEnd w:id="21"/>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zakázky,</w:t>
      </w:r>
      <w:bookmarkEnd w:id="19"/>
      <w:bookmarkEnd w:id="20"/>
      <w:bookmarkEnd w:id="22"/>
    </w:p>
    <w:p>
      <w:pPr>
        <w:pStyle w:val="Style12"/>
        <w:keepNext/>
        <w:keepLines/>
        <w:widowControl w:val="0"/>
        <w:numPr>
          <w:ilvl w:val="0"/>
          <w:numId w:val="7"/>
        </w:numPr>
        <w:shd w:val="clear" w:color="auto" w:fill="auto"/>
        <w:tabs>
          <w:tab w:pos="1103" w:val="left"/>
        </w:tabs>
        <w:bidi w:val="0"/>
        <w:spacing w:before="0" w:after="0" w:line="240" w:lineRule="auto"/>
        <w:ind w:right="0" w:hanging="580"/>
        <w:jc w:val="both"/>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23"/>
      <w:bookmarkEnd w:id="24"/>
      <w:bookmarkEnd w:id="26"/>
    </w:p>
    <w:p>
      <w:pPr>
        <w:pStyle w:val="Style12"/>
        <w:keepNext/>
        <w:keepLines/>
        <w:widowControl w:val="0"/>
        <w:numPr>
          <w:ilvl w:val="0"/>
          <w:numId w:val="7"/>
        </w:numPr>
        <w:shd w:val="clear" w:color="auto" w:fill="auto"/>
        <w:tabs>
          <w:tab w:pos="1103" w:val="left"/>
        </w:tabs>
        <w:bidi w:val="0"/>
        <w:spacing w:before="0" w:after="0" w:line="240" w:lineRule="auto"/>
        <w:ind w:right="0" w:hanging="580"/>
        <w:jc w:val="both"/>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odstranění případných škod na místních komunikacích a dalších plochách způsobených provozem zhotovitele při realizaci díla,</w:t>
      </w:r>
      <w:bookmarkEnd w:id="27"/>
      <w:bookmarkEnd w:id="28"/>
      <w:bookmarkEnd w:id="30"/>
    </w:p>
    <w:p>
      <w:pPr>
        <w:pStyle w:val="Style12"/>
        <w:keepNext/>
        <w:keepLines/>
        <w:widowControl w:val="0"/>
        <w:numPr>
          <w:ilvl w:val="0"/>
          <w:numId w:val="7"/>
        </w:numPr>
        <w:shd w:val="clear" w:color="auto" w:fill="auto"/>
        <w:tabs>
          <w:tab w:pos="1103" w:val="left"/>
        </w:tabs>
        <w:bidi w:val="0"/>
        <w:spacing w:before="0" w:after="0" w:line="240" w:lineRule="auto"/>
        <w:ind w:right="0" w:hanging="580"/>
        <w:jc w:val="both"/>
      </w:pPr>
      <w:bookmarkStart w:id="31" w:name="bookmark31"/>
      <w:bookmarkStart w:id="32" w:name="bookmark32"/>
      <w:bookmarkStart w:id="33" w:name="bookmark33"/>
      <w:bookmarkStart w:id="34" w:name="bookmark34"/>
      <w:bookmarkStart w:id="35" w:name="bookmark35"/>
      <w:bookmarkEnd w:id="33"/>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dodavatelem i všemi poddodavateli, v souladu s § 101 odst. 3 zákona č. 262/2006 Sb., zákoník práce, ve znění pozdějších předpisů,</w:t>
      </w:r>
      <w:bookmarkEnd w:id="31"/>
      <w:bookmarkEnd w:id="32"/>
      <w:bookmarkEnd w:id="34"/>
      <w:bookmarkEnd w:id="35"/>
    </w:p>
    <w:p>
      <w:pPr>
        <w:pStyle w:val="Style2"/>
        <w:keepNext w:val="0"/>
        <w:keepLines w:val="0"/>
        <w:widowControl w:val="0"/>
        <w:numPr>
          <w:ilvl w:val="0"/>
          <w:numId w:val="7"/>
        </w:numPr>
        <w:shd w:val="clear" w:color="auto" w:fill="auto"/>
        <w:tabs>
          <w:tab w:pos="1103" w:val="left"/>
        </w:tabs>
        <w:bidi w:val="0"/>
        <w:spacing w:before="0" w:after="200" w:line="240" w:lineRule="auto"/>
        <w:ind w:left="1020" w:right="0" w:hanging="580"/>
        <w:jc w:val="both"/>
      </w:pPr>
      <w:bookmarkStart w:id="36" w:name="bookmark36"/>
      <w:bookmarkStart w:id="37" w:name="bookmark37"/>
      <w:bookmarkEnd w:id="36"/>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w:t>
      </w:r>
      <w:bookmarkEnd w:id="3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na staveništích, ve znění pozdějších předpisů, nařízení vlády č. 362/2005 Sb., o bližších požadavcích na bezpečnost a ochranu zdraví při práci na pracovištích s nebezpečím pádu z výšky nebo do hloubky).</w:t>
      </w:r>
    </w:p>
    <w:p>
      <w:pPr>
        <w:pStyle w:val="Style2"/>
        <w:keepNext w:val="0"/>
        <w:keepLines w:val="0"/>
        <w:widowControl w:val="0"/>
        <w:numPr>
          <w:ilvl w:val="0"/>
          <w:numId w:val="1"/>
        </w:numPr>
        <w:shd w:val="clear" w:color="auto" w:fill="auto"/>
        <w:tabs>
          <w:tab w:pos="389" w:val="left"/>
        </w:tabs>
        <w:bidi w:val="0"/>
        <w:spacing w:before="0" w:after="200" w:line="240" w:lineRule="auto"/>
        <w:ind w:left="380" w:right="0" w:hanging="380"/>
        <w:jc w:val="both"/>
      </w:pPr>
      <w:bookmarkStart w:id="38" w:name="bookmark38"/>
      <w:bookmarkEnd w:id="3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p>
    <w:p>
      <w:pPr>
        <w:pStyle w:val="Style2"/>
        <w:keepNext w:val="0"/>
        <w:keepLines w:val="0"/>
        <w:widowControl w:val="0"/>
        <w:numPr>
          <w:ilvl w:val="0"/>
          <w:numId w:val="1"/>
        </w:numPr>
        <w:shd w:val="clear" w:color="auto" w:fill="auto"/>
        <w:tabs>
          <w:tab w:pos="389" w:val="left"/>
        </w:tabs>
        <w:bidi w:val="0"/>
        <w:spacing w:before="0" w:after="200" w:line="240" w:lineRule="auto"/>
        <w:ind w:left="380" w:right="0" w:hanging="380"/>
        <w:jc w:val="both"/>
      </w:pPr>
      <w:bookmarkStart w:id="39" w:name="bookmark39"/>
      <w:bookmarkEnd w:id="39"/>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p>
    <w:p>
      <w:pPr>
        <w:pStyle w:val="Style2"/>
        <w:keepNext w:val="0"/>
        <w:keepLines w:val="0"/>
        <w:widowControl w:val="0"/>
        <w:numPr>
          <w:ilvl w:val="0"/>
          <w:numId w:val="1"/>
        </w:numPr>
        <w:shd w:val="clear" w:color="auto" w:fill="auto"/>
        <w:tabs>
          <w:tab w:pos="389" w:val="left"/>
        </w:tabs>
        <w:bidi w:val="0"/>
        <w:spacing w:before="0" w:after="200" w:line="240" w:lineRule="auto"/>
        <w:ind w:left="380" w:right="0" w:hanging="380"/>
        <w:jc w:val="both"/>
      </w:pPr>
      <w:bookmarkStart w:id="40" w:name="bookmark40"/>
      <w:bookmarkEnd w:id="40"/>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9"/>
        </w:numPr>
        <w:shd w:val="clear" w:color="auto" w:fill="auto"/>
        <w:tabs>
          <w:tab w:pos="389" w:val="left"/>
        </w:tabs>
        <w:bidi w:val="0"/>
        <w:spacing w:before="0" w:after="0" w:line="283" w:lineRule="auto"/>
        <w:ind w:left="380" w:right="0" w:hanging="380"/>
        <w:jc w:val="left"/>
      </w:pPr>
      <w:bookmarkStart w:id="41" w:name="bookmark41"/>
      <w:bookmarkEnd w:id="41"/>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11"/>
        </w:numPr>
        <w:shd w:val="clear" w:color="auto" w:fill="auto"/>
        <w:tabs>
          <w:tab w:pos="777" w:val="left"/>
        </w:tabs>
        <w:bidi w:val="0"/>
        <w:spacing w:before="0" w:after="0" w:line="240" w:lineRule="auto"/>
        <w:ind w:left="0" w:right="0" w:firstLine="380"/>
        <w:jc w:val="both"/>
      </w:pPr>
      <w:bookmarkStart w:id="42" w:name="bookmark42"/>
      <w:bookmarkEnd w:id="42"/>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after="200" w:line="240" w:lineRule="auto"/>
        <w:ind w:left="720" w:right="0" w:firstLine="20"/>
        <w:jc w:val="both"/>
      </w:pPr>
      <w:r>
        <w:rPr>
          <w:color w:val="000000"/>
          <w:spacing w:val="0"/>
          <w:w w:val="100"/>
          <w:position w:val="0"/>
          <w:shd w:val="clear" w:color="auto" w:fill="auto"/>
          <w:lang w:val="cs-CZ" w:eastAsia="cs-CZ" w:bidi="cs-CZ"/>
        </w:rPr>
        <w:t>Zhotovitel se zavazuje převzít pracoviště nejpozději do 10-ti kalendářních dnů od nabytí účinnosti smlouvy o dílo.</w:t>
      </w:r>
    </w:p>
    <w:p>
      <w:pPr>
        <w:pStyle w:val="Style2"/>
        <w:keepNext w:val="0"/>
        <w:keepLines w:val="0"/>
        <w:widowControl w:val="0"/>
        <w:numPr>
          <w:ilvl w:val="0"/>
          <w:numId w:val="11"/>
        </w:numPr>
        <w:shd w:val="clear" w:color="auto" w:fill="auto"/>
        <w:tabs>
          <w:tab w:pos="786" w:val="left"/>
        </w:tabs>
        <w:bidi w:val="0"/>
        <w:spacing w:before="0" w:after="0" w:line="283" w:lineRule="auto"/>
        <w:ind w:left="0" w:right="0" w:firstLine="380"/>
        <w:jc w:val="both"/>
      </w:pPr>
      <w:bookmarkStart w:id="43" w:name="bookmark43"/>
      <w:bookmarkEnd w:id="43"/>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200" w:line="283" w:lineRule="auto"/>
        <w:ind w:left="0" w:right="0" w:firstLine="720"/>
        <w:jc w:val="both"/>
      </w:pPr>
      <w:r>
        <w:rPr>
          <w:color w:val="000000"/>
          <w:spacing w:val="0"/>
          <w:w w:val="100"/>
          <w:position w:val="0"/>
          <w:shd w:val="clear" w:color="auto" w:fill="auto"/>
          <w:lang w:val="cs-CZ" w:eastAsia="cs-CZ" w:bidi="cs-CZ"/>
        </w:rPr>
        <w:t>Bez zbytečného odkladu po převzetí pracoviště.</w:t>
      </w:r>
    </w:p>
    <w:p>
      <w:pPr>
        <w:pStyle w:val="Style2"/>
        <w:keepNext w:val="0"/>
        <w:keepLines w:val="0"/>
        <w:widowControl w:val="0"/>
        <w:numPr>
          <w:ilvl w:val="0"/>
          <w:numId w:val="11"/>
        </w:numPr>
        <w:shd w:val="clear" w:color="auto" w:fill="auto"/>
        <w:tabs>
          <w:tab w:pos="786" w:val="left"/>
        </w:tabs>
        <w:bidi w:val="0"/>
        <w:spacing w:before="0" w:after="0" w:line="283" w:lineRule="auto"/>
        <w:ind w:left="0" w:right="0" w:firstLine="380"/>
        <w:jc w:val="both"/>
      </w:pPr>
      <w:bookmarkStart w:id="44" w:name="bookmark44"/>
      <w:bookmarkEnd w:id="44"/>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after="200" w:line="283" w:lineRule="auto"/>
        <w:ind w:left="0" w:right="0" w:firstLine="720"/>
        <w:jc w:val="both"/>
      </w:pPr>
      <w:r>
        <w:rPr>
          <w:b/>
          <w:bCs/>
          <w:color w:val="000000"/>
          <w:spacing w:val="0"/>
          <w:w w:val="100"/>
          <w:position w:val="0"/>
          <w:shd w:val="clear" w:color="auto" w:fill="auto"/>
          <w:lang w:val="cs-CZ" w:eastAsia="cs-CZ" w:bidi="cs-CZ"/>
        </w:rPr>
        <w:t>Nejpozději do 16.12.2024</w:t>
      </w:r>
    </w:p>
    <w:p>
      <w:pPr>
        <w:pStyle w:val="Style2"/>
        <w:keepNext w:val="0"/>
        <w:keepLines w:val="0"/>
        <w:widowControl w:val="0"/>
        <w:numPr>
          <w:ilvl w:val="0"/>
          <w:numId w:val="11"/>
        </w:numPr>
        <w:shd w:val="clear" w:color="auto" w:fill="auto"/>
        <w:tabs>
          <w:tab w:pos="786" w:val="left"/>
        </w:tabs>
        <w:bidi w:val="0"/>
        <w:spacing w:before="0" w:after="0" w:line="283" w:lineRule="auto"/>
        <w:ind w:left="0" w:right="0" w:firstLine="380"/>
        <w:jc w:val="both"/>
      </w:pPr>
      <w:bookmarkStart w:id="45" w:name="bookmark45"/>
      <w:bookmarkEnd w:id="45"/>
      <w:r>
        <w:rPr>
          <w:b/>
          <w:bCs/>
          <w:color w:val="000000"/>
          <w:spacing w:val="0"/>
          <w:w w:val="100"/>
          <w:position w:val="0"/>
          <w:shd w:val="clear" w:color="auto" w:fill="auto"/>
          <w:lang w:val="cs-CZ" w:eastAsia="cs-CZ" w:bidi="cs-CZ"/>
        </w:rPr>
        <w:t>vyklizení pracoviště:</w:t>
      </w:r>
    </w:p>
    <w:p>
      <w:pPr>
        <w:pStyle w:val="Style2"/>
        <w:keepNext w:val="0"/>
        <w:keepLines w:val="0"/>
        <w:widowControl w:val="0"/>
        <w:shd w:val="clear" w:color="auto" w:fill="auto"/>
        <w:bidi w:val="0"/>
        <w:spacing w:before="0" w:after="200" w:line="240" w:lineRule="auto"/>
        <w:ind w:left="720" w:right="0" w:firstLine="2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původního stavu nebo do stavu, který odsouhlasí TDI.</w:t>
      </w:r>
    </w:p>
    <w:p>
      <w:pPr>
        <w:pStyle w:val="Style2"/>
        <w:keepNext w:val="0"/>
        <w:keepLines w:val="0"/>
        <w:widowControl w:val="0"/>
        <w:numPr>
          <w:ilvl w:val="0"/>
          <w:numId w:val="9"/>
        </w:numPr>
        <w:shd w:val="clear" w:color="auto" w:fill="auto"/>
        <w:tabs>
          <w:tab w:pos="389" w:val="left"/>
        </w:tabs>
        <w:bidi w:val="0"/>
        <w:spacing w:before="0" w:after="200" w:line="288" w:lineRule="auto"/>
        <w:ind w:left="380" w:right="0" w:hanging="380"/>
        <w:jc w:val="both"/>
      </w:pPr>
      <w:bookmarkStart w:id="46" w:name="bookmark46"/>
      <w:bookmarkEnd w:id="46"/>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2"/>
        <w:keepNext w:val="0"/>
        <w:keepLines w:val="0"/>
        <w:widowControl w:val="0"/>
        <w:numPr>
          <w:ilvl w:val="0"/>
          <w:numId w:val="9"/>
        </w:numPr>
        <w:shd w:val="clear" w:color="auto" w:fill="auto"/>
        <w:tabs>
          <w:tab w:pos="389" w:val="left"/>
        </w:tabs>
        <w:bidi w:val="0"/>
        <w:spacing w:before="0" w:after="200" w:line="288" w:lineRule="auto"/>
        <w:ind w:left="380" w:right="0" w:hanging="380"/>
        <w:jc w:val="both"/>
      </w:pPr>
      <w:bookmarkStart w:id="47" w:name="bookmark47"/>
      <w:bookmarkEnd w:id="47"/>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4. </w:t>
      </w:r>
      <w:r>
        <w:rPr>
          <w:color w:val="000000"/>
          <w:spacing w:val="0"/>
          <w:w w:val="100"/>
          <w:position w:val="0"/>
          <w:shd w:val="clear" w:color="auto" w:fill="auto"/>
          <w:lang w:val="cs-CZ" w:eastAsia="cs-CZ" w:bidi="cs-CZ"/>
        </w:rPr>
        <w:t>Dílo bude dokončeno zhotovitelem a předáno objednateli písemně na základě zápisu o</w:t>
      </w:r>
    </w:p>
    <w:tbl>
      <w:tblPr>
        <w:tblOverlap w:val="never"/>
        <w:jc w:val="center"/>
        <w:tblLayout w:type="fixed"/>
      </w:tblPr>
      <w:tblGrid>
        <w:gridCol w:w="3437"/>
        <w:gridCol w:w="5693"/>
      </w:tblGrid>
      <w:tr>
        <w:trPr>
          <w:trHeight w:val="672"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předání a převzetí díla.</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Čl. III. CENA</w:t>
            </w:r>
          </w:p>
        </w:tc>
      </w:tr>
    </w:tbl>
    <w:p>
      <w:pPr>
        <w:widowControl w:val="0"/>
        <w:spacing w:after="199" w:line="1" w:lineRule="exact"/>
      </w:pPr>
    </w:p>
    <w:p>
      <w:pPr>
        <w:pStyle w:val="Style2"/>
        <w:keepNext w:val="0"/>
        <w:keepLines w:val="0"/>
        <w:widowControl w:val="0"/>
        <w:numPr>
          <w:ilvl w:val="0"/>
          <w:numId w:val="13"/>
        </w:numPr>
        <w:shd w:val="clear" w:color="auto" w:fill="auto"/>
        <w:tabs>
          <w:tab w:pos="389" w:val="left"/>
        </w:tabs>
        <w:bidi w:val="0"/>
        <w:spacing w:before="0" w:after="200" w:line="240" w:lineRule="auto"/>
        <w:ind w:left="380" w:right="0" w:hanging="380"/>
        <w:jc w:val="both"/>
      </w:pPr>
      <w:bookmarkStart w:id="48" w:name="bookmark48"/>
      <w:bookmarkEnd w:id="48"/>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49" w:name="bookmark49"/>
      <w:bookmarkEnd w:id="4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50" w:name="bookmark50"/>
      <w:bookmarkEnd w:id="5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3615" w:val="left"/>
        </w:tabs>
        <w:bidi w:val="0"/>
        <w:spacing w:before="0" w:after="200" w:line="240" w:lineRule="auto"/>
        <w:ind w:left="380" w:right="0" w:firstLine="0"/>
        <w:jc w:val="both"/>
      </w:pPr>
      <w:r>
        <w:rPr>
          <w:b/>
          <w:bCs/>
          <w:color w:val="000000"/>
          <w:spacing w:val="0"/>
          <w:w w:val="100"/>
          <w:position w:val="0"/>
          <w:shd w:val="clear" w:color="auto" w:fill="auto"/>
          <w:lang w:val="cs-CZ" w:eastAsia="cs-CZ" w:bidi="cs-CZ"/>
        </w:rPr>
        <w:t>Cena za dílo celkem:</w:t>
        <w:tab/>
        <w:t>2.000.000,00 Kč bez DPH</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51" w:name="bookmark51"/>
      <w:bookmarkEnd w:id="5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5"/>
        </w:numPr>
        <w:shd w:val="clear" w:color="auto" w:fill="auto"/>
        <w:tabs>
          <w:tab w:pos="372" w:val="left"/>
        </w:tabs>
        <w:bidi w:val="0"/>
        <w:spacing w:before="0" w:after="200" w:line="240" w:lineRule="auto"/>
        <w:ind w:left="0" w:right="0" w:firstLine="0"/>
        <w:jc w:val="left"/>
      </w:pPr>
      <w:bookmarkStart w:id="52" w:name="bookmark52"/>
      <w:bookmarkEnd w:id="52"/>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53" w:name="bookmark53"/>
      <w:bookmarkEnd w:id="53"/>
      <w:r>
        <w:rPr>
          <w:b/>
          <w:bCs/>
          <w:color w:val="000000"/>
          <w:spacing w:val="0"/>
          <w:w w:val="100"/>
          <w:position w:val="0"/>
          <w:shd w:val="clear" w:color="auto" w:fill="auto"/>
          <w:lang w:val="cs-CZ" w:eastAsia="cs-CZ" w:bidi="cs-CZ"/>
        </w:rPr>
        <w:t xml:space="preserve">Cena díla bude hrazena průběžně po kalendářních měsících </w:t>
      </w:r>
      <w:r>
        <w:rPr>
          <w:color w:val="000000"/>
          <w:spacing w:val="0"/>
          <w:w w:val="100"/>
          <w:position w:val="0"/>
          <w:shd w:val="clear" w:color="auto" w:fill="auto"/>
          <w:lang w:val="cs-CZ" w:eastAsia="cs-CZ" w:bidi="cs-CZ"/>
        </w:rPr>
        <w:t xml:space="preserve">na základě dílčích faktur a konečné faktury, kterou bude provedeno vyúčtování po dokončení, předání a převzetí díla bez vad a nedodělků. </w:t>
      </w:r>
      <w:r>
        <w:rPr>
          <w:b/>
          <w:bCs/>
          <w:color w:val="000000"/>
          <w:spacing w:val="0"/>
          <w:w w:val="100"/>
          <w:position w:val="0"/>
          <w:shd w:val="clear" w:color="auto" w:fill="auto"/>
          <w:lang w:val="cs-CZ" w:eastAsia="cs-CZ" w:bidi="cs-CZ"/>
        </w:rPr>
        <w:t xml:space="preserve">Veškeré faktury je zhotovitel povinen prokazatelně doručit objednateli nejpozději do 7 pracovních dnů ode dne uskutečnění plnění. </w:t>
      </w:r>
      <w:r>
        <w:rPr>
          <w:color w:val="000000"/>
          <w:spacing w:val="0"/>
          <w:w w:val="100"/>
          <w:position w:val="0"/>
          <w:shd w:val="clear" w:color="auto" w:fill="auto"/>
          <w:lang w:val="cs-CZ" w:eastAsia="cs-CZ" w:bidi="cs-CZ"/>
        </w:rPr>
        <w:t xml:space="preserve">Faktury lze předat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54" w:name="bookmark54"/>
      <w:bookmarkEnd w:id="54"/>
      <w:r>
        <w:rPr>
          <w:color w:val="000000"/>
          <w:spacing w:val="0"/>
          <w:w w:val="100"/>
          <w:position w:val="0"/>
          <w:shd w:val="clear" w:color="auto" w:fill="auto"/>
          <w:lang w:val="cs-CZ" w:eastAsia="cs-CZ" w:bidi="cs-CZ"/>
        </w:rPr>
        <w:t xml:space="preserve">Při dílčím plnění zhotovitel předloží objednateli soupis provedených prací v elektronické podobě za uplynulý kalendářní měsíc （zaslání na e-mail: </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a to vždy nejpozději do 2. pracovního dne měsíce následujícího.</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55" w:name="bookmark55"/>
      <w:bookmarkEnd w:id="55"/>
      <w:r>
        <w:rPr>
          <w:color w:val="000000"/>
          <w:spacing w:val="0"/>
          <w:w w:val="100"/>
          <w:position w:val="0"/>
          <w:shd w:val="clear" w:color="auto" w:fill="auto"/>
          <w:lang w:val="cs-CZ" w:eastAsia="cs-CZ" w:bidi="cs-CZ"/>
        </w:rPr>
        <w:t>Objednatel je povinen se k tomuto soupisu vyjádřit nejpozději do 2 pracovních dnů ode dne obdržení.</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56" w:name="bookmark56"/>
      <w:bookmarkEnd w:id="56"/>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57" w:name="bookmark57"/>
      <w:bookmarkEnd w:id="57"/>
      <w:r>
        <w:rPr>
          <w:color w:val="000000"/>
          <w:spacing w:val="0"/>
          <w:w w:val="100"/>
          <w:position w:val="0"/>
          <w:shd w:val="clear" w:color="auto" w:fill="auto"/>
          <w:lang w:val="cs-CZ" w:eastAsia="cs-CZ" w:bidi="cs-CZ"/>
        </w:rPr>
        <w:t>Dílčí faktury budou vystaveny zhotovitelem nejvýše do 95% celkové smluvní ceny díla, pokud nebude dohodnuto jinak.</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58" w:name="bookmark58"/>
      <w:bookmarkEnd w:id="58"/>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59" w:name="bookmark59"/>
      <w:bookmarkEnd w:id="59"/>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60" w:name="bookmark60"/>
      <w:bookmarkEnd w:id="6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5"/>
        </w:numPr>
        <w:shd w:val="clear" w:color="auto" w:fill="auto"/>
        <w:tabs>
          <w:tab w:pos="467" w:val="left"/>
        </w:tabs>
        <w:bidi w:val="0"/>
        <w:spacing w:before="0" w:after="200" w:line="240" w:lineRule="auto"/>
        <w:ind w:left="0" w:right="0" w:firstLine="0"/>
        <w:jc w:val="both"/>
      </w:pPr>
      <w:bookmarkStart w:id="61" w:name="bookmark61"/>
      <w:bookmarkEnd w:id="61"/>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5"/>
        </w:numPr>
        <w:shd w:val="clear" w:color="auto" w:fill="auto"/>
        <w:tabs>
          <w:tab w:pos="467" w:val="left"/>
        </w:tabs>
        <w:bidi w:val="0"/>
        <w:spacing w:before="0" w:after="200" w:line="240" w:lineRule="auto"/>
        <w:ind w:left="380" w:right="0" w:hanging="380"/>
        <w:jc w:val="both"/>
      </w:pPr>
      <w:bookmarkStart w:id="62" w:name="bookmark62"/>
      <w:bookmarkEnd w:id="62"/>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63" w:name="bookmark63"/>
      <w:bookmarkEnd w:id="63"/>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64" w:name="bookmark64"/>
      <w:bookmarkEnd w:id="64"/>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67" w:name="bookmark67"/>
      <w:bookmarkEnd w:id="67"/>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68" w:name="bookmark68"/>
      <w:bookmarkEnd w:id="68"/>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69" w:name="bookmark69"/>
      <w:bookmarkEnd w:id="69"/>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70" w:name="bookmark70"/>
      <w:bookmarkEnd w:id="7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71" w:name="bookmark71"/>
      <w:bookmarkEnd w:id="71"/>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7"/>
        </w:numPr>
        <w:shd w:val="clear" w:color="auto" w:fill="auto"/>
        <w:tabs>
          <w:tab w:pos="467" w:val="left"/>
        </w:tabs>
        <w:bidi w:val="0"/>
        <w:spacing w:before="0" w:after="200" w:line="240" w:lineRule="auto"/>
        <w:ind w:left="380" w:right="0" w:hanging="380"/>
        <w:jc w:val="both"/>
      </w:pPr>
      <w:bookmarkStart w:id="72" w:name="bookmark72"/>
      <w:bookmarkEnd w:id="72"/>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7"/>
        </w:numPr>
        <w:shd w:val="clear" w:color="auto" w:fill="auto"/>
        <w:tabs>
          <w:tab w:pos="467" w:val="left"/>
        </w:tabs>
        <w:bidi w:val="0"/>
        <w:spacing w:before="0" w:after="20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7"/>
        </w:numPr>
        <w:shd w:val="clear" w:color="auto" w:fill="auto"/>
        <w:tabs>
          <w:tab w:pos="484"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7"/>
        </w:numPr>
        <w:shd w:val="clear" w:color="auto" w:fill="auto"/>
        <w:tabs>
          <w:tab w:pos="484" w:val="left"/>
        </w:tabs>
        <w:bidi w:val="0"/>
        <w:spacing w:before="0" w:after="46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9"/>
        </w:numPr>
        <w:shd w:val="clear" w:color="auto" w:fill="auto"/>
        <w:tabs>
          <w:tab w:pos="364" w:val="left"/>
        </w:tabs>
        <w:bidi w:val="0"/>
        <w:spacing w:before="0" w:after="0" w:line="240" w:lineRule="auto"/>
        <w:ind w:left="0" w:right="0" w:firstLine="0"/>
        <w:jc w:val="both"/>
      </w:pPr>
      <w:bookmarkStart w:id="76" w:name="bookmark76"/>
      <w:bookmarkEnd w:id="76"/>
      <w:r>
        <w:rPr>
          <w:b/>
          <w:bCs/>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21"/>
        </w:numPr>
        <w:shd w:val="clear" w:color="auto" w:fill="auto"/>
        <w:tabs>
          <w:tab w:pos="973" w:val="left"/>
        </w:tabs>
        <w:bidi w:val="0"/>
        <w:spacing w:before="0" w:after="100" w:line="240" w:lineRule="auto"/>
        <w:ind w:left="0" w:right="0" w:firstLine="380"/>
        <w:jc w:val="both"/>
      </w:pPr>
      <w:bookmarkStart w:id="77" w:name="bookmark77"/>
      <w:bookmarkEnd w:id="77"/>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21"/>
        </w:numPr>
        <w:shd w:val="clear" w:color="auto" w:fill="auto"/>
        <w:tabs>
          <w:tab w:pos="973" w:val="left"/>
        </w:tabs>
        <w:bidi w:val="0"/>
        <w:spacing w:before="0" w:after="100" w:line="240" w:lineRule="auto"/>
        <w:ind w:left="1020" w:right="0" w:hanging="600"/>
        <w:jc w:val="both"/>
      </w:pPr>
      <w:bookmarkStart w:id="78" w:name="bookmark78"/>
      <w:bookmarkEnd w:id="78"/>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21"/>
        </w:numPr>
        <w:shd w:val="clear" w:color="auto" w:fill="auto"/>
        <w:tabs>
          <w:tab w:pos="973" w:val="left"/>
        </w:tabs>
        <w:bidi w:val="0"/>
        <w:spacing w:before="0" w:after="100" w:line="240" w:lineRule="auto"/>
        <w:ind w:left="1020" w:right="0" w:hanging="600"/>
        <w:jc w:val="both"/>
      </w:pPr>
      <w:bookmarkStart w:id="79" w:name="bookmark79"/>
      <w:bookmarkEnd w:id="79"/>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9"/>
        </w:numPr>
        <w:shd w:val="clear" w:color="auto" w:fill="auto"/>
        <w:tabs>
          <w:tab w:pos="364" w:val="left"/>
        </w:tabs>
        <w:bidi w:val="0"/>
        <w:spacing w:before="0" w:line="240" w:lineRule="auto"/>
        <w:ind w:left="380" w:right="0" w:hanging="380"/>
        <w:jc w:val="both"/>
      </w:pPr>
      <w:bookmarkStart w:id="80" w:name="bookmark80"/>
      <w:bookmarkEnd w:id="80"/>
      <w:r>
        <w:rPr>
          <w:b/>
          <w:bCs/>
          <w:color w:val="000000"/>
          <w:spacing w:val="0"/>
          <w:w w:val="100"/>
          <w:position w:val="0"/>
          <w:shd w:val="clear" w:color="auto" w:fill="auto"/>
          <w:lang w:val="cs-CZ" w:eastAsia="cs-CZ" w:bidi="cs-CZ"/>
        </w:rPr>
        <w:t>Záruční doba se sjednává na 12 měsíců na dodávané díly a provedené práce ode dne předání a převzetí díla objednatelem.</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9"/>
        </w:numPr>
        <w:shd w:val="clear" w:color="auto" w:fill="auto"/>
        <w:tabs>
          <w:tab w:pos="364" w:val="left"/>
        </w:tabs>
        <w:bidi w:val="0"/>
        <w:spacing w:before="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9"/>
        </w:numPr>
        <w:shd w:val="clear" w:color="auto" w:fill="auto"/>
        <w:tabs>
          <w:tab w:pos="364" w:val="left"/>
        </w:tabs>
        <w:bidi w:val="0"/>
        <w:spacing w:before="0" w:after="14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2"/>
        <w:keepNext/>
        <w:keepLines/>
        <w:widowControl w:val="0"/>
        <w:numPr>
          <w:ilvl w:val="0"/>
          <w:numId w:val="23"/>
        </w:numPr>
        <w:shd w:val="clear" w:color="auto" w:fill="auto"/>
        <w:tabs>
          <w:tab w:pos="358" w:val="left"/>
        </w:tabs>
        <w:bidi w:val="0"/>
        <w:spacing w:before="0" w:after="440" w:line="240" w:lineRule="auto"/>
        <w:ind w:left="380" w:right="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84"/>
      <w:bookmarkEnd w:id="85"/>
      <w:bookmarkEnd w:id="87"/>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12"/>
        <w:keepNext/>
        <w:keepLines/>
        <w:widowControl w:val="0"/>
        <w:numPr>
          <w:ilvl w:val="0"/>
          <w:numId w:val="25"/>
        </w:numPr>
        <w:shd w:val="clear" w:color="auto" w:fill="auto"/>
        <w:tabs>
          <w:tab w:pos="358" w:val="left"/>
        </w:tabs>
        <w:bidi w:val="0"/>
        <w:spacing w:before="0" w:after="320" w:line="240" w:lineRule="auto"/>
        <w:ind w:left="380" w:right="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tvoří přílohu č. 2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91"/>
      <w:bookmarkEnd w:id="92"/>
      <w:bookmarkEnd w:id="94"/>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7"/>
        </w:numPr>
        <w:shd w:val="clear" w:color="auto" w:fill="auto"/>
        <w:tabs>
          <w:tab w:pos="358" w:val="left"/>
        </w:tabs>
        <w:bidi w:val="0"/>
        <w:spacing w:before="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9"/>
        </w:numPr>
        <w:shd w:val="clear" w:color="auto" w:fill="auto"/>
        <w:tabs>
          <w:tab w:pos="1179" w:val="left"/>
        </w:tabs>
        <w:bidi w:val="0"/>
        <w:spacing w:before="0" w:after="0" w:line="240" w:lineRule="auto"/>
        <w:ind w:left="1160" w:right="0" w:hanging="36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01"/>
      <w:bookmarkEnd w:id="98"/>
      <w:bookmarkEnd w:id="99"/>
    </w:p>
    <w:p>
      <w:pPr>
        <w:pStyle w:val="Style12"/>
        <w:keepNext/>
        <w:keepLines/>
        <w:widowControl w:val="0"/>
        <w:numPr>
          <w:ilvl w:val="0"/>
          <w:numId w:val="29"/>
        </w:numPr>
        <w:shd w:val="clear" w:color="auto" w:fill="auto"/>
        <w:tabs>
          <w:tab w:pos="1179" w:val="left"/>
        </w:tabs>
        <w:bidi w:val="0"/>
        <w:spacing w:before="0" w:after="0" w:line="240" w:lineRule="auto"/>
        <w:ind w:left="0" w:right="0" w:firstLine="80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bezdůvodném přerušení prací zhotovitelem, které trvá více než 14 dnů,</w:t>
      </w:r>
      <w:bookmarkEnd w:id="102"/>
      <w:bookmarkEnd w:id="103"/>
      <w:bookmarkEnd w:id="105"/>
    </w:p>
    <w:p>
      <w:pPr>
        <w:pStyle w:val="Style12"/>
        <w:keepNext/>
        <w:keepLines/>
        <w:widowControl w:val="0"/>
        <w:numPr>
          <w:ilvl w:val="0"/>
          <w:numId w:val="29"/>
        </w:numPr>
        <w:shd w:val="clear" w:color="auto" w:fill="auto"/>
        <w:tabs>
          <w:tab w:pos="1352" w:val="left"/>
        </w:tabs>
        <w:bidi w:val="0"/>
        <w:spacing w:before="0" w:after="0" w:line="240" w:lineRule="auto"/>
        <w:ind w:left="1160" w:right="0" w:hanging="36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06"/>
      <w:bookmarkEnd w:id="107"/>
      <w:bookmarkEnd w:id="109"/>
    </w:p>
    <w:p>
      <w:pPr>
        <w:pStyle w:val="Style12"/>
        <w:keepNext/>
        <w:keepLines/>
        <w:widowControl w:val="0"/>
        <w:numPr>
          <w:ilvl w:val="0"/>
          <w:numId w:val="29"/>
        </w:numPr>
        <w:shd w:val="clear" w:color="auto" w:fill="auto"/>
        <w:tabs>
          <w:tab w:pos="1179" w:val="left"/>
        </w:tabs>
        <w:bidi w:val="0"/>
        <w:spacing w:before="0" w:after="120" w:line="240" w:lineRule="auto"/>
        <w:ind w:left="0" w:right="0" w:firstLine="80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neplněním povinností zhotovitele vést řádně zápisy do stavebního deníku.</w:t>
      </w:r>
      <w:bookmarkEnd w:id="110"/>
      <w:bookmarkEnd w:id="111"/>
      <w:bookmarkEnd w:id="113"/>
    </w:p>
    <w:p>
      <w:pPr>
        <w:pStyle w:val="Style2"/>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7"/>
        </w:numPr>
        <w:shd w:val="clear" w:color="auto" w:fill="auto"/>
        <w:tabs>
          <w:tab w:pos="359" w:val="left"/>
        </w:tabs>
        <w:bidi w:val="0"/>
        <w:spacing w:before="0" w:after="0" w:line="240" w:lineRule="auto"/>
        <w:ind w:left="0" w:right="0" w:firstLine="0"/>
        <w:jc w:val="both"/>
      </w:pPr>
      <w:bookmarkStart w:id="119" w:name="bookmark119"/>
      <w:bookmarkEnd w:id="119"/>
      <w:r>
        <w:rPr>
          <w:color w:val="000000"/>
          <w:spacing w:val="0"/>
          <w:w w:val="100"/>
          <w:position w:val="0"/>
          <w:shd w:val="clear" w:color="auto" w:fill="auto"/>
          <w:lang w:val="cs-CZ" w:eastAsia="cs-CZ" w:bidi="cs-CZ"/>
        </w:rPr>
        <w:t>Nájemce prohlašuje, že se seznámil se zásadami, hodnotami a cíli Compliance programu</w:t>
      </w:r>
    </w:p>
    <w:p>
      <w:pPr>
        <w:pStyle w:val="Style2"/>
        <w:keepNext w:val="0"/>
        <w:keepLines w:val="0"/>
        <w:widowControl w:val="0"/>
        <w:shd w:val="clear" w:color="auto" w:fill="auto"/>
        <w:tabs>
          <w:tab w:pos="3318" w:val="left"/>
          <w:tab w:pos="6126"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Povodí</w:t>
        <w:tab/>
        <w:t>Ohře,</w:t>
        <w:tab/>
        <w:t>s.p.</w:t>
        <w:tab/>
        <w:t>(viz</w:t>
      </w:r>
    </w:p>
    <w:p>
      <w:pPr>
        <w:pStyle w:val="Style2"/>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7"/>
        </w:numPr>
        <w:shd w:val="clear" w:color="auto" w:fill="auto"/>
        <w:tabs>
          <w:tab w:pos="443" w:val="left"/>
        </w:tabs>
        <w:bidi w:val="0"/>
        <w:spacing w:before="0" w:after="6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7"/>
        </w:numPr>
        <w:shd w:val="clear" w:color="auto" w:fill="auto"/>
        <w:tabs>
          <w:tab w:pos="443" w:val="left"/>
        </w:tabs>
        <w:bidi w:val="0"/>
        <w:spacing w:before="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7"/>
        </w:numPr>
        <w:shd w:val="clear" w:color="auto" w:fill="auto"/>
        <w:tabs>
          <w:tab w:pos="443" w:val="left"/>
        </w:tabs>
        <w:bidi w:val="0"/>
        <w:spacing w:before="0" w:after="60" w:line="240" w:lineRule="auto"/>
        <w:ind w:left="0" w:right="0" w:firstLine="0"/>
        <w:jc w:val="both"/>
      </w:pPr>
      <w:bookmarkStart w:id="122" w:name="bookmark122"/>
      <w:bookmarkEnd w:id="122"/>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7"/>
        </w:numPr>
        <w:shd w:val="clear" w:color="auto" w:fill="auto"/>
        <w:tabs>
          <w:tab w:pos="479" w:val="left"/>
        </w:tabs>
        <w:bidi w:val="0"/>
        <w:spacing w:before="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7"/>
        </w:numPr>
        <w:shd w:val="clear" w:color="auto" w:fill="auto"/>
        <w:tabs>
          <w:tab w:pos="479" w:val="left"/>
        </w:tabs>
        <w:bidi w:val="0"/>
        <w:spacing w:before="0" w:after="6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7"/>
        </w:numPr>
        <w:shd w:val="clear" w:color="auto" w:fill="auto"/>
        <w:tabs>
          <w:tab w:pos="479" w:val="left"/>
        </w:tabs>
        <w:bidi w:val="0"/>
        <w:spacing w:before="0" w:after="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1) Příloha č. 1: Čestné prohlášení k finančním sankcím</w:t>
      </w:r>
    </w:p>
    <w:p>
      <w:pPr>
        <w:pStyle w:val="Style2"/>
        <w:keepNext w:val="0"/>
        <w:keepLines w:val="0"/>
        <w:widowControl w:val="0"/>
        <w:shd w:val="clear" w:color="auto" w:fill="auto"/>
        <w:bidi w:val="0"/>
        <w:spacing w:before="0" w:after="440" w:line="240" w:lineRule="auto"/>
        <w:ind w:left="380" w:right="0" w:firstLine="0"/>
        <w:jc w:val="both"/>
      </w:pPr>
      <w:r>
        <w:rPr>
          <w:color w:val="000000"/>
          <w:spacing w:val="0"/>
          <w:w w:val="100"/>
          <w:position w:val="0"/>
          <w:shd w:val="clear" w:color="auto" w:fill="auto"/>
          <w:lang w:val="cs-CZ" w:eastAsia="cs-CZ" w:bidi="cs-CZ"/>
        </w:rPr>
        <w:t>Priorita 1) Příloha č. 2: Čestné prohlášení o společensky odpovědném plnění veřejné zakázky</w:t>
      </w:r>
    </w:p>
    <w:tbl>
      <w:tblPr>
        <w:tblOverlap w:val="never"/>
        <w:jc w:val="center"/>
        <w:tblLayout w:type="fixed"/>
      </w:tblPr>
      <w:tblGrid>
        <w:gridCol w:w="4704"/>
        <w:gridCol w:w="4421"/>
      </w:tblGrid>
      <w:tr>
        <w:trPr>
          <w:trHeight w:val="1027"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360" w:right="0" w:firstLine="0"/>
              <w:jc w:val="left"/>
            </w:pPr>
            <w:r>
              <w:rPr>
                <w:color w:val="000000"/>
                <w:spacing w:val="0"/>
                <w:w w:val="100"/>
                <w:position w:val="0"/>
                <w:shd w:val="clear" w:color="auto" w:fill="auto"/>
                <w:lang w:val="cs-CZ" w:eastAsia="cs-CZ" w:bidi="cs-CZ"/>
              </w:rPr>
              <w:t>Digitálně podepsal:</w:t>
            </w:r>
          </w:p>
        </w:tc>
      </w:tr>
      <w:tr>
        <w:trPr>
          <w:trHeight w:val="160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oprávněný zástupce zhotovitele</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360" w:right="0" w:firstLine="0"/>
              <w:jc w:val="left"/>
            </w:pPr>
            <w:r>
              <w:rPr>
                <w:color w:val="000000"/>
                <w:spacing w:val="0"/>
                <w:w w:val="100"/>
                <w:position w:val="0"/>
                <w:shd w:val="clear" w:color="auto" w:fill="auto"/>
                <w:lang w:val="cs-CZ" w:eastAsia="cs-CZ" w:bidi="cs-CZ"/>
              </w:rPr>
              <w:t>…………………………………… oprávněný zástupce objednatele</w:t>
            </w:r>
          </w:p>
        </w:tc>
      </w:tr>
    </w:tbl>
    <w:sectPr>
      <w:headerReference w:type="default" r:id="rId5"/>
      <w:footerReference w:type="default" r:id="rId6"/>
      <w:footnotePr>
        <w:pos w:val="pageBottom"/>
        <w:numFmt w:val="decimal"/>
        <w:numRestart w:val="continuous"/>
      </w:footnotePr>
      <w:pgSz w:w="11909" w:h="16838"/>
      <w:pgMar w:top="1063" w:left="1393" w:right="1386" w:bottom="1217"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5994400</wp:posOffset>
              </wp:positionH>
              <wp:positionV relativeFrom="page">
                <wp:posOffset>9966960</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72.pt;margin-top:784.80000000000007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5652770</wp:posOffset>
              </wp:positionH>
              <wp:positionV relativeFrom="page">
                <wp:posOffset>385445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45.10000000000002pt;margin-top:30.35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ind w:left="1020" w:hanging="380"/>
      <w:outlineLvl w:val="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