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D08F9" w14:textId="77777777" w:rsidR="00F71023" w:rsidRDefault="00000000">
      <w:pPr>
        <w:rPr>
          <w:sz w:val="2"/>
        </w:rPr>
      </w:pPr>
      <w:r>
        <w:pict w14:anchorId="2C584DC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45.45pt;margin-top:828.45pt;width:522pt;height:15.1pt;z-index:-251658752;mso-wrap-distance-left:0;mso-wrap-distance-right:0;mso-position-horizontal-relative:page;mso-position-vertical-relative:page" filled="f" stroked="f">
            <v:textbox inset="0,0,0,0">
              <w:txbxContent>
                <w:p w14:paraId="3D9A7853" w14:textId="0141240C" w:rsidR="00F71023" w:rsidRDefault="00000000">
                  <w:pPr>
                    <w:spacing w:after="36" w:line="264" w:lineRule="auto"/>
                    <w:ind w:right="360"/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 xml:space="preserve"> Česká pojišťovna a.s., Spálená 75/16, Nové Město, 110 OO Praha 1, IČO: 452 72 956. DIČ: CZ699001273, je zapsána v obchodním rejstříku vedeném Městským soudem v Praze, spis, zn. 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 xml:space="preserve">B 1464, člen skupiny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 xml:space="preserve">, zapsané v italském registru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pojišt'ovac</w:t>
                  </w:r>
                  <w:r w:rsidR="008B2B93"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í</w:t>
                  </w:r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ch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 xml:space="preserve"> skupin, vedeném IVASS. pod číslem 026 Kontaktní údaje: P. O. BOX 305, 659 05 Brno, </w:t>
                  </w:r>
                  <w:proofErr w:type="gramStart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w.vw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1"/>
                      <w:sz w:val="10"/>
                      <w:lang w:val="cs-CZ"/>
                    </w:rPr>
                    <w:t>,generaliceska.cz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1563"/>
        <w:gridCol w:w="6318"/>
      </w:tblGrid>
      <w:tr w:rsidR="00F71023" w14:paraId="26C0A95F" w14:textId="77777777">
        <w:trPr>
          <w:trHeight w:hRule="exact" w:val="284"/>
        </w:trPr>
        <w:tc>
          <w:tcPr>
            <w:tcW w:w="1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BE24E2" w14:textId="5F04A3BF" w:rsidR="00F71023" w:rsidRDefault="00000000">
            <w:pPr>
              <w:ind w:right="486"/>
              <w:jc w:val="right"/>
              <w:rPr>
                <w:rFonts w:ascii="Arial" w:hAnsi="Arial"/>
                <w:b/>
                <w:color w:val="000000"/>
                <w:spacing w:val="-9"/>
                <w:w w:val="140"/>
                <w:sz w:val="12"/>
                <w:vertAlign w:val="superscript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9"/>
                <w:sz w:val="19"/>
                <w:lang w:val="cs-CZ"/>
              </w:rPr>
              <w:t>Přehled pojištění</w:t>
            </w: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999F35" w14:textId="04AEB12E" w:rsidR="00F71023" w:rsidRDefault="00F71023">
            <w:pPr>
              <w:spacing w:line="266" w:lineRule="exact"/>
              <w:jc w:val="center"/>
            </w:pPr>
          </w:p>
        </w:tc>
        <w:tc>
          <w:tcPr>
            <w:tcW w:w="6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D7D9B6F" w14:textId="70338CD5" w:rsidR="00F71023" w:rsidRDefault="00F71023">
            <w:pPr>
              <w:spacing w:before="108"/>
              <w:ind w:right="965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</w:p>
        </w:tc>
      </w:tr>
    </w:tbl>
    <w:p w14:paraId="482E7641" w14:textId="77777777" w:rsidR="00F71023" w:rsidRDefault="00000000">
      <w:pPr>
        <w:spacing w:before="36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 xml:space="preserve">Výluka </w:t>
      </w:r>
      <w:r>
        <w:rPr>
          <w:rFonts w:ascii="Tahoma" w:hAnsi="Tahoma"/>
          <w:b/>
          <w:color w:val="000000"/>
          <w:spacing w:val="2"/>
          <w:sz w:val="12"/>
          <w:lang w:val="cs-CZ"/>
        </w:rPr>
        <w:t>z pojištění týkající se nakažlivých nemocí</w:t>
      </w:r>
    </w:p>
    <w:p w14:paraId="397B8629" w14:textId="65D8F0E7" w:rsidR="00F71023" w:rsidRDefault="00000000">
      <w:pPr>
        <w:spacing w:before="3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 xml:space="preserve">Ujednává se, že pro živelní pojištění, Pojištění odcizeni movitých věcí se Všeobecné pojistné podmínky pro pojištění majetku a odpovědnosti VPPMO-P-02/2020, A. </w:t>
      </w:r>
      <w:r>
        <w:rPr>
          <w:rFonts w:ascii="Arial" w:hAnsi="Arial"/>
          <w:color w:val="000000"/>
          <w:spacing w:val="1"/>
          <w:sz w:val="13"/>
          <w:lang w:val="cs-CZ"/>
        </w:rPr>
        <w:t>Společná ustanoveni, článek 3 Obecné výluky z pojištění doplňují o následujíc</w:t>
      </w:r>
      <w:r w:rsidR="00D2453E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 výluku:</w:t>
      </w:r>
    </w:p>
    <w:p w14:paraId="52D6B7F9" w14:textId="77777777" w:rsidR="00F71023" w:rsidRDefault="00000000">
      <w:pPr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Pojištění se nevztahuje na jakékoliv škody, újmy a finanční ztráty vzniklé z příčiny nebo v souvislosti:</w:t>
      </w:r>
    </w:p>
    <w:p w14:paraId="125CA693" w14:textId="0137194B" w:rsidR="00F71023" w:rsidRDefault="00000000">
      <w:pPr>
        <w:numPr>
          <w:ilvl w:val="0"/>
          <w:numId w:val="1"/>
        </w:numPr>
        <w:ind w:left="0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s nakažlivou nemocí nebo se skutečnou </w:t>
      </w:r>
      <w:r w:rsidR="00D2453E" w:rsidRPr="00D2453E">
        <w:rPr>
          <w:rFonts w:ascii="Arial" w:hAnsi="Arial"/>
          <w:color w:val="000000"/>
          <w:spacing w:val="1"/>
          <w:sz w:val="13"/>
          <w:lang w:val="cs-CZ"/>
        </w:rPr>
        <w:t>či</w:t>
      </w:r>
      <w:r>
        <w:rPr>
          <w:rFonts w:ascii="Arial" w:hAnsi="Arial"/>
          <w:b/>
          <w:color w:val="000000"/>
          <w:spacing w:val="1"/>
          <w:sz w:val="14"/>
          <w:lang w:val="cs-CZ"/>
        </w:rPr>
        <w:t xml:space="preserve"> </w:t>
      </w:r>
      <w:r>
        <w:rPr>
          <w:rFonts w:ascii="Arial" w:hAnsi="Arial"/>
          <w:color w:val="000000"/>
          <w:spacing w:val="1"/>
          <w:sz w:val="13"/>
          <w:lang w:val="cs-CZ"/>
        </w:rPr>
        <w:t>domnělou hrozbou či strachem z ní, nebo</w:t>
      </w:r>
    </w:p>
    <w:p w14:paraId="076F0416" w14:textId="77777777" w:rsidR="00F71023" w:rsidRDefault="00000000">
      <w:pPr>
        <w:numPr>
          <w:ilvl w:val="0"/>
          <w:numId w:val="1"/>
        </w:numPr>
        <w:ind w:left="288" w:right="144" w:hanging="288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s nakažlivou nemoci a s tím spojený zásah státní či úřední moci, zejména co do nařízení zavřít provozy a provozovny z důvodu omezeni nebo zastaveni šíření </w:t>
      </w:r>
      <w:r>
        <w:rPr>
          <w:rFonts w:ascii="Arial" w:hAnsi="Arial"/>
          <w:color w:val="000000"/>
          <w:sz w:val="13"/>
          <w:lang w:val="cs-CZ"/>
        </w:rPr>
        <w:t>takové nakažlivé nemoci, nebo</w:t>
      </w:r>
    </w:p>
    <w:p w14:paraId="48FC79B0" w14:textId="77777777" w:rsidR="00F71023" w:rsidRDefault="00000000">
      <w:pPr>
        <w:numPr>
          <w:ilvl w:val="0"/>
          <w:numId w:val="1"/>
        </w:numPr>
        <w:ind w:left="288" w:hanging="288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kombinací výše uvedeného.</w:t>
      </w:r>
    </w:p>
    <w:p w14:paraId="18D52989" w14:textId="77777777" w:rsidR="00F71023" w:rsidRDefault="00000000">
      <w:pPr>
        <w:spacing w:before="36"/>
        <w:ind w:left="216" w:right="648" w:hanging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Za nakažlivou nemoc se pro tyto účely považuje jakákoli nemoc, která se může přenášet jakoukoli látkou nebo činidlem z organismu na organismus, kde: látka nebo činidlo zahrnuji mimo jiné viry, bakterie, parazity, nebo jiný organismus nebo jeho variaci, živou i neživou;</w:t>
      </w:r>
    </w:p>
    <w:p w14:paraId="44A72305" w14:textId="77777777" w:rsidR="00F71023" w:rsidRDefault="00000000">
      <w:pPr>
        <w:ind w:right="36"/>
        <w:jc w:val="right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>přímý i nepřímý způsob přenosu zahrnuje mimo jiné přenos vzduchem, tělními tekutinami, přenos přes různé povrchy nebo předměty, přenos pevným, kapalným</w:t>
      </w:r>
    </w:p>
    <w:p w14:paraId="5AF73DC6" w14:textId="77777777" w:rsidR="00F71023" w:rsidRDefault="00000000">
      <w:pPr>
        <w:ind w:left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nebo plynným skupenstvím nebo přenos mezi organismy;</w:t>
      </w:r>
    </w:p>
    <w:p w14:paraId="5A09AF4B" w14:textId="77777777" w:rsidR="00F71023" w:rsidRDefault="00000000">
      <w:pPr>
        <w:numPr>
          <w:ilvl w:val="0"/>
          <w:numId w:val="2"/>
        </w:numPr>
        <w:spacing w:line="85" w:lineRule="exact"/>
        <w:ind w:left="0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>nemoc, látka nebo činidlo mohou způsobit škodu na zdraví nebo ohrožení lidského zdraví a lidského blaha, nebo mohou způsobit či vyvolat škodu, poškozeni</w:t>
      </w:r>
    </w:p>
    <w:p w14:paraId="4096AC55" w14:textId="77777777" w:rsidR="00F71023" w:rsidRDefault="00000000">
      <w:pPr>
        <w:spacing w:before="108" w:line="184" w:lineRule="auto"/>
        <w:ind w:left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nebo znehodnocení majetku, nebo ztrátu jeho obchodovatelnosti, prodejnosti, či ztrátu jeho užití.</w:t>
      </w:r>
    </w:p>
    <w:p w14:paraId="6F5E1BC8" w14:textId="77777777" w:rsidR="00F71023" w:rsidRDefault="00000000">
      <w:pPr>
        <w:spacing w:line="264" w:lineRule="auto"/>
        <w:rPr>
          <w:rFonts w:ascii="Tahoma" w:hAnsi="Tahoma"/>
          <w:b/>
          <w:color w:val="000000"/>
          <w:spacing w:val="-2"/>
          <w:sz w:val="12"/>
          <w:lang w:val="cs-CZ"/>
        </w:rPr>
      </w:pPr>
      <w:r>
        <w:rPr>
          <w:rFonts w:ascii="Tahoma" w:hAnsi="Tahoma"/>
          <w:b/>
          <w:color w:val="000000"/>
          <w:spacing w:val="-2"/>
          <w:sz w:val="12"/>
          <w:lang w:val="cs-CZ"/>
        </w:rPr>
        <w:t>Územní výluka</w:t>
      </w:r>
    </w:p>
    <w:p w14:paraId="085CBEDF" w14:textId="1411EE15" w:rsidR="00F71023" w:rsidRDefault="00000000">
      <w:pPr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Pojištění se nevztahuje a z pojištění nevzniká právo na jakékoliv p</w:t>
      </w:r>
      <w:r w:rsidR="00D2453E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nění či nárok v jakékoli souvislosti:</w:t>
      </w:r>
    </w:p>
    <w:p w14:paraId="69132430" w14:textId="322E1955" w:rsidR="00F71023" w:rsidRDefault="00000000">
      <w:pPr>
        <w:spacing w:before="36"/>
        <w:ind w:left="144" w:hanging="144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a se škodní/pojistnou událostí, k níž dojde na území následujících států/regionů: Bělorusko, Írán, Korejská lidově demokratická republika, Kuba s americkým </w:t>
      </w:r>
      <w:r>
        <w:rPr>
          <w:rFonts w:ascii="Arial" w:hAnsi="Arial"/>
          <w:color w:val="000000"/>
          <w:sz w:val="13"/>
          <w:lang w:val="cs-CZ"/>
        </w:rPr>
        <w:t>prvkem, Ruská federace, Sýrie, Venezuela, Krymský region, Doněcký region, Chersonský region, Luhanský region a Záporožský region (dále jen „země s úp</w:t>
      </w:r>
      <w:r w:rsidR="00D2453E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 xml:space="preserve">ným </w:t>
      </w:r>
      <w:r>
        <w:rPr>
          <w:rFonts w:ascii="Arial" w:hAnsi="Arial"/>
          <w:color w:val="000000"/>
          <w:spacing w:val="-5"/>
          <w:sz w:val="13"/>
          <w:lang w:val="cs-CZ"/>
        </w:rPr>
        <w:t>embargem"),</w:t>
      </w:r>
    </w:p>
    <w:p w14:paraId="1E60219A" w14:textId="77777777" w:rsidR="00F71023" w:rsidRDefault="00000000">
      <w:pPr>
        <w:ind w:left="144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Více informací naleznete na webu </w:t>
      </w:r>
      <w:proofErr w:type="spellStart"/>
      <w:r>
        <w:rPr>
          <w:rFonts w:ascii="Arial" w:hAnsi="Arial"/>
          <w:color w:val="000000"/>
          <w:spacing w:val="1"/>
          <w:sz w:val="13"/>
          <w:lang w:val="cs-CZ"/>
        </w:rPr>
        <w:t>pojišt'ovny</w:t>
      </w:r>
      <w:proofErr w:type="spellEnd"/>
      <w:r>
        <w:rPr>
          <w:rFonts w:ascii="Arial" w:hAnsi="Arial"/>
          <w:color w:val="000000"/>
          <w:spacing w:val="1"/>
          <w:sz w:val="13"/>
          <w:lang w:val="cs-CZ"/>
        </w:rPr>
        <w:t xml:space="preserve"> </w:t>
      </w:r>
      <w:hyperlink r:id="rId5">
        <w:r>
          <w:rPr>
            <w:rFonts w:ascii="Arial" w:hAnsi="Arial"/>
            <w:color w:val="0000FF"/>
            <w:spacing w:val="1"/>
            <w:sz w:val="13"/>
            <w:u w:val="single"/>
            <w:lang w:val="cs-CZ"/>
          </w:rPr>
          <w:t>www.generaliceska.cz/sankce-zemi-osob.</w:t>
        </w:r>
      </w:hyperlink>
    </w:p>
    <w:p w14:paraId="68F5D474" w14:textId="541F71DF" w:rsidR="00F71023" w:rsidRDefault="00000000">
      <w:pPr>
        <w:jc w:val="center"/>
        <w:rPr>
          <w:rFonts w:ascii="Tahoma" w:hAnsi="Tahoma"/>
          <w:b/>
          <w:color w:val="000000"/>
          <w:spacing w:val="2"/>
          <w:sz w:val="12"/>
          <w:lang w:val="cs-CZ"/>
        </w:rPr>
      </w:pPr>
      <w:r>
        <w:rPr>
          <w:rFonts w:ascii="Tahoma" w:hAnsi="Tahoma"/>
          <w:b/>
          <w:color w:val="000000"/>
          <w:spacing w:val="2"/>
          <w:sz w:val="12"/>
          <w:lang w:val="cs-CZ"/>
        </w:rPr>
        <w:t xml:space="preserve">b </w:t>
      </w:r>
      <w:r>
        <w:rPr>
          <w:rFonts w:ascii="Arial" w:hAnsi="Arial"/>
          <w:color w:val="000000"/>
          <w:spacing w:val="2"/>
          <w:sz w:val="13"/>
          <w:lang w:val="cs-CZ"/>
        </w:rPr>
        <w:t>s jakoukoliv činností, která přímo či nepřímo souvisí s vládou země s úp</w:t>
      </w:r>
      <w:r w:rsidR="00D2453E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ným embargem nebo právnickými osobami se sídlem v zemi s úp</w:t>
      </w:r>
      <w:r w:rsidR="00D2453E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ným embargem, jakož</w:t>
      </w:r>
    </w:p>
    <w:p w14:paraId="39E4593B" w14:textId="5B450BBB" w:rsidR="00F71023" w:rsidRDefault="00000000">
      <w:pPr>
        <w:spacing w:before="36" w:line="480" w:lineRule="auto"/>
        <w:ind w:right="648" w:firstLine="21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fyzickými nebo právnickými osobami, které se nacházej</w:t>
      </w:r>
      <w:r w:rsidR="00D2453E">
        <w:rPr>
          <w:rFonts w:ascii="Arial" w:hAnsi="Arial"/>
          <w:color w:val="000000"/>
          <w:sz w:val="13"/>
          <w:lang w:val="cs-CZ"/>
        </w:rPr>
        <w:t>í</w:t>
      </w:r>
      <w:r>
        <w:rPr>
          <w:rFonts w:ascii="Arial" w:hAnsi="Arial"/>
          <w:color w:val="000000"/>
          <w:sz w:val="13"/>
          <w:lang w:val="cs-CZ"/>
        </w:rPr>
        <w:t xml:space="preserve"> na územ</w:t>
      </w:r>
      <w:r w:rsidR="00D2453E">
        <w:rPr>
          <w:rFonts w:ascii="Arial" w:hAnsi="Arial"/>
          <w:color w:val="000000"/>
          <w:sz w:val="13"/>
          <w:lang w:val="cs-CZ"/>
        </w:rPr>
        <w:t>í</w:t>
      </w:r>
      <w:r>
        <w:rPr>
          <w:rFonts w:ascii="Arial" w:hAnsi="Arial"/>
          <w:color w:val="000000"/>
          <w:sz w:val="13"/>
          <w:lang w:val="cs-CZ"/>
        </w:rPr>
        <w:t xml:space="preserve"> země s úp</w:t>
      </w:r>
      <w:r w:rsidR="00D2453E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 xml:space="preserve">ným embargem, případně mají výše jmenovaní z této činnosti prospěch. </w:t>
      </w:r>
      <w:r>
        <w:rPr>
          <w:rFonts w:ascii="Arial" w:hAnsi="Arial"/>
          <w:color w:val="000000"/>
          <w:spacing w:val="2"/>
          <w:sz w:val="13"/>
          <w:lang w:val="cs-CZ"/>
        </w:rPr>
        <w:t>Územím se vždy rozumí území zemi s úp</w:t>
      </w:r>
      <w:r w:rsidR="00D2453E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ným embargem vč. jejich vnitřních a pobřežních vod, přilehlých zón a výlučných ekonomických zón.</w:t>
      </w:r>
    </w:p>
    <w:p w14:paraId="08400647" w14:textId="6AAF8FAF" w:rsidR="00F71023" w:rsidRDefault="00000000">
      <w:pPr>
        <w:spacing w:before="72"/>
        <w:ind w:right="504"/>
        <w:jc w:val="both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Americký prvek (US nexus) pro účely tohoto ujednání zahrnuje obchodní případy s možným uplatněním jurisdikce USA, např. z d</w:t>
      </w:r>
      <w:r w:rsidR="00D2453E">
        <w:rPr>
          <w:rFonts w:ascii="Arial" w:hAnsi="Arial"/>
          <w:color w:val="000000"/>
          <w:sz w:val="13"/>
          <w:lang w:val="cs-CZ"/>
        </w:rPr>
        <w:t>ů</w:t>
      </w:r>
      <w:r>
        <w:rPr>
          <w:rFonts w:ascii="Arial" w:hAnsi="Arial"/>
          <w:color w:val="000000"/>
          <w:sz w:val="13"/>
          <w:lang w:val="cs-CZ"/>
        </w:rPr>
        <w:t xml:space="preserve">vodu zapojení společnosti registrované v USA (či její zahraniční pobočky), občana USA nebo fyzické osoby s pobytem v USA (rezidenta v USA), finančního systému USA, banky USA, </w:t>
      </w:r>
      <w:r>
        <w:rPr>
          <w:rFonts w:ascii="Arial" w:hAnsi="Arial"/>
          <w:color w:val="000000"/>
          <w:spacing w:val="1"/>
          <w:sz w:val="13"/>
          <w:lang w:val="cs-CZ"/>
        </w:rPr>
        <w:t>amerických dolarů (USD) nebo zboží pocházejícího z USA.</w:t>
      </w:r>
    </w:p>
    <w:p w14:paraId="1B3D7D1B" w14:textId="77777777" w:rsidR="00F71023" w:rsidRDefault="00000000">
      <w:pPr>
        <w:spacing w:before="108" w:after="36" w:line="278" w:lineRule="auto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Od této výluky je možné se odchýlit pouze, pokud se k tornu pojišťovna předem písemně zaváže.</w:t>
      </w:r>
    </w:p>
    <w:tbl>
      <w:tblPr>
        <w:tblpPr w:leftFromText="141" w:rightFromText="141" w:vertAnchor="text" w:horzAnchor="margin" w:tblpY="6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2"/>
        <w:gridCol w:w="3558"/>
      </w:tblGrid>
      <w:tr w:rsidR="00D2453E" w14:paraId="279421DE" w14:textId="77777777" w:rsidTr="00D2453E">
        <w:trPr>
          <w:trHeight w:hRule="exact" w:val="142"/>
        </w:trPr>
        <w:tc>
          <w:tcPr>
            <w:tcW w:w="68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CEE579" w14:textId="0EBE4357" w:rsidR="00D2453E" w:rsidRPr="00D2453E" w:rsidRDefault="00D2453E" w:rsidP="00D2453E">
            <w:pPr>
              <w:spacing w:line="142" w:lineRule="exact"/>
              <w:ind w:right="4675"/>
              <w:rPr>
                <w:rFonts w:ascii="Arial" w:hAnsi="Arial"/>
                <w:b/>
                <w:color w:val="000000"/>
                <w:spacing w:val="-7"/>
                <w:sz w:val="16"/>
                <w:szCs w:val="16"/>
                <w:lang w:val="cs-CZ"/>
              </w:rPr>
            </w:pPr>
            <w:r w:rsidRPr="00D2453E">
              <w:rPr>
                <w:rFonts w:ascii="Arial" w:hAnsi="Arial"/>
                <w:b/>
                <w:color w:val="000000"/>
                <w:spacing w:val="-7"/>
                <w:sz w:val="16"/>
                <w:szCs w:val="16"/>
                <w:lang w:val="cs-CZ"/>
              </w:rPr>
              <w:t>1.1</w:t>
            </w:r>
            <w:r w:rsidRPr="00D2453E">
              <w:rPr>
                <w:rFonts w:ascii="Arial" w:hAnsi="Arial"/>
                <w:b/>
                <w:color w:val="000000"/>
                <w:spacing w:val="-7"/>
                <w:sz w:val="16"/>
                <w:szCs w:val="16"/>
                <w:vertAlign w:val="subscript"/>
                <w:lang w:val="cs-CZ"/>
              </w:rPr>
              <w:t>.</w:t>
            </w:r>
            <w:r w:rsidRPr="00D2453E">
              <w:rPr>
                <w:rFonts w:ascii="Arial" w:hAnsi="Arial"/>
                <w:b/>
                <w:color w:val="000000"/>
                <w:spacing w:val="-7"/>
                <w:sz w:val="16"/>
                <w:szCs w:val="16"/>
                <w:lang w:val="cs-CZ"/>
              </w:rPr>
              <w:t>ŽIVELNÍ POJIŠTĚNÍ</w:t>
            </w:r>
          </w:p>
          <w:p w14:paraId="47462B4C" w14:textId="77777777" w:rsidR="00D2453E" w:rsidRDefault="00D2453E" w:rsidP="00D2453E">
            <w:pPr>
              <w:spacing w:line="142" w:lineRule="exact"/>
              <w:ind w:right="4675"/>
              <w:jc w:val="right"/>
              <w:rPr>
                <w:rFonts w:ascii="Arial" w:hAnsi="Arial"/>
                <w:b/>
                <w:color w:val="000000"/>
                <w:spacing w:val="-7"/>
                <w:sz w:val="19"/>
                <w:lang w:val="cs-CZ"/>
              </w:rPr>
            </w:pPr>
          </w:p>
          <w:p w14:paraId="69F7E25E" w14:textId="77777777" w:rsidR="00D2453E" w:rsidRDefault="00D2453E" w:rsidP="00D2453E">
            <w:pPr>
              <w:spacing w:line="142" w:lineRule="exact"/>
              <w:ind w:right="4675"/>
              <w:jc w:val="right"/>
              <w:rPr>
                <w:rFonts w:ascii="Arial" w:hAnsi="Arial"/>
                <w:b/>
                <w:color w:val="000000"/>
                <w:spacing w:val="-7"/>
                <w:sz w:val="21"/>
                <w:lang w:val="cs-CZ"/>
              </w:rPr>
            </w:pPr>
          </w:p>
          <w:p w14:paraId="65B40F3B" w14:textId="77777777" w:rsidR="00D2453E" w:rsidRDefault="00D2453E" w:rsidP="00D2453E">
            <w:pPr>
              <w:tabs>
                <w:tab w:val="left" w:pos="5283"/>
              </w:tabs>
              <w:spacing w:before="72" w:line="10" w:lineRule="exact"/>
              <w:ind w:right="1525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.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ab/>
              <w:t>-</w:t>
            </w:r>
          </w:p>
        </w:tc>
        <w:tc>
          <w:tcPr>
            <w:tcW w:w="3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B93787" w14:textId="77777777" w:rsidR="00D2453E" w:rsidRDefault="00D2453E" w:rsidP="00D2453E">
            <w:pPr>
              <w:ind w:right="504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Kód produktu: MDZ 01 12</w:t>
            </w:r>
          </w:p>
        </w:tc>
      </w:tr>
    </w:tbl>
    <w:p w14:paraId="4060FBB8" w14:textId="77777777" w:rsidR="00D2453E" w:rsidRDefault="00D2453E">
      <w:pPr>
        <w:spacing w:before="108" w:after="36" w:line="278" w:lineRule="auto"/>
        <w:rPr>
          <w:rFonts w:ascii="Arial" w:hAnsi="Arial"/>
          <w:color w:val="000000"/>
          <w:spacing w:val="1"/>
          <w:sz w:val="13"/>
          <w:lang w:val="cs-CZ"/>
        </w:rPr>
      </w:pPr>
    </w:p>
    <w:p w14:paraId="098D64F5" w14:textId="77777777" w:rsidR="00F71023" w:rsidRDefault="00000000">
      <w:pPr>
        <w:spacing w:before="72" w:after="72"/>
        <w:ind w:left="72" w:right="57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 xml:space="preserve">Pojištění živelní se řídí Všeobecnými pojistnými podmínkami pro pojištění majetku a odpovědnosti VPPMO-P-02/2020 (dále jen VPPMO-P), Doplňkovými pojistnými </w:t>
      </w:r>
      <w:r>
        <w:rPr>
          <w:rFonts w:ascii="Arial" w:hAnsi="Arial"/>
          <w:color w:val="000000"/>
          <w:spacing w:val="1"/>
          <w:sz w:val="13"/>
          <w:lang w:val="cs-CZ"/>
        </w:rPr>
        <w:t>podmínkami pro pojištění movitých věcí DPPMP-P-02/2020 (dále jen DPPMP-P) a ujednáními této pojistné smlouvy_</w:t>
      </w:r>
    </w:p>
    <w:p w14:paraId="1066B50B" w14:textId="1155948F" w:rsidR="00F71023" w:rsidRDefault="00000000">
      <w:pPr>
        <w:spacing w:before="72"/>
        <w:ind w:left="72"/>
        <w:rPr>
          <w:rFonts w:ascii="Tahoma" w:hAnsi="Tahoma"/>
          <w:b/>
          <w:color w:val="000000"/>
          <w:spacing w:val="3"/>
          <w:sz w:val="12"/>
          <w:lang w:val="cs-CZ"/>
        </w:rPr>
      </w:pPr>
      <w:r>
        <w:rPr>
          <w:rFonts w:ascii="Tahoma" w:hAnsi="Tahoma"/>
          <w:b/>
          <w:color w:val="000000"/>
          <w:spacing w:val="3"/>
          <w:sz w:val="12"/>
          <w:lang w:val="cs-CZ"/>
        </w:rPr>
        <w:t>1. 1. Odpovědi pojistníka na dotazy pojiš</w:t>
      </w:r>
      <w:r w:rsidR="00D2453E">
        <w:rPr>
          <w:rFonts w:ascii="Tahoma" w:hAnsi="Tahoma"/>
          <w:b/>
          <w:color w:val="000000"/>
          <w:spacing w:val="3"/>
          <w:sz w:val="12"/>
          <w:lang w:val="cs-CZ"/>
        </w:rPr>
        <w:t>ť</w:t>
      </w:r>
      <w:r>
        <w:rPr>
          <w:rFonts w:ascii="Tahoma" w:hAnsi="Tahoma"/>
          <w:b/>
          <w:color w:val="000000"/>
          <w:spacing w:val="3"/>
          <w:sz w:val="12"/>
          <w:lang w:val="cs-CZ"/>
        </w:rPr>
        <w:t>ovny</w:t>
      </w:r>
    </w:p>
    <w:p w14:paraId="4F3C16A6" w14:textId="77777777" w:rsidR="00F71023" w:rsidRDefault="00F71023">
      <w:pPr>
        <w:spacing w:before="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0"/>
        <w:gridCol w:w="1339"/>
        <w:gridCol w:w="43"/>
      </w:tblGrid>
      <w:tr w:rsidR="00F71023" w14:paraId="264FFECC" w14:textId="77777777">
        <w:trPr>
          <w:trHeight w:hRule="exact" w:val="313"/>
        </w:trPr>
        <w:tc>
          <w:tcPr>
            <w:tcW w:w="859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4F3DCC39" w14:textId="77777777" w:rsidR="00F71023" w:rsidRDefault="00000000">
            <w:pPr>
              <w:numPr>
                <w:ilvl w:val="0"/>
                <w:numId w:val="3"/>
              </w:numPr>
              <w:tabs>
                <w:tab w:val="clear" w:pos="216"/>
                <w:tab w:val="decimal" w:pos="328"/>
              </w:tabs>
              <w:ind w:left="112"/>
              <w:rPr>
                <w:rFonts w:ascii="Arial" w:hAnsi="Arial"/>
                <w:color w:val="000000"/>
                <w:spacing w:val="4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>Bylo některé z pojišťovaných míst pojištěni postiženo povodni nebo záplavou více než 1x v posledních 10 letech?</w:t>
            </w:r>
          </w:p>
          <w:p w14:paraId="10D09275" w14:textId="77777777" w:rsidR="00F71023" w:rsidRDefault="00000000">
            <w:pPr>
              <w:numPr>
                <w:ilvl w:val="0"/>
                <w:numId w:val="3"/>
              </w:numPr>
              <w:tabs>
                <w:tab w:val="clear" w:pos="216"/>
                <w:tab w:val="decimal" w:pos="360"/>
              </w:tabs>
              <w:spacing w:before="72"/>
              <w:ind w:left="360" w:right="4716" w:hanging="216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 xml:space="preserve">Je některý z předmětů pojištění či jeho součástí poškozen?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Pokud ANO, uveďte popis věci.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  <w:vAlign w:val="center"/>
          </w:tcPr>
          <w:p w14:paraId="2C8F4DA0" w14:textId="5DE52165" w:rsidR="00F71023" w:rsidRPr="00D2453E" w:rsidRDefault="00000000">
            <w:pPr>
              <w:ind w:right="1037"/>
              <w:jc w:val="right"/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</w:pPr>
            <w:r w:rsidRPr="00D2453E"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  <w:t>NE</w:t>
            </w:r>
          </w:p>
        </w:tc>
        <w:tc>
          <w:tcPr>
            <w:tcW w:w="43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0A1B2AB" w14:textId="77777777" w:rsidR="00F71023" w:rsidRDefault="00F71023"/>
        </w:tc>
      </w:tr>
      <w:tr w:rsidR="00F71023" w14:paraId="58585D83" w14:textId="77777777">
        <w:trPr>
          <w:trHeight w:hRule="exact" w:val="61"/>
        </w:trPr>
        <w:tc>
          <w:tcPr>
            <w:tcW w:w="85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EEA62F" w14:textId="77777777" w:rsidR="00F71023" w:rsidRDefault="00F71023"/>
        </w:tc>
        <w:tc>
          <w:tcPr>
            <w:tcW w:w="1339" w:type="dxa"/>
            <w:tcBorders>
              <w:top w:val="double" w:sz="2" w:space="0" w:color="000000"/>
              <w:left w:val="none" w:sz="0" w:space="0" w:color="000000"/>
              <w:bottom w:val="double" w:sz="2" w:space="0" w:color="000000"/>
              <w:right w:val="none" w:sz="0" w:space="0" w:color="000000"/>
            </w:tcBorders>
          </w:tcPr>
          <w:p w14:paraId="0F6A3D42" w14:textId="77777777" w:rsidR="00F71023" w:rsidRDefault="00F71023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double" w:sz="2" w:space="0" w:color="000000"/>
              <w:right w:val="none" w:sz="0" w:space="0" w:color="000000"/>
            </w:tcBorders>
          </w:tcPr>
          <w:p w14:paraId="79BCBAD4" w14:textId="77777777" w:rsidR="00F71023" w:rsidRDefault="00F71023"/>
        </w:tc>
      </w:tr>
      <w:tr w:rsidR="00F71023" w14:paraId="1A836A9F" w14:textId="77777777">
        <w:trPr>
          <w:trHeight w:hRule="exact" w:val="296"/>
        </w:trPr>
        <w:tc>
          <w:tcPr>
            <w:tcW w:w="85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108463A" w14:textId="77777777" w:rsidR="00F71023" w:rsidRDefault="00F71023"/>
        </w:tc>
        <w:tc>
          <w:tcPr>
            <w:tcW w:w="138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57AFE87" w14:textId="77777777" w:rsidR="00F71023" w:rsidRDefault="00000000">
            <w:pPr>
              <w:ind w:right="1037"/>
              <w:jc w:val="right"/>
              <w:rPr>
                <w:rFonts w:ascii="Arial" w:hAnsi="Arial"/>
                <w:b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4"/>
                <w:lang w:val="cs-CZ"/>
              </w:rPr>
              <w:t>NE</w:t>
            </w:r>
          </w:p>
        </w:tc>
      </w:tr>
      <w:tr w:rsidR="00F71023" w14:paraId="0C531AB3" w14:textId="77777777">
        <w:trPr>
          <w:trHeight w:hRule="exact" w:val="147"/>
        </w:trPr>
        <w:tc>
          <w:tcPr>
            <w:tcW w:w="85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9E069E" w14:textId="77777777" w:rsidR="00F71023" w:rsidRDefault="00F71023"/>
        </w:tc>
        <w:tc>
          <w:tcPr>
            <w:tcW w:w="1339" w:type="dxa"/>
            <w:tcBorders>
              <w:top w:val="single" w:sz="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F709F5C" w14:textId="77777777" w:rsidR="00F71023" w:rsidRDefault="00F71023"/>
        </w:tc>
        <w:tc>
          <w:tcPr>
            <w:tcW w:w="43" w:type="dxa"/>
            <w:tcBorders>
              <w:top w:val="single" w:sz="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2E9E5C99" w14:textId="77777777" w:rsidR="00F71023" w:rsidRDefault="00F71023"/>
        </w:tc>
      </w:tr>
      <w:tr w:rsidR="00F71023" w14:paraId="459E39DF" w14:textId="77777777">
        <w:trPr>
          <w:trHeight w:hRule="exact" w:val="295"/>
        </w:trPr>
        <w:tc>
          <w:tcPr>
            <w:tcW w:w="859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6B33F295" w14:textId="77777777" w:rsidR="00F71023" w:rsidRDefault="00000000">
            <w:pPr>
              <w:numPr>
                <w:ilvl w:val="0"/>
                <w:numId w:val="3"/>
              </w:numPr>
              <w:tabs>
                <w:tab w:val="clear" w:pos="216"/>
                <w:tab w:val="decimal" w:pos="360"/>
              </w:tabs>
              <w:ind w:left="360" w:right="5328" w:hanging="216"/>
              <w:rPr>
                <w:rFonts w:ascii="Arial" w:hAnsi="Arial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t xml:space="preserve">Jsou pojišťované věci pojištěny jiným pojištěním?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Pokud ANO, uveďte popis věci a pojišťovnu.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2EE28C1" w14:textId="77777777" w:rsidR="00F71023" w:rsidRDefault="00000000">
            <w:pPr>
              <w:ind w:right="1037"/>
              <w:jc w:val="right"/>
              <w:rPr>
                <w:rFonts w:ascii="Arial" w:hAnsi="Arial"/>
                <w:b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4"/>
                <w:lang w:val="cs-CZ"/>
              </w:rPr>
              <w:t>NE</w:t>
            </w:r>
          </w:p>
        </w:tc>
      </w:tr>
      <w:tr w:rsidR="00F71023" w14:paraId="500DA802" w14:textId="77777777">
        <w:trPr>
          <w:trHeight w:hRule="exact" w:val="64"/>
        </w:trPr>
        <w:tc>
          <w:tcPr>
            <w:tcW w:w="85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1EFDF8" w14:textId="77777777" w:rsidR="00F71023" w:rsidRDefault="00F71023"/>
        </w:tc>
        <w:tc>
          <w:tcPr>
            <w:tcW w:w="133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020AC1" w14:textId="77777777" w:rsidR="00F71023" w:rsidRDefault="00F71023"/>
        </w:tc>
        <w:tc>
          <w:tcPr>
            <w:tcW w:w="43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636B07" w14:textId="77777777" w:rsidR="00F71023" w:rsidRDefault="00F71023"/>
        </w:tc>
      </w:tr>
    </w:tbl>
    <w:p w14:paraId="36F344F8" w14:textId="77777777" w:rsidR="00F71023" w:rsidRDefault="00F71023">
      <w:pPr>
        <w:spacing w:after="52" w:line="20" w:lineRule="exact"/>
      </w:pPr>
    </w:p>
    <w:p w14:paraId="2DA9BBAE" w14:textId="77777777" w:rsidR="00F71023" w:rsidRDefault="00000000">
      <w:pPr>
        <w:spacing w:before="72" w:line="264" w:lineRule="auto"/>
        <w:ind w:left="72"/>
        <w:rPr>
          <w:rFonts w:ascii="Tahoma" w:hAnsi="Tahoma"/>
          <w:b/>
          <w:color w:val="000000"/>
          <w:spacing w:val="3"/>
          <w:sz w:val="12"/>
          <w:lang w:val="cs-CZ"/>
        </w:rPr>
      </w:pPr>
      <w:r>
        <w:rPr>
          <w:rFonts w:ascii="Tahoma" w:hAnsi="Tahoma"/>
          <w:b/>
          <w:color w:val="000000"/>
          <w:spacing w:val="3"/>
          <w:sz w:val="12"/>
          <w:lang w:val="cs-CZ"/>
        </w:rPr>
        <w:t>1. 2. Předmět pojištění, pojistné částky</w:t>
      </w:r>
    </w:p>
    <w:p w14:paraId="6391D707" w14:textId="77777777" w:rsidR="00F71023" w:rsidRDefault="00000000">
      <w:pPr>
        <w:spacing w:before="72" w:line="278" w:lineRule="auto"/>
        <w:ind w:left="72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Pojištění pod jednotlivými položkami (Pol. é.) se sjednává pro pojistná nebezpečí uvedená v tabulce níže.</w:t>
      </w:r>
    </w:p>
    <w:p w14:paraId="6CF3190F" w14:textId="4F0BE762" w:rsidR="00F71023" w:rsidRDefault="00000000">
      <w:pPr>
        <w:spacing w:before="72" w:after="144" w:line="273" w:lineRule="auto"/>
        <w:ind w:left="72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>Pokud je u příslušné položky uvedeno pojištěni prvního rizika, je částka ve sloupci "Pojistná částka / Limit 1. rizika" limitem p</w:t>
      </w:r>
      <w:r w:rsidR="00D2453E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nění prvního rizika</w:t>
      </w:r>
      <w:r>
        <w:rPr>
          <w:rFonts w:ascii="Arial" w:hAnsi="Arial"/>
          <w:color w:val="000000"/>
          <w:spacing w:val="2"/>
          <w:sz w:val="6"/>
          <w:lang w:val="cs-CZ"/>
        </w:rPr>
        <w:t>,</w:t>
      </w:r>
    </w:p>
    <w:p w14:paraId="45153568" w14:textId="77777777" w:rsidR="00F71023" w:rsidRDefault="00F71023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3"/>
        <w:gridCol w:w="2797"/>
      </w:tblGrid>
      <w:tr w:rsidR="00F71023" w14:paraId="627281F5" w14:textId="77777777">
        <w:trPr>
          <w:trHeight w:hRule="exact" w:val="851"/>
        </w:trPr>
        <w:tc>
          <w:tcPr>
            <w:tcW w:w="7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EB26B" w14:textId="77777777" w:rsidR="00F71023" w:rsidRDefault="00000000">
            <w:pPr>
              <w:ind w:left="195"/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  <w:t>Pojištění movitých věcí</w:t>
            </w:r>
          </w:p>
          <w:p w14:paraId="1DFF9255" w14:textId="77777777" w:rsidR="00F71023" w:rsidRDefault="00000000">
            <w:pPr>
              <w:tabs>
                <w:tab w:val="right" w:pos="3154"/>
              </w:tabs>
              <w:spacing w:before="180" w:line="264" w:lineRule="auto"/>
              <w:ind w:left="195"/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  <w:t>Pol. č.</w:t>
            </w:r>
            <w:r>
              <w:rPr>
                <w:rFonts w:ascii="Tahoma" w:hAnsi="Tahoma"/>
                <w:b/>
                <w:color w:val="000000"/>
                <w:spacing w:val="-6"/>
                <w:sz w:val="12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  <w:t>Specifikace předmětu pojištění</w:t>
            </w:r>
          </w:p>
          <w:p w14:paraId="709D8A16" w14:textId="77777777" w:rsidR="00F71023" w:rsidRDefault="00000000">
            <w:pPr>
              <w:tabs>
                <w:tab w:val="right" w:pos="6559"/>
              </w:tabs>
              <w:spacing w:before="144"/>
              <w:ind w:left="195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MO1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Hmotné movité věci a jejich soubory, kromě zásob a věcí uvedených v 'článku 4 DPPMP-P.</w:t>
            </w:r>
          </w:p>
        </w:tc>
        <w:tc>
          <w:tcPr>
            <w:tcW w:w="2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6C76B92" w14:textId="77777777" w:rsidR="00F71023" w:rsidRDefault="00000000">
            <w:pPr>
              <w:spacing w:before="288"/>
              <w:ind w:left="1260" w:right="684" w:hanging="180"/>
              <w:rPr>
                <w:rFonts w:ascii="Tahoma" w:hAnsi="Tahoma"/>
                <w:b/>
                <w:color w:val="000000"/>
                <w:spacing w:val="-4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2"/>
                <w:lang w:val="cs-CZ"/>
              </w:rPr>
              <w:t xml:space="preserve">Pojistná částka / </w:t>
            </w:r>
            <w:r>
              <w:rPr>
                <w:rFonts w:ascii="Tahoma" w:hAnsi="Tahoma"/>
                <w:b/>
                <w:color w:val="000000"/>
                <w:spacing w:val="-2"/>
                <w:sz w:val="12"/>
                <w:lang w:val="cs-CZ"/>
              </w:rPr>
              <w:t>Limit 1. rizika</w:t>
            </w:r>
          </w:p>
          <w:p w14:paraId="0B76AA5E" w14:textId="77777777" w:rsidR="00F71023" w:rsidRDefault="00000000">
            <w:pPr>
              <w:spacing w:before="72" w:line="199" w:lineRule="auto"/>
              <w:ind w:right="666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4 500 000 Kč</w:t>
            </w:r>
          </w:p>
        </w:tc>
      </w:tr>
    </w:tbl>
    <w:p w14:paraId="5DF07B7A" w14:textId="77777777" w:rsidR="00F71023" w:rsidRDefault="00F71023">
      <w:pPr>
        <w:spacing w:after="192" w:line="20" w:lineRule="exact"/>
      </w:pPr>
    </w:p>
    <w:p w14:paraId="6DBDF19A" w14:textId="2119787D" w:rsidR="00F71023" w:rsidRDefault="00000000">
      <w:pPr>
        <w:spacing w:before="72" w:line="264" w:lineRule="auto"/>
        <w:ind w:left="72"/>
        <w:rPr>
          <w:rFonts w:ascii="Tahoma" w:hAnsi="Tahoma"/>
          <w:b/>
          <w:color w:val="000000"/>
          <w:spacing w:val="3"/>
          <w:sz w:val="12"/>
          <w:lang w:val="cs-CZ"/>
        </w:rPr>
      </w:pPr>
      <w:r>
        <w:rPr>
          <w:rFonts w:ascii="Tahoma" w:hAnsi="Tahoma"/>
          <w:b/>
          <w:color w:val="000000"/>
          <w:spacing w:val="3"/>
          <w:sz w:val="12"/>
          <w:lang w:val="cs-CZ"/>
        </w:rPr>
        <w:t xml:space="preserve">1. 3. Pojistná nebezpečí, limity a </w:t>
      </w:r>
      <w:proofErr w:type="spellStart"/>
      <w:r>
        <w:rPr>
          <w:rFonts w:ascii="Tahoma" w:hAnsi="Tahoma"/>
          <w:b/>
          <w:color w:val="000000"/>
          <w:spacing w:val="3"/>
          <w:sz w:val="12"/>
          <w:lang w:val="cs-CZ"/>
        </w:rPr>
        <w:t>sublimity</w:t>
      </w:r>
      <w:proofErr w:type="spellEnd"/>
      <w:r>
        <w:rPr>
          <w:rFonts w:ascii="Tahoma" w:hAnsi="Tahoma"/>
          <w:b/>
          <w:color w:val="000000"/>
          <w:spacing w:val="3"/>
          <w:sz w:val="12"/>
          <w:lang w:val="cs-CZ"/>
        </w:rPr>
        <w:t xml:space="preserve"> p</w:t>
      </w:r>
      <w:r w:rsidR="00D2453E">
        <w:rPr>
          <w:rFonts w:ascii="Tahoma" w:hAnsi="Tahoma"/>
          <w:b/>
          <w:color w:val="000000"/>
          <w:spacing w:val="3"/>
          <w:sz w:val="12"/>
          <w:lang w:val="cs-CZ"/>
        </w:rPr>
        <w:t>l</w:t>
      </w:r>
      <w:r>
        <w:rPr>
          <w:rFonts w:ascii="Tahoma" w:hAnsi="Tahoma"/>
          <w:b/>
          <w:color w:val="000000"/>
          <w:spacing w:val="3"/>
          <w:sz w:val="12"/>
          <w:lang w:val="cs-CZ"/>
        </w:rPr>
        <w:t>nění, spoluúčasti</w:t>
      </w:r>
    </w:p>
    <w:p w14:paraId="2AEA8B92" w14:textId="7525A5DF" w:rsidR="00F71023" w:rsidRDefault="00000000">
      <w:pPr>
        <w:spacing w:before="72"/>
        <w:ind w:left="72" w:right="57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Ujednává se, že dále jsou sjednány limity maximálního ročního p</w:t>
      </w:r>
      <w:r w:rsidR="00D2453E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>nění (MRP) pro jednotlivá pojistná nebezpečí nebo skupiny pojistných nebezpečí sjednaných tímto pojištěním.</w:t>
      </w:r>
    </w:p>
    <w:p w14:paraId="02F925CD" w14:textId="77777777" w:rsidR="00F71023" w:rsidRDefault="00F71023">
      <w:pPr>
        <w:spacing w:before="52" w:line="20" w:lineRule="exact"/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2574"/>
        <w:gridCol w:w="1933"/>
        <w:gridCol w:w="1127"/>
      </w:tblGrid>
      <w:tr w:rsidR="00F71023" w14:paraId="2A636F6B" w14:textId="77777777">
        <w:trPr>
          <w:trHeight w:hRule="exact" w:val="842"/>
        </w:trPr>
        <w:tc>
          <w:tcPr>
            <w:tcW w:w="408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B2BE112" w14:textId="77777777" w:rsidR="00F71023" w:rsidRDefault="00000000">
            <w:pPr>
              <w:spacing w:before="144"/>
              <w:ind w:left="108"/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2"/>
                <w:lang w:val="cs-CZ"/>
              </w:rPr>
              <w:t>Pojištěná pojistná nebezpečí</w:t>
            </w:r>
          </w:p>
          <w:p w14:paraId="4D6640D7" w14:textId="77777777" w:rsidR="00F71023" w:rsidRDefault="00000000">
            <w:pPr>
              <w:spacing w:before="144"/>
              <w:ind w:left="108" w:right="1188"/>
              <w:rPr>
                <w:rFonts w:ascii="Arial" w:hAnsi="Arial"/>
                <w:color w:val="000000"/>
                <w:spacing w:val="-3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13"/>
                <w:lang w:val="cs-CZ"/>
              </w:rPr>
              <w:t xml:space="preserve">Požár, výbuch, přímý úder blesku, pád letadla,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aerodynamický třesk, kouř (FLEXA)</w:t>
            </w:r>
          </w:p>
        </w:tc>
        <w:tc>
          <w:tcPr>
            <w:tcW w:w="257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6D245A7" w14:textId="77777777" w:rsidR="00F71023" w:rsidRDefault="00000000">
            <w:pPr>
              <w:spacing w:before="144" w:line="266" w:lineRule="auto"/>
              <w:ind w:right="230"/>
              <w:jc w:val="right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Spoluúčast *)</w:t>
            </w:r>
          </w:p>
          <w:p w14:paraId="2BC717CC" w14:textId="77777777" w:rsidR="00F71023" w:rsidRDefault="00000000">
            <w:pPr>
              <w:spacing w:before="216"/>
              <w:ind w:right="23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1 000 Kč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FE8B7D1" w14:textId="77777777" w:rsidR="00F71023" w:rsidRDefault="00000000">
            <w:pPr>
              <w:spacing w:before="72"/>
              <w:ind w:left="216" w:right="468" w:firstLine="216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Pojistná částka </w:t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 xml:space="preserve">FLEXA / Limit </w:t>
            </w:r>
            <w:r>
              <w:rPr>
                <w:rFonts w:ascii="Arial" w:hAnsi="Arial"/>
                <w:b/>
                <w:color w:val="000000"/>
                <w:sz w:val="14"/>
                <w:lang w:val="cs-CZ"/>
              </w:rPr>
              <w:t>MRP</w:t>
            </w:r>
          </w:p>
          <w:p w14:paraId="6DE08412" w14:textId="77777777" w:rsidR="00F71023" w:rsidRDefault="00000000">
            <w:pPr>
              <w:spacing w:before="144" w:line="213" w:lineRule="auto"/>
              <w:ind w:right="500"/>
              <w:jc w:val="right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4 500 000 Kč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9379AC0" w14:textId="77777777" w:rsidR="00F71023" w:rsidRDefault="00000000">
            <w:pPr>
              <w:spacing w:before="144"/>
              <w:ind w:right="101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Pojistné</w:t>
            </w:r>
          </w:p>
          <w:p w14:paraId="4538AD76" w14:textId="77777777" w:rsidR="00F71023" w:rsidRDefault="00000000">
            <w:pPr>
              <w:spacing w:before="216"/>
              <w:ind w:right="10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8 396 Kč</w:t>
            </w:r>
          </w:p>
        </w:tc>
      </w:tr>
      <w:tr w:rsidR="00F71023" w14:paraId="363E2973" w14:textId="77777777">
        <w:trPr>
          <w:trHeight w:hRule="exact" w:val="417"/>
        </w:trPr>
        <w:tc>
          <w:tcPr>
            <w:tcW w:w="40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3B636C2" w14:textId="3E59058E" w:rsidR="00F71023" w:rsidRDefault="00000000">
            <w:pPr>
              <w:spacing w:before="36"/>
              <w:ind w:left="108" w:right="504"/>
              <w:rPr>
                <w:rFonts w:ascii="Arial" w:hAnsi="Arial"/>
                <w:color w:val="000000"/>
                <w:spacing w:val="-3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13"/>
                <w:lang w:val="cs-CZ"/>
              </w:rPr>
              <w:t>Voda vytékajíc</w:t>
            </w:r>
            <w:r w:rsidR="00D2453E">
              <w:rPr>
                <w:rFonts w:ascii="Arial" w:hAnsi="Arial"/>
                <w:color w:val="000000"/>
                <w:spacing w:val="-3"/>
                <w:sz w:val="13"/>
                <w:lang w:val="cs-CZ"/>
              </w:rPr>
              <w:t>í</w:t>
            </w:r>
            <w:r>
              <w:rPr>
                <w:rFonts w:ascii="Arial" w:hAnsi="Arial"/>
                <w:color w:val="000000"/>
                <w:spacing w:val="-3"/>
                <w:sz w:val="13"/>
                <w:lang w:val="cs-CZ"/>
              </w:rPr>
              <w:t xml:space="preserve"> z vodovodních zařízení, zamrzání vody ve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vodovodním potrubí</w:t>
            </w:r>
          </w:p>
        </w:tc>
        <w:tc>
          <w:tcPr>
            <w:tcW w:w="25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05F96FB" w14:textId="77777777" w:rsidR="00F71023" w:rsidRDefault="00000000">
            <w:pPr>
              <w:ind w:right="23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1 000 Kč</w:t>
            </w:r>
          </w:p>
        </w:tc>
        <w:tc>
          <w:tcPr>
            <w:tcW w:w="19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E2FE13E" w14:textId="77777777" w:rsidR="00F71023" w:rsidRDefault="00000000">
            <w:pPr>
              <w:ind w:right="50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2 000 000 Kč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DE0DAFD" w14:textId="77777777" w:rsidR="00F71023" w:rsidRDefault="00000000">
            <w:pPr>
              <w:ind w:right="10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1 929 Kč</w:t>
            </w:r>
          </w:p>
        </w:tc>
      </w:tr>
      <w:tr w:rsidR="00F71023" w14:paraId="07F58471" w14:textId="77777777">
        <w:trPr>
          <w:trHeight w:hRule="exact" w:val="259"/>
        </w:trPr>
        <w:tc>
          <w:tcPr>
            <w:tcW w:w="40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9C8FF44" w14:textId="77777777" w:rsidR="00F71023" w:rsidRDefault="00000000">
            <w:pPr>
              <w:ind w:left="115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Povodeň, záplava</w:t>
            </w:r>
          </w:p>
        </w:tc>
        <w:tc>
          <w:tcPr>
            <w:tcW w:w="25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EF5890C" w14:textId="77777777" w:rsidR="00F71023" w:rsidRDefault="00000000">
            <w:pPr>
              <w:ind w:right="230"/>
              <w:jc w:val="right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5%</w:t>
            </w:r>
            <w:proofErr w:type="gramEnd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, min. však částka 1 000 Kč</w:t>
            </w:r>
          </w:p>
        </w:tc>
        <w:tc>
          <w:tcPr>
            <w:tcW w:w="19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C979E27" w14:textId="77777777" w:rsidR="00F71023" w:rsidRDefault="00000000">
            <w:pPr>
              <w:ind w:right="50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2 000 000 Kč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F9AFD55" w14:textId="77777777" w:rsidR="00F71023" w:rsidRDefault="00000000">
            <w:pPr>
              <w:ind w:right="10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2 066 Kč</w:t>
            </w:r>
          </w:p>
        </w:tc>
      </w:tr>
      <w:tr w:rsidR="00F71023" w14:paraId="5DA8C99A" w14:textId="77777777">
        <w:trPr>
          <w:trHeight w:hRule="exact" w:val="260"/>
        </w:trPr>
        <w:tc>
          <w:tcPr>
            <w:tcW w:w="40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0E69F5E" w14:textId="77777777" w:rsidR="00F71023" w:rsidRDefault="00000000">
            <w:pPr>
              <w:ind w:left="115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Přepěti pro movité věci</w:t>
            </w:r>
          </w:p>
        </w:tc>
        <w:tc>
          <w:tcPr>
            <w:tcW w:w="25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A7CBB74" w14:textId="77777777" w:rsidR="00F71023" w:rsidRDefault="00000000">
            <w:pPr>
              <w:ind w:right="230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000 Kč</w:t>
            </w:r>
          </w:p>
        </w:tc>
        <w:tc>
          <w:tcPr>
            <w:tcW w:w="19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E3036F7" w14:textId="77777777" w:rsidR="00F71023" w:rsidRDefault="00000000">
            <w:pPr>
              <w:ind w:right="50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60 000 Kč</w:t>
            </w:r>
          </w:p>
        </w:tc>
        <w:tc>
          <w:tcPr>
            <w:tcW w:w="11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AB99C2A" w14:textId="77777777" w:rsidR="00F71023" w:rsidRDefault="00000000">
            <w:pPr>
              <w:ind w:right="10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1 291 Kč</w:t>
            </w:r>
          </w:p>
        </w:tc>
      </w:tr>
    </w:tbl>
    <w:p w14:paraId="2F4B0AB0" w14:textId="70EA9B27" w:rsidR="00F71023" w:rsidRDefault="00000000">
      <w:pPr>
        <w:spacing w:before="72" w:after="144" w:line="268" w:lineRule="auto"/>
        <w:ind w:left="144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*) Je-li sjednána spoluúčast v %, rozumí se tím procenta z pojistného p</w:t>
      </w:r>
      <w:r w:rsidR="00D2453E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nění</w:t>
      </w:r>
    </w:p>
    <w:p w14:paraId="6CE5D16F" w14:textId="77777777" w:rsidR="00F71023" w:rsidRDefault="00F71023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1"/>
        <w:gridCol w:w="1487"/>
      </w:tblGrid>
      <w:tr w:rsidR="00F71023" w14:paraId="7515B463" w14:textId="77777777">
        <w:trPr>
          <w:trHeight w:hRule="exact" w:val="216"/>
        </w:trPr>
        <w:tc>
          <w:tcPr>
            <w:tcW w:w="44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A084D0" w14:textId="77777777" w:rsidR="00F71023" w:rsidRDefault="00000000">
            <w:pPr>
              <w:ind w:left="97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1. 4. Pojistné</w:t>
            </w:r>
          </w:p>
          <w:p w14:paraId="7413F235" w14:textId="77777777" w:rsidR="00F71023" w:rsidRDefault="00000000">
            <w:pPr>
              <w:spacing w:before="72"/>
              <w:ind w:left="97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Roční pojistné celkem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C3FC281" w14:textId="77777777" w:rsidR="00F71023" w:rsidRDefault="00F71023"/>
        </w:tc>
      </w:tr>
      <w:tr w:rsidR="00F71023" w14:paraId="0A48C67E" w14:textId="77777777">
        <w:trPr>
          <w:trHeight w:hRule="exact" w:val="288"/>
        </w:trPr>
        <w:tc>
          <w:tcPr>
            <w:tcW w:w="447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CB63EE3" w14:textId="77777777" w:rsidR="00F71023" w:rsidRDefault="00F71023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6976D4B" w14:textId="77777777" w:rsidR="00F71023" w:rsidRDefault="00000000">
            <w:pPr>
              <w:ind w:left="684"/>
              <w:rPr>
                <w:rFonts w:ascii="Arial" w:hAnsi="Arial"/>
                <w:b/>
                <w:color w:val="000000"/>
                <w:spacing w:val="3"/>
                <w:w w:val="105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3"/>
                <w:w w:val="105"/>
                <w:sz w:val="15"/>
                <w:lang w:val="cs-CZ"/>
              </w:rPr>
              <w:t>13 682 Kč</w:t>
            </w:r>
          </w:p>
        </w:tc>
      </w:tr>
      <w:tr w:rsidR="00F71023" w14:paraId="576D88A8" w14:textId="77777777">
        <w:trPr>
          <w:trHeight w:hRule="exact" w:val="79"/>
        </w:trPr>
        <w:tc>
          <w:tcPr>
            <w:tcW w:w="4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F386FF" w14:textId="77777777" w:rsidR="00F71023" w:rsidRDefault="00F71023"/>
        </w:tc>
        <w:tc>
          <w:tcPr>
            <w:tcW w:w="1487" w:type="dxa"/>
            <w:tcBorders>
              <w:top w:val="double" w:sz="2" w:space="0" w:color="000000"/>
              <w:left w:val="none" w:sz="0" w:space="0" w:color="000000"/>
              <w:bottom w:val="double" w:sz="2" w:space="0" w:color="000000"/>
              <w:right w:val="none" w:sz="0" w:space="0" w:color="000000"/>
            </w:tcBorders>
          </w:tcPr>
          <w:p w14:paraId="2D8EB975" w14:textId="77777777" w:rsidR="00F71023" w:rsidRDefault="00F71023"/>
        </w:tc>
      </w:tr>
      <w:tr w:rsidR="00F71023" w14:paraId="00A88895" w14:textId="77777777">
        <w:trPr>
          <w:trHeight w:hRule="exact" w:val="299"/>
        </w:trPr>
        <w:tc>
          <w:tcPr>
            <w:tcW w:w="4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202075FE" w14:textId="77777777" w:rsidR="00F71023" w:rsidRDefault="00000000">
            <w:pPr>
              <w:ind w:left="97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Obchodní sleva 30,00 % a Sleva za dlouhodobost 15,00 %, tj.</w:t>
            </w:r>
          </w:p>
        </w:tc>
        <w:tc>
          <w:tcPr>
            <w:tcW w:w="1487" w:type="dxa"/>
            <w:tcBorders>
              <w:top w:val="double" w:sz="2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  <w:vAlign w:val="center"/>
          </w:tcPr>
          <w:p w14:paraId="185B4666" w14:textId="77777777" w:rsidR="00F71023" w:rsidRDefault="00000000">
            <w:pPr>
              <w:ind w:left="684"/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  <w:t>6 157 Kč</w:t>
            </w:r>
          </w:p>
        </w:tc>
      </w:tr>
      <w:tr w:rsidR="00F71023" w14:paraId="45533D08" w14:textId="77777777">
        <w:trPr>
          <w:trHeight w:hRule="exact" w:val="58"/>
        </w:trPr>
        <w:tc>
          <w:tcPr>
            <w:tcW w:w="4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8C6138" w14:textId="77777777" w:rsidR="00F71023" w:rsidRDefault="00F71023"/>
        </w:tc>
        <w:tc>
          <w:tcPr>
            <w:tcW w:w="1487" w:type="dxa"/>
            <w:tcBorders>
              <w:top w:val="double" w:sz="2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07A77D1" w14:textId="77777777" w:rsidR="00F71023" w:rsidRDefault="00F71023"/>
        </w:tc>
      </w:tr>
      <w:tr w:rsidR="00F71023" w14:paraId="0F98DC7E" w14:textId="77777777">
        <w:trPr>
          <w:trHeight w:hRule="exact" w:val="357"/>
        </w:trPr>
        <w:tc>
          <w:tcPr>
            <w:tcW w:w="4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255926E9" w14:textId="77777777" w:rsidR="00F71023" w:rsidRDefault="00000000">
            <w:pPr>
              <w:ind w:left="97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Roční pojistné po slevě a zaokrouhleni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8368BAA" w14:textId="77777777" w:rsidR="00F71023" w:rsidRDefault="00000000">
            <w:pPr>
              <w:ind w:left="684"/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5"/>
                <w:lang w:val="cs-CZ"/>
              </w:rPr>
              <w:t>7 525 Kč</w:t>
            </w:r>
          </w:p>
        </w:tc>
      </w:tr>
    </w:tbl>
    <w:p w14:paraId="764F782E" w14:textId="77777777" w:rsidR="00F71023" w:rsidRDefault="00F71023">
      <w:pPr>
        <w:spacing w:before="59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21"/>
      </w:tblGrid>
      <w:tr w:rsidR="00F71023" w14:paraId="3B65B930" w14:textId="77777777">
        <w:trPr>
          <w:trHeight w:hRule="exact" w:val="190"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C27592" w14:textId="77777777" w:rsidR="00F71023" w:rsidRDefault="00000000">
            <w:pPr>
              <w:ind w:right="1261"/>
              <w:jc w:val="right"/>
              <w:rPr>
                <w:rFonts w:ascii="Verdana" w:hAnsi="Verdana"/>
                <w:color w:val="000000"/>
                <w:spacing w:val="-1"/>
                <w:sz w:val="10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0"/>
                <w:lang w:val="cs-CZ"/>
              </w:rPr>
              <w:t>Číslo pojistné smlouvy: 5189693007</w:t>
            </w:r>
          </w:p>
        </w:tc>
        <w:tc>
          <w:tcPr>
            <w:tcW w:w="7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253B6D" w14:textId="77777777" w:rsidR="00F71023" w:rsidRDefault="00000000">
            <w:pPr>
              <w:tabs>
                <w:tab w:val="right" w:pos="6882"/>
              </w:tabs>
              <w:ind w:right="439"/>
              <w:jc w:val="right"/>
              <w:rPr>
                <w:rFonts w:ascii="Verdana" w:hAnsi="Verdana"/>
                <w:color w:val="000000"/>
                <w:spacing w:val="-2"/>
                <w:sz w:val="10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0"/>
                <w:lang w:val="cs-CZ"/>
              </w:rPr>
              <w:t>slav ke dni: 18 09 2024</w:t>
            </w:r>
            <w:r>
              <w:rPr>
                <w:rFonts w:ascii="Verdana" w:hAnsi="Verdana"/>
                <w:color w:val="000000"/>
                <w:spacing w:val="-2"/>
                <w:sz w:val="10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0"/>
                <w:lang w:val="cs-CZ"/>
              </w:rPr>
              <w:t>strana 2 z 5</w:t>
            </w:r>
          </w:p>
        </w:tc>
      </w:tr>
    </w:tbl>
    <w:p w14:paraId="487E3231" w14:textId="77777777" w:rsidR="00A52368" w:rsidRDefault="00A52368"/>
    <w:sectPr w:rsidR="00A52368" w:rsidSect="00D2453E">
      <w:pgSz w:w="11918" w:h="16854"/>
      <w:pgMar w:top="993" w:right="509" w:bottom="143" w:left="9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E37E5"/>
    <w:multiLevelType w:val="multilevel"/>
    <w:tmpl w:val="24EE3EE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4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873F97"/>
    <w:multiLevelType w:val="multilevel"/>
    <w:tmpl w:val="ACDE6B4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7F66C2"/>
    <w:multiLevelType w:val="multilevel"/>
    <w:tmpl w:val="F61E5FF2"/>
    <w:lvl w:ilvl="0">
      <w:start w:val="1"/>
      <w:numFmt w:val="bullet"/>
      <w:lvlText w:val="—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3990980">
    <w:abstractNumId w:val="2"/>
  </w:num>
  <w:num w:numId="2" w16cid:durableId="1012873029">
    <w:abstractNumId w:val="1"/>
  </w:num>
  <w:num w:numId="3" w16cid:durableId="93331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023"/>
    <w:rsid w:val="008B2B93"/>
    <w:rsid w:val="00A52368"/>
    <w:rsid w:val="00CE5C76"/>
    <w:rsid w:val="00D2453E"/>
    <w:rsid w:val="00D25CDC"/>
    <w:rsid w:val="00F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0B5F7"/>
  <w15:docId w15:val="{64D99684-FDB3-44FF-8667-98CB81CF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/sankce-zemi-osob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2024-09-26T06:32:00Z</dcterms:created>
  <dcterms:modified xsi:type="dcterms:W3CDTF">2024-09-27T09:28:00Z</dcterms:modified>
</cp:coreProperties>
</file>