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E4CC8" w14:textId="148852A0" w:rsidR="00A111E8" w:rsidRPr="00A063DF" w:rsidRDefault="002832DD" w:rsidP="00A063DF">
      <w:pPr>
        <w:spacing w:after="0" w:line="276" w:lineRule="auto"/>
        <w:jc w:val="center"/>
        <w:rPr>
          <w:rFonts w:eastAsia="Calibri" w:cstheme="minorHAnsi"/>
          <w:b/>
          <w:color w:val="000000"/>
        </w:rPr>
      </w:pPr>
      <w:bookmarkStart w:id="0" w:name="_GoBack"/>
      <w:bookmarkEnd w:id="0"/>
      <w:r w:rsidRPr="00F25042">
        <w:rPr>
          <w:rFonts w:eastAsia="Calibri" w:cstheme="minorHAnsi"/>
          <w:b/>
          <w:color w:val="000000"/>
        </w:rPr>
        <w:t>S</w:t>
      </w:r>
      <w:r w:rsidR="005A48B2" w:rsidRPr="00F25042">
        <w:rPr>
          <w:rFonts w:eastAsia="Calibri" w:cstheme="minorHAnsi"/>
          <w:b/>
          <w:color w:val="000000"/>
        </w:rPr>
        <w:t>m</w:t>
      </w:r>
      <w:r w:rsidR="00F853BF" w:rsidRPr="00F25042">
        <w:rPr>
          <w:rFonts w:eastAsia="Calibri" w:cstheme="minorHAnsi"/>
          <w:b/>
          <w:color w:val="000000"/>
        </w:rPr>
        <w:t>l</w:t>
      </w:r>
      <w:r w:rsidR="005A48B2" w:rsidRPr="00F25042">
        <w:rPr>
          <w:rFonts w:eastAsia="Calibri" w:cstheme="minorHAnsi"/>
          <w:b/>
          <w:color w:val="000000"/>
        </w:rPr>
        <w:t>ouv</w:t>
      </w:r>
      <w:r w:rsidRPr="00F25042">
        <w:rPr>
          <w:rFonts w:eastAsia="Calibri" w:cstheme="minorHAnsi"/>
          <w:b/>
          <w:color w:val="000000"/>
        </w:rPr>
        <w:t>a</w:t>
      </w:r>
      <w:r w:rsidR="005A48B2" w:rsidRPr="00F25042">
        <w:rPr>
          <w:rFonts w:eastAsia="Calibri" w:cstheme="minorHAnsi"/>
          <w:b/>
          <w:color w:val="000000"/>
        </w:rPr>
        <w:t xml:space="preserve"> </w:t>
      </w:r>
      <w:bookmarkStart w:id="1" w:name="_Hlk52972993"/>
      <w:r w:rsidR="005A48B2" w:rsidRPr="00F25042">
        <w:rPr>
          <w:rFonts w:eastAsia="Calibri" w:cstheme="minorHAnsi"/>
          <w:b/>
          <w:color w:val="000000"/>
        </w:rPr>
        <w:t xml:space="preserve">o spolupráci </w:t>
      </w:r>
      <w:r w:rsidR="00B74DD9">
        <w:rPr>
          <w:rFonts w:eastAsia="Calibri" w:cstheme="minorHAnsi"/>
          <w:b/>
          <w:color w:val="000000"/>
        </w:rPr>
        <w:t xml:space="preserve">při zajištění jakosti při dodávkách přípravku </w:t>
      </w:r>
      <w:proofErr w:type="spellStart"/>
      <w:r w:rsidR="00B74DD9">
        <w:rPr>
          <w:rFonts w:eastAsia="Calibri" w:cstheme="minorHAnsi"/>
          <w:b/>
          <w:color w:val="000000"/>
        </w:rPr>
        <w:t>Luxturna</w:t>
      </w:r>
      <w:bookmarkEnd w:id="1"/>
      <w:proofErr w:type="spellEnd"/>
    </w:p>
    <w:p w14:paraId="6B7C8BCC" w14:textId="77777777" w:rsidR="00C651D5" w:rsidRDefault="00C651D5" w:rsidP="00C651D5">
      <w:pPr>
        <w:spacing w:after="0" w:line="276" w:lineRule="auto"/>
        <w:ind w:right="791"/>
        <w:rPr>
          <w:rFonts w:eastAsia="Calibri" w:cstheme="minorHAnsi"/>
          <w:bCs/>
        </w:rPr>
      </w:pPr>
    </w:p>
    <w:p w14:paraId="3C4CF75C" w14:textId="6161440D" w:rsidR="00B74DD9" w:rsidRPr="00C651D5" w:rsidRDefault="00B74DD9" w:rsidP="00C651D5">
      <w:pPr>
        <w:spacing w:after="0" w:line="276" w:lineRule="auto"/>
        <w:ind w:right="791"/>
        <w:rPr>
          <w:rFonts w:eastAsia="Times New Roman" w:cstheme="minorHAnsi"/>
          <w:b/>
          <w:bCs/>
          <w:lang w:eastAsia="cs-CZ"/>
        </w:rPr>
      </w:pPr>
      <w:r w:rsidRPr="00C651D5">
        <w:rPr>
          <w:rFonts w:eastAsia="Times New Roman" w:cstheme="minorHAnsi"/>
          <w:b/>
          <w:bCs/>
          <w:lang w:eastAsia="cs-CZ"/>
        </w:rPr>
        <w:t xml:space="preserve">Ústav hematologie a krevní transfuze </w:t>
      </w:r>
    </w:p>
    <w:p w14:paraId="061A61DE" w14:textId="08C5E620" w:rsidR="00B74DD9" w:rsidRPr="00B74DD9" w:rsidRDefault="002832DD" w:rsidP="00C651D5">
      <w:pPr>
        <w:spacing w:after="0" w:line="276" w:lineRule="auto"/>
        <w:ind w:right="791"/>
        <w:rPr>
          <w:rFonts w:eastAsia="Times New Roman" w:cstheme="minorHAnsi"/>
          <w:lang w:eastAsia="cs-CZ"/>
        </w:rPr>
      </w:pPr>
      <w:r w:rsidRPr="00F25042">
        <w:rPr>
          <w:rFonts w:eastAsia="Times New Roman" w:cstheme="minorHAnsi"/>
          <w:lang w:eastAsia="cs-CZ"/>
        </w:rPr>
        <w:t xml:space="preserve">se sídlem </w:t>
      </w:r>
      <w:r w:rsidR="00B74DD9" w:rsidRPr="00B74DD9">
        <w:rPr>
          <w:rFonts w:eastAsia="Times New Roman" w:cstheme="minorHAnsi"/>
          <w:lang w:eastAsia="cs-CZ"/>
        </w:rPr>
        <w:t xml:space="preserve">U nemocnice 2094/1, 128 00 Praha 2 </w:t>
      </w:r>
    </w:p>
    <w:p w14:paraId="4377372E" w14:textId="77777777" w:rsidR="00B74DD9" w:rsidRDefault="00B74DD9" w:rsidP="00C651D5">
      <w:pPr>
        <w:spacing w:after="0" w:line="276" w:lineRule="auto"/>
        <w:ind w:right="791"/>
        <w:rPr>
          <w:rFonts w:eastAsia="Times New Roman" w:cstheme="minorHAnsi"/>
          <w:lang w:eastAsia="cs-CZ"/>
        </w:rPr>
      </w:pPr>
      <w:r w:rsidRPr="00B74DD9">
        <w:rPr>
          <w:rFonts w:eastAsia="Times New Roman" w:cstheme="minorHAnsi"/>
          <w:lang w:eastAsia="cs-CZ"/>
        </w:rPr>
        <w:t>IČO: 00023736</w:t>
      </w:r>
    </w:p>
    <w:p w14:paraId="6D3D8568" w14:textId="08A6103E" w:rsidR="00B74DD9" w:rsidRDefault="00B74DD9" w:rsidP="00C651D5">
      <w:pPr>
        <w:spacing w:after="0" w:line="276" w:lineRule="auto"/>
        <w:ind w:right="791"/>
        <w:rPr>
          <w:rFonts w:eastAsia="Times New Roman" w:cstheme="minorHAnsi"/>
          <w:lang w:eastAsia="cs-CZ"/>
        </w:rPr>
      </w:pPr>
      <w:r w:rsidRPr="00B74DD9">
        <w:rPr>
          <w:rFonts w:eastAsia="Times New Roman" w:cstheme="minorHAnsi"/>
          <w:lang w:eastAsia="cs-CZ"/>
        </w:rPr>
        <w:t>DIČ: CZ00023736</w:t>
      </w:r>
    </w:p>
    <w:p w14:paraId="65C9DDBB" w14:textId="20D8F8BD" w:rsidR="00CA23F4" w:rsidRDefault="00CA23F4" w:rsidP="00C651D5">
      <w:pPr>
        <w:spacing w:after="0" w:line="276" w:lineRule="auto"/>
        <w:ind w:right="791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bankovní účet: </w:t>
      </w:r>
      <w:proofErr w:type="spellStart"/>
      <w:r w:rsidR="0075230F">
        <w:rPr>
          <w:rFonts w:eastAsia="Times New Roman" w:cstheme="minorHAnsi"/>
          <w:lang w:eastAsia="cs-CZ"/>
        </w:rPr>
        <w:t>xxxxxx</w:t>
      </w:r>
      <w:proofErr w:type="spellEnd"/>
    </w:p>
    <w:p w14:paraId="1BB8B207" w14:textId="6067D760" w:rsidR="00FE110F" w:rsidRPr="00F25042" w:rsidRDefault="006F18CF" w:rsidP="00C651D5">
      <w:pPr>
        <w:spacing w:after="0" w:line="276" w:lineRule="auto"/>
        <w:ind w:right="791"/>
        <w:rPr>
          <w:rFonts w:eastAsia="Times New Roman" w:cstheme="minorHAnsi"/>
          <w:lang w:eastAsia="cs-CZ"/>
        </w:rPr>
      </w:pPr>
      <w:r w:rsidRPr="00F25042">
        <w:rPr>
          <w:rFonts w:eastAsia="Times New Roman" w:cstheme="minorHAnsi"/>
          <w:lang w:eastAsia="cs-CZ"/>
        </w:rPr>
        <w:t>zastoupen</w:t>
      </w:r>
      <w:r w:rsidR="00FE110F" w:rsidRPr="00F25042">
        <w:rPr>
          <w:rFonts w:eastAsia="Times New Roman" w:cstheme="minorHAnsi"/>
          <w:lang w:eastAsia="cs-CZ"/>
        </w:rPr>
        <w:t xml:space="preserve"> </w:t>
      </w:r>
      <w:r w:rsidR="00B74DD9">
        <w:rPr>
          <w:rFonts w:eastAsia="Times New Roman" w:cstheme="minorHAnsi"/>
          <w:lang w:eastAsia="cs-CZ"/>
        </w:rPr>
        <w:t>prof. MUDr. Petrem Cetkovským, Ph.D., MBA, ředitelem</w:t>
      </w:r>
    </w:p>
    <w:p w14:paraId="4BF6C1FB" w14:textId="56E5E29C" w:rsidR="002832DD" w:rsidRDefault="00710FCE" w:rsidP="00C651D5">
      <w:pPr>
        <w:spacing w:after="0" w:line="276" w:lineRule="auto"/>
        <w:ind w:right="791"/>
        <w:rPr>
          <w:rFonts w:eastAsia="Times New Roman" w:cstheme="minorHAnsi"/>
          <w:lang w:eastAsia="cs-CZ"/>
        </w:rPr>
      </w:pPr>
      <w:r w:rsidRPr="00F25042">
        <w:rPr>
          <w:rFonts w:eastAsia="Times New Roman" w:cstheme="minorHAnsi"/>
          <w:lang w:eastAsia="cs-CZ"/>
        </w:rPr>
        <w:t>(dále jen „</w:t>
      </w:r>
      <w:r w:rsidR="002832DD" w:rsidRPr="00F25042">
        <w:rPr>
          <w:rFonts w:eastAsia="Times New Roman" w:cstheme="minorHAnsi"/>
          <w:b/>
          <w:lang w:eastAsia="cs-CZ"/>
        </w:rPr>
        <w:t>Ú</w:t>
      </w:r>
      <w:r w:rsidR="00B74DD9">
        <w:rPr>
          <w:rFonts w:eastAsia="Times New Roman" w:cstheme="minorHAnsi"/>
          <w:b/>
          <w:lang w:eastAsia="cs-CZ"/>
        </w:rPr>
        <w:t>HKT</w:t>
      </w:r>
      <w:r w:rsidRPr="00F25042">
        <w:rPr>
          <w:rFonts w:eastAsia="Times New Roman" w:cstheme="minorHAnsi"/>
          <w:lang w:eastAsia="cs-CZ"/>
        </w:rPr>
        <w:t>“)</w:t>
      </w:r>
    </w:p>
    <w:p w14:paraId="65F5CBA3" w14:textId="77777777" w:rsidR="00473BDA" w:rsidRPr="00F25042" w:rsidRDefault="00473BDA" w:rsidP="005933FD">
      <w:pPr>
        <w:spacing w:after="0" w:line="276" w:lineRule="auto"/>
        <w:contextualSpacing/>
        <w:rPr>
          <w:rFonts w:eastAsia="Calibri" w:cstheme="minorHAnsi"/>
          <w:color w:val="000000"/>
        </w:rPr>
      </w:pPr>
    </w:p>
    <w:p w14:paraId="2192115F" w14:textId="77777777" w:rsidR="00473BDA" w:rsidRDefault="00473BDA" w:rsidP="005933FD">
      <w:pPr>
        <w:spacing w:after="0" w:line="276" w:lineRule="auto"/>
        <w:rPr>
          <w:rFonts w:eastAsia="Calibri" w:cstheme="minorHAnsi"/>
          <w:color w:val="000000"/>
        </w:rPr>
      </w:pPr>
      <w:r w:rsidRPr="00F25042">
        <w:rPr>
          <w:rFonts w:eastAsia="Calibri" w:cstheme="minorHAnsi"/>
          <w:color w:val="000000"/>
        </w:rPr>
        <w:t>a</w:t>
      </w:r>
    </w:p>
    <w:p w14:paraId="705538AF" w14:textId="77777777" w:rsidR="005933FD" w:rsidRPr="00F25042" w:rsidRDefault="005933FD" w:rsidP="005933FD">
      <w:pPr>
        <w:spacing w:after="0" w:line="276" w:lineRule="auto"/>
        <w:rPr>
          <w:rFonts w:eastAsia="Calibri" w:cstheme="minorHAnsi"/>
          <w:color w:val="000000"/>
        </w:rPr>
      </w:pPr>
    </w:p>
    <w:p w14:paraId="7BB1253A" w14:textId="78E46288" w:rsidR="00B02CBD" w:rsidRPr="00C651D5" w:rsidRDefault="00B74DD9" w:rsidP="00C651D5">
      <w:pPr>
        <w:spacing w:after="0" w:line="276" w:lineRule="auto"/>
        <w:rPr>
          <w:rFonts w:eastAsia="Calibri" w:cstheme="minorHAnsi"/>
          <w:b/>
          <w:color w:val="000000"/>
        </w:rPr>
      </w:pPr>
      <w:bookmarkStart w:id="2" w:name="_Hlk52973117"/>
      <w:r w:rsidRPr="00C651D5">
        <w:rPr>
          <w:rFonts w:eastAsia="Calibri" w:cstheme="minorHAnsi"/>
          <w:b/>
          <w:color w:val="000000"/>
        </w:rPr>
        <w:t>Všeobecná fakultní nemocnice</w:t>
      </w:r>
    </w:p>
    <w:p w14:paraId="55EE195B" w14:textId="557AB77D" w:rsidR="00B02CBD" w:rsidRPr="00F25042" w:rsidRDefault="00B02CBD" w:rsidP="00C651D5">
      <w:pPr>
        <w:spacing w:after="0" w:line="276" w:lineRule="auto"/>
        <w:rPr>
          <w:rFonts w:eastAsia="Calibri" w:cstheme="minorHAnsi"/>
          <w:color w:val="000000"/>
        </w:rPr>
      </w:pPr>
      <w:r w:rsidRPr="00F25042">
        <w:rPr>
          <w:rFonts w:eastAsia="Calibri" w:cstheme="minorHAnsi"/>
          <w:color w:val="000000"/>
        </w:rPr>
        <w:t>se sídlem</w:t>
      </w:r>
      <w:r w:rsidR="002832DD" w:rsidRPr="00F25042">
        <w:rPr>
          <w:rFonts w:eastAsia="Calibri" w:cstheme="minorHAnsi"/>
          <w:color w:val="000000"/>
        </w:rPr>
        <w:t xml:space="preserve"> </w:t>
      </w:r>
      <w:r w:rsidR="00B74DD9">
        <w:rPr>
          <w:rFonts w:eastAsia="Calibri" w:cstheme="minorHAnsi"/>
          <w:color w:val="000000"/>
        </w:rPr>
        <w:t>U nemocnice 499/2, 128 08 Praha 2</w:t>
      </w:r>
    </w:p>
    <w:p w14:paraId="2A4F987E" w14:textId="1175F18B" w:rsidR="00B02CBD" w:rsidRPr="00F25042" w:rsidRDefault="00B02CBD" w:rsidP="00C651D5">
      <w:pPr>
        <w:spacing w:after="0" w:line="276" w:lineRule="auto"/>
        <w:rPr>
          <w:rFonts w:eastAsia="Calibri" w:cstheme="minorHAnsi"/>
          <w:color w:val="000000"/>
        </w:rPr>
      </w:pPr>
      <w:r w:rsidRPr="00F25042">
        <w:rPr>
          <w:rFonts w:eastAsia="Calibri" w:cstheme="minorHAnsi"/>
          <w:color w:val="000000"/>
        </w:rPr>
        <w:t>IČ</w:t>
      </w:r>
      <w:r w:rsidR="007719ED">
        <w:rPr>
          <w:rFonts w:eastAsia="Calibri" w:cstheme="minorHAnsi"/>
          <w:color w:val="000000"/>
        </w:rPr>
        <w:t>O</w:t>
      </w:r>
      <w:r w:rsidRPr="00F25042">
        <w:rPr>
          <w:rFonts w:eastAsia="Calibri" w:cstheme="minorHAnsi"/>
          <w:color w:val="000000"/>
        </w:rPr>
        <w:t>:</w:t>
      </w:r>
      <w:r w:rsidR="00B74DD9">
        <w:rPr>
          <w:rFonts w:eastAsia="Calibri" w:cstheme="minorHAnsi"/>
          <w:color w:val="000000"/>
        </w:rPr>
        <w:t xml:space="preserve"> 00064165</w:t>
      </w:r>
    </w:p>
    <w:p w14:paraId="4A99EAD8" w14:textId="26E0D2F0" w:rsidR="00B02CBD" w:rsidRDefault="00B02CBD" w:rsidP="00C651D5">
      <w:pPr>
        <w:spacing w:after="0" w:line="276" w:lineRule="auto"/>
        <w:rPr>
          <w:rFonts w:eastAsia="Calibri" w:cstheme="minorHAnsi"/>
          <w:color w:val="000000"/>
        </w:rPr>
      </w:pPr>
      <w:r w:rsidRPr="00F25042">
        <w:rPr>
          <w:rFonts w:eastAsia="Calibri" w:cstheme="minorHAnsi"/>
          <w:color w:val="000000"/>
        </w:rPr>
        <w:t xml:space="preserve">DIČ: </w:t>
      </w:r>
      <w:r w:rsidR="00B74DD9">
        <w:rPr>
          <w:rFonts w:eastAsia="Calibri" w:cstheme="minorHAnsi"/>
          <w:color w:val="000000"/>
        </w:rPr>
        <w:t>CZ00064165</w:t>
      </w:r>
    </w:p>
    <w:p w14:paraId="547F3D00" w14:textId="4B78DA03" w:rsidR="00C651D5" w:rsidRDefault="006F18CF" w:rsidP="00C651D5">
      <w:pPr>
        <w:spacing w:after="0"/>
        <w:rPr>
          <w:rFonts w:eastAsia="Calibri" w:cstheme="minorHAnsi"/>
          <w:color w:val="000000"/>
        </w:rPr>
      </w:pPr>
      <w:r w:rsidRPr="00F25042">
        <w:rPr>
          <w:rFonts w:eastAsia="Calibri" w:cstheme="minorHAnsi"/>
          <w:color w:val="000000"/>
        </w:rPr>
        <w:t>zastoupena</w:t>
      </w:r>
      <w:r w:rsidR="000F1ACD" w:rsidRPr="00F25042">
        <w:rPr>
          <w:rFonts w:eastAsia="Calibri" w:cstheme="minorHAnsi"/>
          <w:color w:val="000000"/>
        </w:rPr>
        <w:t xml:space="preserve"> </w:t>
      </w:r>
      <w:r w:rsidR="00B74DD9" w:rsidRPr="00B74DD9">
        <w:rPr>
          <w:rFonts w:eastAsia="Calibri" w:cstheme="minorHAnsi"/>
          <w:color w:val="000000"/>
        </w:rPr>
        <w:t>prof. MUDr. David</w:t>
      </w:r>
      <w:r w:rsidR="002B499C">
        <w:rPr>
          <w:rFonts w:eastAsia="Calibri" w:cstheme="minorHAnsi"/>
          <w:color w:val="000000"/>
        </w:rPr>
        <w:t>em</w:t>
      </w:r>
      <w:r w:rsidR="00B74DD9" w:rsidRPr="00B74DD9">
        <w:rPr>
          <w:rFonts w:eastAsia="Calibri" w:cstheme="minorHAnsi"/>
          <w:color w:val="000000"/>
        </w:rPr>
        <w:t xml:space="preserve"> </w:t>
      </w:r>
      <w:proofErr w:type="spellStart"/>
      <w:r w:rsidR="00B74DD9" w:rsidRPr="00B74DD9">
        <w:rPr>
          <w:rFonts w:eastAsia="Calibri" w:cstheme="minorHAnsi"/>
          <w:color w:val="000000"/>
        </w:rPr>
        <w:t>Felt</w:t>
      </w:r>
      <w:r w:rsidR="001C407A">
        <w:rPr>
          <w:rFonts w:eastAsia="Calibri" w:cstheme="minorHAnsi"/>
          <w:color w:val="000000"/>
        </w:rPr>
        <w:t>l</w:t>
      </w:r>
      <w:r w:rsidR="002B499C">
        <w:rPr>
          <w:rFonts w:eastAsia="Calibri" w:cstheme="minorHAnsi"/>
          <w:color w:val="000000"/>
        </w:rPr>
        <w:t>e</w:t>
      </w:r>
      <w:r w:rsidR="001C407A">
        <w:rPr>
          <w:rFonts w:eastAsia="Calibri" w:cstheme="minorHAnsi"/>
          <w:color w:val="000000"/>
        </w:rPr>
        <w:t>m</w:t>
      </w:r>
      <w:proofErr w:type="spellEnd"/>
      <w:r w:rsidR="00B74DD9" w:rsidRPr="00B74DD9">
        <w:rPr>
          <w:rFonts w:eastAsia="Calibri" w:cstheme="minorHAnsi"/>
          <w:color w:val="000000"/>
        </w:rPr>
        <w:t>, Ph.D., MBA</w:t>
      </w:r>
      <w:r w:rsidR="00B74DD9">
        <w:rPr>
          <w:rFonts w:eastAsia="Calibri" w:cstheme="minorHAnsi"/>
          <w:color w:val="000000"/>
        </w:rPr>
        <w:t>, ředitelem</w:t>
      </w:r>
    </w:p>
    <w:p w14:paraId="3607FDF2" w14:textId="2C04F030" w:rsidR="00B02CBD" w:rsidRDefault="0030154A" w:rsidP="00C651D5">
      <w:pPr>
        <w:spacing w:after="0"/>
        <w:rPr>
          <w:rFonts w:eastAsia="Calibri" w:cstheme="minorHAnsi"/>
          <w:color w:val="000000"/>
        </w:rPr>
      </w:pPr>
      <w:r w:rsidRPr="00F25042">
        <w:rPr>
          <w:rFonts w:eastAsia="Calibri" w:cstheme="minorHAnsi"/>
          <w:color w:val="000000"/>
        </w:rPr>
        <w:t>(dále jen „</w:t>
      </w:r>
      <w:r w:rsidR="00B74DD9">
        <w:rPr>
          <w:rFonts w:eastAsia="Calibri" w:cstheme="minorHAnsi"/>
          <w:b/>
          <w:color w:val="000000"/>
        </w:rPr>
        <w:t>VFN</w:t>
      </w:r>
      <w:r w:rsidR="00FF6095" w:rsidRPr="00F25042">
        <w:rPr>
          <w:rFonts w:eastAsia="Calibri" w:cstheme="minorHAnsi"/>
          <w:color w:val="000000"/>
        </w:rPr>
        <w:t>“</w:t>
      </w:r>
      <w:r w:rsidRPr="00F25042">
        <w:rPr>
          <w:rFonts w:eastAsia="Calibri" w:cstheme="minorHAnsi"/>
          <w:color w:val="000000"/>
        </w:rPr>
        <w:t>)</w:t>
      </w:r>
      <w:bookmarkEnd w:id="2"/>
    </w:p>
    <w:p w14:paraId="21CA061B" w14:textId="77777777" w:rsidR="00C651D5" w:rsidRDefault="00C651D5" w:rsidP="00C651D5">
      <w:pPr>
        <w:spacing w:after="0" w:line="276" w:lineRule="auto"/>
        <w:rPr>
          <w:rFonts w:eastAsia="Calibri" w:cstheme="minorHAnsi"/>
          <w:color w:val="000000"/>
        </w:rPr>
      </w:pPr>
    </w:p>
    <w:p w14:paraId="6BA5EEC6" w14:textId="3054017E" w:rsidR="00A111E8" w:rsidRPr="00F25042" w:rsidRDefault="00A111E8" w:rsidP="00C651D5">
      <w:pPr>
        <w:spacing w:after="0" w:line="276" w:lineRule="auto"/>
        <w:rPr>
          <w:rFonts w:eastAsia="Calibri" w:cstheme="minorHAnsi"/>
          <w:color w:val="000000"/>
        </w:rPr>
      </w:pPr>
      <w:r w:rsidRPr="00F25042">
        <w:rPr>
          <w:rFonts w:eastAsia="Calibri" w:cstheme="minorHAnsi"/>
          <w:color w:val="000000"/>
        </w:rPr>
        <w:t>(</w:t>
      </w:r>
      <w:r w:rsidR="00F27A0C">
        <w:rPr>
          <w:rFonts w:eastAsia="Calibri" w:cstheme="minorHAnsi"/>
          <w:color w:val="000000"/>
        </w:rPr>
        <w:t>Ú</w:t>
      </w:r>
      <w:r w:rsidR="002B499C">
        <w:rPr>
          <w:rFonts w:eastAsia="Calibri" w:cstheme="minorHAnsi"/>
          <w:color w:val="000000"/>
        </w:rPr>
        <w:t>HKT</w:t>
      </w:r>
      <w:r w:rsidR="00F27A0C">
        <w:rPr>
          <w:rFonts w:eastAsia="Calibri" w:cstheme="minorHAnsi"/>
          <w:color w:val="000000"/>
        </w:rPr>
        <w:t xml:space="preserve"> a </w:t>
      </w:r>
      <w:r w:rsidR="002B499C">
        <w:rPr>
          <w:rFonts w:eastAsia="Calibri" w:cstheme="minorHAnsi"/>
          <w:color w:val="000000"/>
        </w:rPr>
        <w:t>VFN</w:t>
      </w:r>
      <w:r w:rsidR="00F27A0C">
        <w:rPr>
          <w:rFonts w:eastAsia="Calibri" w:cstheme="minorHAnsi"/>
          <w:color w:val="000000"/>
        </w:rPr>
        <w:t xml:space="preserve"> </w:t>
      </w:r>
      <w:r w:rsidRPr="00F25042">
        <w:rPr>
          <w:rFonts w:eastAsia="Calibri" w:cstheme="minorHAnsi"/>
          <w:color w:val="000000"/>
        </w:rPr>
        <w:t>společně dále jen „</w:t>
      </w:r>
      <w:r w:rsidR="00906779">
        <w:rPr>
          <w:rFonts w:eastAsia="Calibri" w:cstheme="minorHAnsi"/>
          <w:b/>
          <w:color w:val="000000"/>
        </w:rPr>
        <w:t>S</w:t>
      </w:r>
      <w:r w:rsidRPr="00F25042">
        <w:rPr>
          <w:rFonts w:eastAsia="Calibri" w:cstheme="minorHAnsi"/>
          <w:b/>
          <w:color w:val="000000"/>
        </w:rPr>
        <w:t>mluvní strany</w:t>
      </w:r>
      <w:r w:rsidRPr="00F25042">
        <w:rPr>
          <w:rFonts w:eastAsia="Calibri" w:cstheme="minorHAnsi"/>
          <w:color w:val="000000"/>
        </w:rPr>
        <w:t>“)</w:t>
      </w:r>
    </w:p>
    <w:p w14:paraId="57C6152B" w14:textId="77777777" w:rsidR="00A111E8" w:rsidRPr="00F25042" w:rsidRDefault="00A111E8" w:rsidP="005933FD">
      <w:pPr>
        <w:spacing w:after="0" w:line="276" w:lineRule="auto"/>
        <w:jc w:val="both"/>
        <w:rPr>
          <w:rFonts w:eastAsia="Calibri" w:cstheme="minorHAnsi"/>
          <w:color w:val="000000"/>
        </w:rPr>
      </w:pPr>
    </w:p>
    <w:p w14:paraId="2366A43A" w14:textId="7CB96320" w:rsidR="0030154A" w:rsidRPr="00E53E07" w:rsidRDefault="0030154A" w:rsidP="00616CBC">
      <w:pPr>
        <w:spacing w:after="0" w:line="276" w:lineRule="auto"/>
        <w:jc w:val="center"/>
        <w:rPr>
          <w:rFonts w:cstheme="minorHAnsi"/>
        </w:rPr>
      </w:pPr>
      <w:r w:rsidRPr="00F25042">
        <w:rPr>
          <w:rFonts w:cstheme="minorHAnsi"/>
        </w:rPr>
        <w:t>uza</w:t>
      </w:r>
      <w:r w:rsidR="002B499C">
        <w:rPr>
          <w:rFonts w:cstheme="minorHAnsi"/>
        </w:rPr>
        <w:t>vírají</w:t>
      </w:r>
      <w:r w:rsidRPr="00F25042">
        <w:rPr>
          <w:rFonts w:cstheme="minorHAnsi"/>
        </w:rPr>
        <w:t xml:space="preserve"> níže uvedené</w:t>
      </w:r>
      <w:r w:rsidR="00206EE3" w:rsidRPr="00F25042">
        <w:rPr>
          <w:rFonts w:cstheme="minorHAnsi"/>
        </w:rPr>
        <w:t xml:space="preserve">ho dne, </w:t>
      </w:r>
      <w:r w:rsidR="00A111E8" w:rsidRPr="00F25042">
        <w:rPr>
          <w:rFonts w:cstheme="minorHAnsi"/>
        </w:rPr>
        <w:t xml:space="preserve">měsíce a roku </w:t>
      </w:r>
      <w:r w:rsidR="0067306A" w:rsidRPr="00F25042">
        <w:rPr>
          <w:rFonts w:cstheme="minorHAnsi"/>
        </w:rPr>
        <w:t>v souladu s ustanovením</w:t>
      </w:r>
      <w:r w:rsidR="00206EE3" w:rsidRPr="00F25042">
        <w:rPr>
          <w:rFonts w:cstheme="minorHAnsi"/>
        </w:rPr>
        <w:t xml:space="preserve"> § 1746</w:t>
      </w:r>
      <w:r w:rsidR="00F14CF5" w:rsidRPr="00F25042">
        <w:rPr>
          <w:rFonts w:cstheme="minorHAnsi"/>
        </w:rPr>
        <w:t xml:space="preserve"> odst. 2</w:t>
      </w:r>
      <w:r w:rsidR="00206EE3" w:rsidRPr="00F25042">
        <w:rPr>
          <w:rFonts w:cstheme="minorHAnsi"/>
        </w:rPr>
        <w:t xml:space="preserve"> </w:t>
      </w:r>
      <w:r w:rsidR="0067306A" w:rsidRPr="00F25042">
        <w:rPr>
          <w:rFonts w:cstheme="minorHAnsi"/>
        </w:rPr>
        <w:t xml:space="preserve">zákona </w:t>
      </w:r>
      <w:r w:rsidR="0067306A" w:rsidRPr="00E53E07">
        <w:rPr>
          <w:rFonts w:cstheme="minorHAnsi"/>
        </w:rPr>
        <w:t>č. </w:t>
      </w:r>
      <w:r w:rsidR="00206EE3" w:rsidRPr="00E53E07">
        <w:rPr>
          <w:rFonts w:cstheme="minorHAnsi"/>
        </w:rPr>
        <w:t>89/2012</w:t>
      </w:r>
      <w:r w:rsidR="0067306A" w:rsidRPr="00E53E07">
        <w:rPr>
          <w:rFonts w:cstheme="minorHAnsi"/>
        </w:rPr>
        <w:t> </w:t>
      </w:r>
      <w:r w:rsidR="00BF5901" w:rsidRPr="00E53E07">
        <w:rPr>
          <w:rFonts w:cstheme="minorHAnsi"/>
        </w:rPr>
        <w:t>Sb., občansk</w:t>
      </w:r>
      <w:r w:rsidR="00F27A0C" w:rsidRPr="00E53E07">
        <w:rPr>
          <w:rFonts w:cstheme="minorHAnsi"/>
        </w:rPr>
        <w:t>ý</w:t>
      </w:r>
      <w:r w:rsidR="00BF5901" w:rsidRPr="00E53E07">
        <w:rPr>
          <w:rFonts w:cstheme="minorHAnsi"/>
        </w:rPr>
        <w:t xml:space="preserve"> </w:t>
      </w:r>
      <w:r w:rsidRPr="00E53E07">
        <w:rPr>
          <w:rFonts w:cstheme="minorHAnsi"/>
        </w:rPr>
        <w:t xml:space="preserve">zákoník, </w:t>
      </w:r>
      <w:r w:rsidR="00A111E8" w:rsidRPr="00E53E07">
        <w:rPr>
          <w:rFonts w:cstheme="minorHAnsi"/>
        </w:rPr>
        <w:t xml:space="preserve">tuto Smlouvu </w:t>
      </w:r>
      <w:r w:rsidR="002832DD" w:rsidRPr="00E53E07">
        <w:rPr>
          <w:rFonts w:cstheme="minorHAnsi"/>
        </w:rPr>
        <w:t xml:space="preserve">o spolupráci </w:t>
      </w:r>
      <w:proofErr w:type="spellStart"/>
      <w:r w:rsidR="002B499C" w:rsidRPr="00E53E07">
        <w:rPr>
          <w:rFonts w:cstheme="minorHAnsi"/>
        </w:rPr>
        <w:t>spolupráci</w:t>
      </w:r>
      <w:proofErr w:type="spellEnd"/>
      <w:r w:rsidR="002B499C" w:rsidRPr="00E53E07">
        <w:rPr>
          <w:rFonts w:cstheme="minorHAnsi"/>
        </w:rPr>
        <w:t xml:space="preserve"> při zajištění jakosti při dodávkách přípravku </w:t>
      </w:r>
      <w:proofErr w:type="spellStart"/>
      <w:r w:rsidR="002B499C" w:rsidRPr="00E53E07">
        <w:rPr>
          <w:rFonts w:cstheme="minorHAnsi"/>
        </w:rPr>
        <w:t>Luxturna</w:t>
      </w:r>
      <w:proofErr w:type="spellEnd"/>
      <w:r w:rsidR="002832DD" w:rsidRPr="00E53E07">
        <w:rPr>
          <w:rFonts w:cstheme="minorHAnsi"/>
        </w:rPr>
        <w:t xml:space="preserve"> </w:t>
      </w:r>
      <w:r w:rsidR="00A111E8" w:rsidRPr="00E53E07">
        <w:rPr>
          <w:rFonts w:cstheme="minorHAnsi"/>
        </w:rPr>
        <w:t>(dále jen „</w:t>
      </w:r>
      <w:r w:rsidR="00906779" w:rsidRPr="00E53E07">
        <w:rPr>
          <w:rFonts w:cstheme="minorHAnsi"/>
          <w:b/>
        </w:rPr>
        <w:t>S</w:t>
      </w:r>
      <w:r w:rsidR="00A111E8" w:rsidRPr="00E53E07">
        <w:rPr>
          <w:rFonts w:cstheme="minorHAnsi"/>
          <w:b/>
        </w:rPr>
        <w:t>mlouva</w:t>
      </w:r>
      <w:r w:rsidRPr="00E53E07">
        <w:rPr>
          <w:rFonts w:cstheme="minorHAnsi"/>
        </w:rPr>
        <w:t>"):</w:t>
      </w:r>
    </w:p>
    <w:p w14:paraId="106C7E4C" w14:textId="77777777" w:rsidR="005933FD" w:rsidRPr="00E53E07" w:rsidRDefault="005933FD" w:rsidP="005933FD">
      <w:pPr>
        <w:spacing w:after="0" w:line="276" w:lineRule="auto"/>
        <w:jc w:val="center"/>
        <w:rPr>
          <w:rFonts w:cstheme="minorHAnsi"/>
          <w:b/>
        </w:rPr>
      </w:pPr>
    </w:p>
    <w:p w14:paraId="11F8F007" w14:textId="5FBED6BF" w:rsidR="00206EE3" w:rsidRPr="00E53E07" w:rsidRDefault="0030154A" w:rsidP="00A063DF">
      <w:pPr>
        <w:spacing w:after="0" w:line="276" w:lineRule="auto"/>
        <w:jc w:val="center"/>
        <w:rPr>
          <w:rFonts w:cstheme="minorHAnsi"/>
          <w:b/>
        </w:rPr>
      </w:pPr>
      <w:r w:rsidRPr="00E53E07">
        <w:rPr>
          <w:rFonts w:cstheme="minorHAnsi"/>
          <w:b/>
        </w:rPr>
        <w:t>I. Úvodní ustanovení</w:t>
      </w:r>
      <w:r w:rsidR="00F27A0C" w:rsidRPr="00E53E07">
        <w:rPr>
          <w:rFonts w:cstheme="minorHAnsi"/>
          <w:b/>
        </w:rPr>
        <w:br/>
      </w:r>
    </w:p>
    <w:p w14:paraId="177136C2" w14:textId="2EEAD67C" w:rsidR="00E82705" w:rsidRPr="00E53E07" w:rsidRDefault="008E2DDE" w:rsidP="00873429">
      <w:pPr>
        <w:pStyle w:val="Odstavecseseznamem"/>
        <w:numPr>
          <w:ilvl w:val="0"/>
          <w:numId w:val="9"/>
        </w:numPr>
        <w:spacing w:after="0" w:line="276" w:lineRule="auto"/>
        <w:ind w:left="426" w:hanging="426"/>
        <w:jc w:val="both"/>
        <w:rPr>
          <w:rFonts w:cstheme="minorHAnsi"/>
          <w:b/>
        </w:rPr>
      </w:pPr>
      <w:r w:rsidRPr="00E53E07">
        <w:rPr>
          <w:rFonts w:cstheme="minorHAnsi"/>
        </w:rPr>
        <w:t>Sm</w:t>
      </w:r>
      <w:r w:rsidR="00A14BE0" w:rsidRPr="00E53E07">
        <w:rPr>
          <w:rFonts w:cstheme="minorHAnsi"/>
        </w:rPr>
        <w:t>luvní strany uzavřely spolu s</w:t>
      </w:r>
      <w:r w:rsidR="00616CBC" w:rsidRPr="00E53E07">
        <w:rPr>
          <w:rFonts w:cstheme="minorHAnsi"/>
        </w:rPr>
        <w:t xml:space="preserve">e společností </w:t>
      </w:r>
      <w:proofErr w:type="spellStart"/>
      <w:r w:rsidR="00A14BE0" w:rsidRPr="00E53E07">
        <w:rPr>
          <w:rFonts w:cstheme="minorHAnsi"/>
          <w:b/>
          <w:bCs/>
        </w:rPr>
        <w:t>Novartis</w:t>
      </w:r>
      <w:proofErr w:type="spellEnd"/>
      <w:r w:rsidR="00A14BE0" w:rsidRPr="00E53E07">
        <w:rPr>
          <w:rFonts w:cstheme="minorHAnsi"/>
          <w:b/>
          <w:bCs/>
        </w:rPr>
        <w:t xml:space="preserve"> s.r.o.</w:t>
      </w:r>
      <w:r w:rsidR="00A14BE0" w:rsidRPr="00E53E07">
        <w:rPr>
          <w:rFonts w:cstheme="minorHAnsi"/>
        </w:rPr>
        <w:t>,</w:t>
      </w:r>
      <w:r w:rsidR="00616CBC" w:rsidRPr="00E53E07">
        <w:rPr>
          <w:rFonts w:cstheme="minorHAnsi"/>
        </w:rPr>
        <w:t xml:space="preserve"> </w:t>
      </w:r>
      <w:r w:rsidR="00A14BE0" w:rsidRPr="00E53E07">
        <w:rPr>
          <w:rFonts w:cstheme="minorHAnsi"/>
        </w:rPr>
        <w:t>se sídlem Na Pankráci 1724/129, 140 00 Praha 4, IČO: 64</w:t>
      </w:r>
      <w:r w:rsidR="00292005" w:rsidRPr="00E53E07">
        <w:rPr>
          <w:rFonts w:cstheme="minorHAnsi"/>
        </w:rPr>
        <w:t>575977 (dále též jen „</w:t>
      </w:r>
      <w:proofErr w:type="spellStart"/>
      <w:r w:rsidR="00292005" w:rsidRPr="00E53E07">
        <w:rPr>
          <w:rFonts w:cstheme="minorHAnsi"/>
        </w:rPr>
        <w:t>Novartis</w:t>
      </w:r>
      <w:proofErr w:type="spellEnd"/>
      <w:r w:rsidR="00292005" w:rsidRPr="00E53E07">
        <w:rPr>
          <w:rFonts w:cstheme="minorHAnsi"/>
        </w:rPr>
        <w:t xml:space="preserve">“ či „společnost </w:t>
      </w:r>
      <w:proofErr w:type="spellStart"/>
      <w:r w:rsidR="00292005" w:rsidRPr="00E53E07">
        <w:rPr>
          <w:rFonts w:cstheme="minorHAnsi"/>
        </w:rPr>
        <w:t>Novartis</w:t>
      </w:r>
      <w:proofErr w:type="spellEnd"/>
      <w:r w:rsidR="00292005" w:rsidRPr="00E53E07">
        <w:rPr>
          <w:rFonts w:cstheme="minorHAnsi"/>
        </w:rPr>
        <w:t xml:space="preserve">“) </w:t>
      </w:r>
      <w:r w:rsidR="00340D1A">
        <w:rPr>
          <w:rFonts w:cstheme="minorHAnsi"/>
          <w:b/>
          <w:bCs/>
        </w:rPr>
        <w:t xml:space="preserve">Přílohu </w:t>
      </w:r>
      <w:r w:rsidR="00292005" w:rsidRPr="00E53E07">
        <w:rPr>
          <w:rFonts w:cstheme="minorHAnsi"/>
          <w:b/>
          <w:bCs/>
        </w:rPr>
        <w:t xml:space="preserve">o </w:t>
      </w:r>
      <w:r w:rsidR="00AD0D6E">
        <w:rPr>
          <w:rFonts w:cstheme="minorHAnsi"/>
          <w:b/>
          <w:bCs/>
        </w:rPr>
        <w:t>jištění</w:t>
      </w:r>
      <w:r w:rsidR="00AD0D6E" w:rsidRPr="00E53E07">
        <w:rPr>
          <w:rFonts w:cstheme="minorHAnsi"/>
          <w:b/>
          <w:bCs/>
        </w:rPr>
        <w:t xml:space="preserve"> </w:t>
      </w:r>
      <w:r w:rsidR="00292005" w:rsidRPr="00E53E07">
        <w:rPr>
          <w:rFonts w:cstheme="minorHAnsi"/>
          <w:b/>
          <w:bCs/>
        </w:rPr>
        <w:t xml:space="preserve">jakosti při dodávkách přípravku </w:t>
      </w:r>
      <w:proofErr w:type="spellStart"/>
      <w:r w:rsidR="00292005" w:rsidRPr="00E53E07">
        <w:rPr>
          <w:rFonts w:cstheme="minorHAnsi"/>
          <w:b/>
          <w:bCs/>
        </w:rPr>
        <w:t>Luxturna</w:t>
      </w:r>
      <w:proofErr w:type="spellEnd"/>
      <w:r w:rsidR="003A7A63">
        <w:rPr>
          <w:rFonts w:cstheme="minorHAnsi"/>
          <w:b/>
          <w:bCs/>
        </w:rPr>
        <w:t xml:space="preserve">, která je přílohou č. </w:t>
      </w:r>
      <w:r w:rsidR="00D40761">
        <w:rPr>
          <w:rFonts w:cstheme="minorHAnsi"/>
          <w:b/>
          <w:bCs/>
        </w:rPr>
        <w:t>2 Kupní smlouvy na opakující se plnění PO</w:t>
      </w:r>
      <w:r w:rsidR="005A04F0">
        <w:rPr>
          <w:rFonts w:cstheme="minorHAnsi"/>
          <w:b/>
          <w:bCs/>
        </w:rPr>
        <w:t xml:space="preserve"> 400/S/24</w:t>
      </w:r>
      <w:r w:rsidR="00292005" w:rsidRPr="00E53E07">
        <w:rPr>
          <w:rFonts w:cstheme="minorHAnsi"/>
        </w:rPr>
        <w:t xml:space="preserve"> (dále též jen „Smlouva s</w:t>
      </w:r>
      <w:r w:rsidR="00A063DF" w:rsidRPr="00E53E07">
        <w:rPr>
          <w:rFonts w:cstheme="minorHAnsi"/>
        </w:rPr>
        <w:t> </w:t>
      </w:r>
      <w:proofErr w:type="spellStart"/>
      <w:r w:rsidR="00292005" w:rsidRPr="00E53E07">
        <w:rPr>
          <w:rFonts w:cstheme="minorHAnsi"/>
        </w:rPr>
        <w:t>Novartis</w:t>
      </w:r>
      <w:proofErr w:type="spellEnd"/>
      <w:r w:rsidR="00292005" w:rsidRPr="00E53E07">
        <w:rPr>
          <w:rFonts w:cstheme="minorHAnsi"/>
        </w:rPr>
        <w:t xml:space="preserve">“). </w:t>
      </w:r>
      <w:r w:rsidR="006C4A9E" w:rsidRPr="00E53E07">
        <w:rPr>
          <w:rFonts w:cstheme="minorHAnsi"/>
        </w:rPr>
        <w:t>Na základě Smlouvy s</w:t>
      </w:r>
      <w:r w:rsidR="00A063DF" w:rsidRPr="00E53E07">
        <w:rPr>
          <w:rFonts w:cstheme="minorHAnsi"/>
        </w:rPr>
        <w:t> </w:t>
      </w:r>
      <w:proofErr w:type="spellStart"/>
      <w:r w:rsidR="006C4A9E" w:rsidRPr="00E53E07">
        <w:rPr>
          <w:rFonts w:cstheme="minorHAnsi"/>
        </w:rPr>
        <w:t>Novartis</w:t>
      </w:r>
      <w:proofErr w:type="spellEnd"/>
      <w:r w:rsidR="00A063DF" w:rsidRPr="00E53E07">
        <w:rPr>
          <w:rFonts w:cstheme="minorHAnsi"/>
        </w:rPr>
        <w:t xml:space="preserve"> </w:t>
      </w:r>
      <w:r w:rsidR="006C4A9E" w:rsidRPr="00E53E07">
        <w:rPr>
          <w:rFonts w:cstheme="minorHAnsi"/>
        </w:rPr>
        <w:t>je ÚHKT zavázán vykonávat pro VFN zajištění přípravy a ředění léčivého přípravku LUXTURNA</w:t>
      </w:r>
      <w:r w:rsidR="0080623E" w:rsidRPr="00E53E07">
        <w:rPr>
          <w:rFonts w:cstheme="minorHAnsi"/>
        </w:rPr>
        <w:t xml:space="preserve"> (dále též jen „</w:t>
      </w:r>
      <w:r w:rsidR="00642A25" w:rsidRPr="00E53E07">
        <w:rPr>
          <w:rFonts w:cstheme="minorHAnsi"/>
        </w:rPr>
        <w:t>P</w:t>
      </w:r>
      <w:r w:rsidR="0080623E" w:rsidRPr="00E53E07">
        <w:rPr>
          <w:rFonts w:cstheme="minorHAnsi"/>
        </w:rPr>
        <w:t>oskytované služby“)</w:t>
      </w:r>
      <w:r w:rsidR="006C4A9E" w:rsidRPr="00E53E07">
        <w:rPr>
          <w:rFonts w:cstheme="minorHAnsi"/>
        </w:rPr>
        <w:t xml:space="preserve">. </w:t>
      </w:r>
    </w:p>
    <w:p w14:paraId="5DB14B05" w14:textId="0C2A5F38" w:rsidR="00292005" w:rsidRPr="00E53E07" w:rsidRDefault="00292005" w:rsidP="00A14BE0">
      <w:pPr>
        <w:pStyle w:val="Odstavecseseznamem"/>
        <w:numPr>
          <w:ilvl w:val="0"/>
          <w:numId w:val="9"/>
        </w:numPr>
        <w:spacing w:after="0" w:line="276" w:lineRule="auto"/>
        <w:ind w:left="426" w:hanging="426"/>
        <w:jc w:val="both"/>
        <w:rPr>
          <w:rFonts w:cstheme="minorHAnsi"/>
          <w:b/>
        </w:rPr>
      </w:pPr>
      <w:r w:rsidRPr="00E53E07">
        <w:rPr>
          <w:rFonts w:cstheme="minorHAnsi"/>
        </w:rPr>
        <w:t>V souladu s </w:t>
      </w:r>
      <w:proofErr w:type="spellStart"/>
      <w:r w:rsidRPr="00E53E07">
        <w:rPr>
          <w:rFonts w:cstheme="minorHAnsi"/>
        </w:rPr>
        <w:t>ust</w:t>
      </w:r>
      <w:proofErr w:type="spellEnd"/>
      <w:r w:rsidRPr="00E53E07">
        <w:rPr>
          <w:rFonts w:cstheme="minorHAnsi"/>
        </w:rPr>
        <w:t>. 5.</w:t>
      </w:r>
      <w:r w:rsidR="001C407A" w:rsidRPr="00E53E07">
        <w:rPr>
          <w:rFonts w:cstheme="minorHAnsi"/>
        </w:rPr>
        <w:t>7</w:t>
      </w:r>
      <w:r w:rsidRPr="00E53E07">
        <w:rPr>
          <w:rFonts w:cstheme="minorHAnsi"/>
        </w:rPr>
        <w:t>. Smlouvy s </w:t>
      </w:r>
      <w:proofErr w:type="spellStart"/>
      <w:r w:rsidRPr="00E53E07">
        <w:rPr>
          <w:rFonts w:cstheme="minorHAnsi"/>
        </w:rPr>
        <w:t>Novartis</w:t>
      </w:r>
      <w:proofErr w:type="spellEnd"/>
      <w:r w:rsidRPr="00E53E07">
        <w:rPr>
          <w:rFonts w:cstheme="minorHAnsi"/>
        </w:rPr>
        <w:t xml:space="preserve"> uzavírají ÚHKT s VFN tuto samostatnou obchodní Smlouvu. </w:t>
      </w:r>
    </w:p>
    <w:p w14:paraId="6DF748C1" w14:textId="7CBF3349" w:rsidR="005933FD" w:rsidRPr="00E53E07" w:rsidRDefault="00206EE3" w:rsidP="00A063DF">
      <w:pPr>
        <w:spacing w:after="0" w:line="276" w:lineRule="auto"/>
        <w:jc w:val="center"/>
        <w:rPr>
          <w:rFonts w:cstheme="minorHAnsi"/>
          <w:b/>
        </w:rPr>
      </w:pPr>
      <w:r w:rsidRPr="00E53E07">
        <w:rPr>
          <w:rFonts w:cstheme="minorHAnsi"/>
          <w:b/>
        </w:rPr>
        <w:t>II.</w:t>
      </w:r>
      <w:r w:rsidR="00A063DF" w:rsidRPr="00E53E07">
        <w:rPr>
          <w:rFonts w:cstheme="minorHAnsi"/>
          <w:b/>
        </w:rPr>
        <w:t xml:space="preserve"> </w:t>
      </w:r>
      <w:r w:rsidR="0030154A" w:rsidRPr="00E53E07">
        <w:rPr>
          <w:rFonts w:cstheme="minorHAnsi"/>
          <w:b/>
        </w:rPr>
        <w:t xml:space="preserve">Předmět </w:t>
      </w:r>
      <w:r w:rsidR="00906779" w:rsidRPr="00E53E07">
        <w:rPr>
          <w:rFonts w:cstheme="minorHAnsi"/>
          <w:b/>
        </w:rPr>
        <w:t>S</w:t>
      </w:r>
      <w:r w:rsidR="0030154A" w:rsidRPr="00E53E07">
        <w:rPr>
          <w:rFonts w:cstheme="minorHAnsi"/>
          <w:b/>
        </w:rPr>
        <w:t>mlouvy</w:t>
      </w:r>
      <w:r w:rsidR="00F27A0C" w:rsidRPr="00E53E07">
        <w:rPr>
          <w:rFonts w:cstheme="minorHAnsi"/>
          <w:b/>
        </w:rPr>
        <w:br/>
      </w:r>
    </w:p>
    <w:p w14:paraId="75545E5E" w14:textId="5EAA648E" w:rsidR="0080623E" w:rsidRPr="00E53E07" w:rsidRDefault="00616CBC" w:rsidP="00F27A0C">
      <w:pPr>
        <w:pStyle w:val="Odstavecseseznamem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cstheme="minorHAnsi"/>
        </w:rPr>
      </w:pPr>
      <w:r w:rsidRPr="00E53E07">
        <w:rPr>
          <w:rFonts w:cstheme="minorHAnsi"/>
        </w:rPr>
        <w:t xml:space="preserve">Smluvní strany </w:t>
      </w:r>
      <w:r w:rsidRPr="00E53E07">
        <w:rPr>
          <w:rFonts w:cstheme="minorHAnsi"/>
          <w:color w:val="000000" w:themeColor="text1"/>
        </w:rPr>
        <w:t>se</w:t>
      </w:r>
      <w:r w:rsidRPr="00E53E07">
        <w:rPr>
          <w:rFonts w:cstheme="minorHAnsi"/>
        </w:rPr>
        <w:t xml:space="preserve"> dohodly, že z</w:t>
      </w:r>
      <w:r w:rsidR="0080623E" w:rsidRPr="00E53E07">
        <w:rPr>
          <w:rFonts w:cstheme="minorHAnsi"/>
        </w:rPr>
        <w:t xml:space="preserve">a </w:t>
      </w:r>
      <w:r w:rsidR="00642A25" w:rsidRPr="00E53E07">
        <w:rPr>
          <w:rFonts w:cstheme="minorHAnsi"/>
        </w:rPr>
        <w:t>P</w:t>
      </w:r>
      <w:r w:rsidR="0080623E" w:rsidRPr="00E53E07">
        <w:rPr>
          <w:rFonts w:cstheme="minorHAnsi"/>
        </w:rPr>
        <w:t>oskytované služby náleží ÚHKT smluvní odměna</w:t>
      </w:r>
      <w:r w:rsidR="00642A25" w:rsidRPr="00E53E07">
        <w:rPr>
          <w:rFonts w:cstheme="minorHAnsi"/>
        </w:rPr>
        <w:t xml:space="preserve"> ve výši </w:t>
      </w:r>
      <w:r w:rsidR="00E53E07" w:rsidRPr="00E53E07">
        <w:rPr>
          <w:rFonts w:cstheme="minorHAnsi"/>
        </w:rPr>
        <w:t>96</w:t>
      </w:r>
      <w:r w:rsidR="00642A25" w:rsidRPr="00E53E07">
        <w:rPr>
          <w:rFonts w:cstheme="minorHAnsi"/>
        </w:rPr>
        <w:t>.</w:t>
      </w:r>
      <w:r w:rsidR="00E53E07" w:rsidRPr="00E53E07">
        <w:rPr>
          <w:rFonts w:cstheme="minorHAnsi"/>
        </w:rPr>
        <w:t>790</w:t>
      </w:r>
      <w:r w:rsidRPr="00E53E07">
        <w:rPr>
          <w:rFonts w:cstheme="minorHAnsi"/>
        </w:rPr>
        <w:t> </w:t>
      </w:r>
      <w:r w:rsidR="00642A25" w:rsidRPr="00E53E07">
        <w:rPr>
          <w:rFonts w:cstheme="minorHAnsi"/>
        </w:rPr>
        <w:t>Kč</w:t>
      </w:r>
      <w:r w:rsidR="00E53E07" w:rsidRPr="00E53E07">
        <w:rPr>
          <w:rFonts w:cstheme="minorHAnsi"/>
        </w:rPr>
        <w:t xml:space="preserve"> bez DPH</w:t>
      </w:r>
      <w:r w:rsidR="00642A25" w:rsidRPr="00E53E07">
        <w:rPr>
          <w:rFonts w:cstheme="minorHAnsi"/>
        </w:rPr>
        <w:t xml:space="preserve"> (slovy: </w:t>
      </w:r>
      <w:r w:rsidR="00E53E07" w:rsidRPr="00E53E07">
        <w:rPr>
          <w:rFonts w:cstheme="minorHAnsi"/>
        </w:rPr>
        <w:t>devadesát šest</w:t>
      </w:r>
      <w:r w:rsidR="00642A25" w:rsidRPr="00E53E07">
        <w:rPr>
          <w:rFonts w:cstheme="minorHAnsi"/>
        </w:rPr>
        <w:t xml:space="preserve"> tisíc </w:t>
      </w:r>
      <w:r w:rsidR="00E53E07" w:rsidRPr="00E53E07">
        <w:rPr>
          <w:rFonts w:cstheme="minorHAnsi"/>
        </w:rPr>
        <w:t xml:space="preserve">sedm set devadesát </w:t>
      </w:r>
      <w:r w:rsidR="00642A25" w:rsidRPr="00E53E07">
        <w:rPr>
          <w:rFonts w:cstheme="minorHAnsi"/>
        </w:rPr>
        <w:t>korun českých) za jednu</w:t>
      </w:r>
      <w:r w:rsidR="001C407A" w:rsidRPr="00E53E07">
        <w:rPr>
          <w:rFonts w:cstheme="minorHAnsi"/>
        </w:rPr>
        <w:t xml:space="preserve"> operaci spojenou s</w:t>
      </w:r>
      <w:r w:rsidR="00A063DF" w:rsidRPr="00E53E07">
        <w:rPr>
          <w:rFonts w:cstheme="minorHAnsi"/>
        </w:rPr>
        <w:t> přípravou a</w:t>
      </w:r>
      <w:r w:rsidR="001C407A" w:rsidRPr="00E53E07">
        <w:rPr>
          <w:rFonts w:cstheme="minorHAnsi"/>
        </w:rPr>
        <w:t xml:space="preserve"> ředěním </w:t>
      </w:r>
      <w:r w:rsidR="00E82705" w:rsidRPr="00E53E07">
        <w:rPr>
          <w:rFonts w:cstheme="minorHAnsi"/>
        </w:rPr>
        <w:t xml:space="preserve">jednoho balení </w:t>
      </w:r>
      <w:r w:rsidR="001C407A" w:rsidRPr="00E53E07">
        <w:rPr>
          <w:rFonts w:cstheme="minorHAnsi"/>
        </w:rPr>
        <w:t xml:space="preserve">léčivého přípravku </w:t>
      </w:r>
      <w:proofErr w:type="spellStart"/>
      <w:r w:rsidR="001C407A" w:rsidRPr="00E53E07">
        <w:rPr>
          <w:rFonts w:cstheme="minorHAnsi"/>
        </w:rPr>
        <w:t>Luxturna</w:t>
      </w:r>
      <w:proofErr w:type="spellEnd"/>
      <w:r w:rsidR="00642A25" w:rsidRPr="00E53E07">
        <w:rPr>
          <w:rFonts w:cstheme="minorHAnsi"/>
        </w:rPr>
        <w:t xml:space="preserve"> (dále též jen „Odměna“)</w:t>
      </w:r>
      <w:r w:rsidR="0015540B" w:rsidRPr="00E53E07">
        <w:rPr>
          <w:rFonts w:cstheme="minorHAnsi"/>
        </w:rPr>
        <w:t xml:space="preserve">. </w:t>
      </w:r>
      <w:r w:rsidR="00642A25" w:rsidRPr="00E53E07">
        <w:rPr>
          <w:rFonts w:cstheme="minorHAnsi"/>
        </w:rPr>
        <w:t>Odměnu uhradí VFN.</w:t>
      </w:r>
      <w:r w:rsidR="00873429" w:rsidRPr="00E53E07">
        <w:rPr>
          <w:rFonts w:cstheme="minorHAnsi"/>
        </w:rPr>
        <w:t xml:space="preserve"> </w:t>
      </w:r>
    </w:p>
    <w:p w14:paraId="7CAA9CB9" w14:textId="6E97E1D6" w:rsidR="00E82705" w:rsidRPr="00E53E07" w:rsidRDefault="00642A25" w:rsidP="00873429">
      <w:pPr>
        <w:pStyle w:val="Odstavecseseznamem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cstheme="minorHAnsi"/>
        </w:rPr>
      </w:pPr>
      <w:r w:rsidRPr="00E53E07">
        <w:rPr>
          <w:rFonts w:cstheme="minorHAnsi"/>
        </w:rPr>
        <w:t xml:space="preserve">Odměna je splatná na základě </w:t>
      </w:r>
      <w:r w:rsidR="00CA23F4" w:rsidRPr="00E53E07">
        <w:rPr>
          <w:rFonts w:cstheme="minorHAnsi"/>
        </w:rPr>
        <w:t xml:space="preserve">faktury vystavené do </w:t>
      </w:r>
      <w:r w:rsidR="00B42782" w:rsidRPr="00E53E07">
        <w:rPr>
          <w:rFonts w:cstheme="minorHAnsi"/>
        </w:rPr>
        <w:t>30</w:t>
      </w:r>
      <w:r w:rsidR="00CA23F4" w:rsidRPr="00E53E07">
        <w:rPr>
          <w:rFonts w:cstheme="minorHAnsi"/>
        </w:rPr>
        <w:t xml:space="preserve"> dnů po </w:t>
      </w:r>
      <w:r w:rsidR="009A7811" w:rsidRPr="00E53E07">
        <w:rPr>
          <w:rFonts w:cstheme="minorHAnsi"/>
        </w:rPr>
        <w:t xml:space="preserve">dokončení </w:t>
      </w:r>
      <w:r w:rsidR="00E53E07" w:rsidRPr="00E53E07">
        <w:rPr>
          <w:rFonts w:cstheme="minorHAnsi"/>
        </w:rPr>
        <w:t>služeb ÚHKT</w:t>
      </w:r>
      <w:r w:rsidR="00E82705" w:rsidRPr="00E53E07">
        <w:rPr>
          <w:rFonts w:cstheme="minorHAnsi"/>
        </w:rPr>
        <w:t xml:space="preserve"> spojen</w:t>
      </w:r>
      <w:r w:rsidR="00E53E07" w:rsidRPr="00E53E07">
        <w:rPr>
          <w:rFonts w:cstheme="minorHAnsi"/>
        </w:rPr>
        <w:t>ých</w:t>
      </w:r>
      <w:r w:rsidR="00E82705" w:rsidRPr="00E53E07">
        <w:rPr>
          <w:rFonts w:cstheme="minorHAnsi"/>
        </w:rPr>
        <w:t xml:space="preserve"> s</w:t>
      </w:r>
      <w:r w:rsidR="00A063DF" w:rsidRPr="00E53E07">
        <w:rPr>
          <w:rFonts w:cstheme="minorHAnsi"/>
        </w:rPr>
        <w:t xml:space="preserve"> přípravou a </w:t>
      </w:r>
      <w:r w:rsidR="00E82705" w:rsidRPr="00E53E07">
        <w:rPr>
          <w:rFonts w:cstheme="minorHAnsi"/>
        </w:rPr>
        <w:t xml:space="preserve">ředěním </w:t>
      </w:r>
      <w:r w:rsidR="00E53E07" w:rsidRPr="00E53E07">
        <w:rPr>
          <w:rFonts w:cstheme="minorHAnsi"/>
        </w:rPr>
        <w:t>daného</w:t>
      </w:r>
      <w:r w:rsidR="00E82705" w:rsidRPr="00E53E07">
        <w:rPr>
          <w:rFonts w:cstheme="minorHAnsi"/>
        </w:rPr>
        <w:t xml:space="preserve"> balení léčivého přípravku </w:t>
      </w:r>
      <w:proofErr w:type="spellStart"/>
      <w:r w:rsidR="00E82705" w:rsidRPr="00E53E07">
        <w:rPr>
          <w:rFonts w:cstheme="minorHAnsi"/>
        </w:rPr>
        <w:t>Luxturna</w:t>
      </w:r>
      <w:proofErr w:type="spellEnd"/>
      <w:r w:rsidR="00E82705" w:rsidRPr="00E53E07">
        <w:rPr>
          <w:rFonts w:cstheme="minorHAnsi"/>
        </w:rPr>
        <w:t xml:space="preserve"> dle čl. II. odst. 1 této smlouvy</w:t>
      </w:r>
      <w:r w:rsidR="00CA23F4" w:rsidRPr="00E53E07">
        <w:rPr>
          <w:rFonts w:cstheme="minorHAnsi"/>
        </w:rPr>
        <w:t>,</w:t>
      </w:r>
      <w:r w:rsidR="00E53E07">
        <w:rPr>
          <w:rFonts w:cstheme="minorHAnsi"/>
        </w:rPr>
        <w:t xml:space="preserve"> v souladu se Smlouvou s </w:t>
      </w:r>
      <w:proofErr w:type="spellStart"/>
      <w:r w:rsidR="00E53E07">
        <w:rPr>
          <w:rFonts w:cstheme="minorHAnsi"/>
        </w:rPr>
        <w:t>Novartis</w:t>
      </w:r>
      <w:proofErr w:type="spellEnd"/>
      <w:r w:rsidR="00E53E07">
        <w:rPr>
          <w:rFonts w:cstheme="minorHAnsi"/>
        </w:rPr>
        <w:t xml:space="preserve">, </w:t>
      </w:r>
      <w:r w:rsidR="00CA23F4" w:rsidRPr="00E53E07">
        <w:rPr>
          <w:rFonts w:cstheme="minorHAnsi"/>
        </w:rPr>
        <w:t>a to na účet ÚHKT uvedený v záhlaví této Smlouvy. Splatnost faktury j</w:t>
      </w:r>
      <w:r w:rsidR="001C407A" w:rsidRPr="00E53E07">
        <w:rPr>
          <w:rFonts w:cstheme="minorHAnsi"/>
        </w:rPr>
        <w:t>e</w:t>
      </w:r>
      <w:r w:rsidR="00CA23F4" w:rsidRPr="00E53E07">
        <w:rPr>
          <w:rFonts w:cstheme="minorHAnsi"/>
        </w:rPr>
        <w:t xml:space="preserve"> 30 dní od jejího doručení. </w:t>
      </w:r>
    </w:p>
    <w:p w14:paraId="2A365184" w14:textId="63BFEE21" w:rsidR="00E82705" w:rsidRPr="00E53E07" w:rsidRDefault="006C4A9E" w:rsidP="00873429">
      <w:pPr>
        <w:pStyle w:val="Odstavecseseznamem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cstheme="minorHAnsi"/>
        </w:rPr>
      </w:pPr>
      <w:r w:rsidRPr="00E53E07">
        <w:rPr>
          <w:rFonts w:cstheme="minorHAnsi"/>
        </w:rPr>
        <w:lastRenderedPageBreak/>
        <w:t xml:space="preserve">Nedohodnou-li se </w:t>
      </w:r>
      <w:r w:rsidR="00616CBC" w:rsidRPr="00E53E07">
        <w:rPr>
          <w:rFonts w:cstheme="minorHAnsi"/>
        </w:rPr>
        <w:t>S</w:t>
      </w:r>
      <w:r w:rsidRPr="00E53E07">
        <w:rPr>
          <w:rFonts w:cstheme="minorHAnsi"/>
        </w:rPr>
        <w:t xml:space="preserve">mluvní strany jinak, </w:t>
      </w:r>
      <w:r w:rsidR="00CA23F4" w:rsidRPr="00E53E07">
        <w:rPr>
          <w:rFonts w:cstheme="minorHAnsi"/>
        </w:rPr>
        <w:t>je m</w:t>
      </w:r>
      <w:r w:rsidR="00C91537" w:rsidRPr="00E53E07">
        <w:rPr>
          <w:rFonts w:cstheme="minorHAnsi"/>
        </w:rPr>
        <w:t>aximální</w:t>
      </w:r>
      <w:r w:rsidRPr="00E53E07">
        <w:rPr>
          <w:rFonts w:cstheme="minorHAnsi"/>
        </w:rPr>
        <w:t xml:space="preserve"> </w:t>
      </w:r>
      <w:r w:rsidR="00E82705" w:rsidRPr="00E53E07">
        <w:rPr>
          <w:rFonts w:cstheme="minorHAnsi"/>
        </w:rPr>
        <w:t>objem</w:t>
      </w:r>
      <w:r w:rsidR="009A7811" w:rsidRPr="00E53E07">
        <w:rPr>
          <w:rFonts w:cstheme="minorHAnsi"/>
        </w:rPr>
        <w:t xml:space="preserve"> Poskytovaných služeb </w:t>
      </w:r>
      <w:r w:rsidR="00CA23F4" w:rsidRPr="00E53E07">
        <w:rPr>
          <w:rFonts w:cstheme="minorHAnsi"/>
        </w:rPr>
        <w:t>ze strany ÚHKT</w:t>
      </w:r>
      <w:r w:rsidR="009A7811" w:rsidRPr="00E53E07">
        <w:rPr>
          <w:rFonts w:cstheme="minorHAnsi"/>
        </w:rPr>
        <w:t xml:space="preserve"> limitován na </w:t>
      </w:r>
      <w:r w:rsidR="00E53E07" w:rsidRPr="00E53E07">
        <w:rPr>
          <w:rFonts w:cstheme="minorHAnsi"/>
        </w:rPr>
        <w:t>10</w:t>
      </w:r>
      <w:r w:rsidR="009A7811" w:rsidRPr="00E53E07">
        <w:rPr>
          <w:rFonts w:cstheme="minorHAnsi"/>
        </w:rPr>
        <w:t xml:space="preserve"> balení </w:t>
      </w:r>
      <w:r w:rsidR="00E82705" w:rsidRPr="00E53E07">
        <w:rPr>
          <w:rFonts w:cstheme="minorHAnsi"/>
        </w:rPr>
        <w:t xml:space="preserve">léčivého přípravku </w:t>
      </w:r>
      <w:proofErr w:type="spellStart"/>
      <w:r w:rsidR="00E82705" w:rsidRPr="00E53E07">
        <w:rPr>
          <w:rFonts w:cstheme="minorHAnsi"/>
        </w:rPr>
        <w:t>Luxturna</w:t>
      </w:r>
      <w:proofErr w:type="spellEnd"/>
      <w:r w:rsidR="00E82705" w:rsidRPr="00E53E07">
        <w:rPr>
          <w:rFonts w:cstheme="minorHAnsi"/>
        </w:rPr>
        <w:t xml:space="preserve"> </w:t>
      </w:r>
      <w:r w:rsidR="009A7811" w:rsidRPr="00E53E07">
        <w:rPr>
          <w:rFonts w:cstheme="minorHAnsi"/>
        </w:rPr>
        <w:t>za</w:t>
      </w:r>
      <w:r w:rsidR="00CA23F4" w:rsidRPr="00E53E07">
        <w:rPr>
          <w:rFonts w:cstheme="minorHAnsi"/>
        </w:rPr>
        <w:t xml:space="preserve"> </w:t>
      </w:r>
      <w:r w:rsidR="00C36FC0" w:rsidRPr="00E53E07">
        <w:rPr>
          <w:rFonts w:cstheme="minorHAnsi"/>
        </w:rPr>
        <w:t xml:space="preserve">jeden </w:t>
      </w:r>
      <w:r w:rsidR="00CA23F4" w:rsidRPr="00E53E07">
        <w:rPr>
          <w:rFonts w:cstheme="minorHAnsi"/>
        </w:rPr>
        <w:t xml:space="preserve">kalendářní rok. </w:t>
      </w:r>
    </w:p>
    <w:p w14:paraId="56C98AE1" w14:textId="00FA61F2" w:rsidR="00E82705" w:rsidRPr="00873429" w:rsidRDefault="00E82705" w:rsidP="00873429">
      <w:pPr>
        <w:pStyle w:val="Odstavecseseznamem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O potřebě provést Poskytované služby bude ÚHKT ze strany VFN písemně vyrozuměn minimálně 15 dnů před poptávaným zahájením prací spojených s</w:t>
      </w:r>
      <w:r w:rsidR="00A063DF">
        <w:rPr>
          <w:rFonts w:cstheme="minorHAnsi"/>
        </w:rPr>
        <w:t> přípravou a</w:t>
      </w:r>
      <w:r>
        <w:rPr>
          <w:rFonts w:cstheme="minorHAnsi"/>
        </w:rPr>
        <w:t> ředěním předmětného léčivého přípravku, a to na e-mail</w:t>
      </w:r>
      <w:r w:rsidR="00E53E07">
        <w:rPr>
          <w:rFonts w:cstheme="minorHAnsi"/>
        </w:rPr>
        <w:t>ové adresy</w:t>
      </w:r>
      <w:r>
        <w:rPr>
          <w:rFonts w:cstheme="minorHAnsi"/>
        </w:rPr>
        <w:t>:</w:t>
      </w:r>
      <w:r w:rsidR="00E53E07" w:rsidRPr="00E53E07">
        <w:t xml:space="preserve"> </w:t>
      </w:r>
      <w:proofErr w:type="spellStart"/>
      <w:r w:rsidR="0075230F" w:rsidRPr="0075230F">
        <w:rPr>
          <w:rFonts w:cstheme="minorHAnsi"/>
        </w:rPr>
        <w:t>xxxxxx</w:t>
      </w:r>
      <w:proofErr w:type="spellEnd"/>
      <w:r w:rsidR="00E53E07">
        <w:rPr>
          <w:rFonts w:cstheme="minorHAnsi"/>
        </w:rPr>
        <w:t xml:space="preserve"> a</w:t>
      </w:r>
      <w:r w:rsidR="00E53E07" w:rsidRPr="00E53E07">
        <w:rPr>
          <w:rFonts w:cstheme="minorHAnsi"/>
        </w:rPr>
        <w:t xml:space="preserve"> </w:t>
      </w:r>
      <w:proofErr w:type="spellStart"/>
      <w:r w:rsidR="0075230F" w:rsidRPr="0075230F">
        <w:rPr>
          <w:rFonts w:cstheme="minorHAnsi"/>
        </w:rPr>
        <w:t>xxxxxx</w:t>
      </w:r>
      <w:proofErr w:type="spellEnd"/>
      <w:r w:rsidR="00E53E07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5CAD1CCE" w14:textId="098EED3A" w:rsidR="00E82705" w:rsidRDefault="00E82705" w:rsidP="00F27A0C">
      <w:pPr>
        <w:pStyle w:val="Odstavecseseznamem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Za účelem umožnění přítomnosti </w:t>
      </w:r>
      <w:r w:rsidR="00A063DF">
        <w:rPr>
          <w:rFonts w:cstheme="minorHAnsi"/>
        </w:rPr>
        <w:t xml:space="preserve">pověřených specialistů </w:t>
      </w:r>
      <w:r>
        <w:rPr>
          <w:rFonts w:cstheme="minorHAnsi"/>
        </w:rPr>
        <w:t xml:space="preserve">VFN v průběhu Poskytovaných služeb v prostorách ÚHKT uzavřou tito s ÚHKT písemné dohody o provedení práce. </w:t>
      </w:r>
      <w:r w:rsidR="00A063DF">
        <w:rPr>
          <w:rFonts w:cstheme="minorHAnsi"/>
        </w:rPr>
        <w:t>VFN se zavazuje tyto zaměstnance informovat o povinnosti absolvovat instruktáž ohledně mechanismu pohybu a práce v</w:t>
      </w:r>
      <w:r w:rsidR="00C36FC0">
        <w:rPr>
          <w:rFonts w:cstheme="minorHAnsi"/>
        </w:rPr>
        <w:t xml:space="preserve"> prostorách</w:t>
      </w:r>
      <w:r w:rsidR="00A063DF">
        <w:rPr>
          <w:rFonts w:cstheme="minorHAnsi"/>
        </w:rPr>
        <w:t xml:space="preserve"> ÚHKT. VFN bere na vědomí, že pověřeným specialistům VFN bude vstup do </w:t>
      </w:r>
      <w:r w:rsidR="00C36FC0">
        <w:rPr>
          <w:rFonts w:cstheme="minorHAnsi"/>
        </w:rPr>
        <w:t xml:space="preserve">prostor </w:t>
      </w:r>
      <w:r w:rsidR="00A063DF">
        <w:rPr>
          <w:rFonts w:cstheme="minorHAnsi"/>
        </w:rPr>
        <w:t xml:space="preserve">ÚHKT umožněn pouze za přítomnosti kmenových zaměstnanců ÚHKT, jejichž pokynů budou pověření specialisté VFN povinni dbát. </w:t>
      </w:r>
    </w:p>
    <w:p w14:paraId="064ECE92" w14:textId="530078CD" w:rsidR="002A0B3C" w:rsidRDefault="002A0B3C" w:rsidP="00CA23F4">
      <w:pPr>
        <w:spacing w:after="0" w:line="276" w:lineRule="auto"/>
        <w:jc w:val="both"/>
        <w:rPr>
          <w:rFonts w:eastAsia="Calibri" w:cstheme="minorHAnsi"/>
          <w:color w:val="000000"/>
        </w:rPr>
      </w:pPr>
    </w:p>
    <w:p w14:paraId="6C744C11" w14:textId="54792044" w:rsidR="00786302" w:rsidRPr="00F25042" w:rsidRDefault="00786302" w:rsidP="005933FD">
      <w:pPr>
        <w:spacing w:after="0" w:line="276" w:lineRule="auto"/>
        <w:jc w:val="center"/>
        <w:rPr>
          <w:rFonts w:eastAsia="Calibri" w:cstheme="minorHAnsi"/>
          <w:b/>
          <w:color w:val="000000"/>
        </w:rPr>
      </w:pPr>
      <w:r w:rsidRPr="00F25042">
        <w:rPr>
          <w:rFonts w:eastAsia="Calibri" w:cstheme="minorHAnsi"/>
          <w:b/>
          <w:color w:val="000000"/>
        </w:rPr>
        <w:t>I</w:t>
      </w:r>
      <w:r w:rsidR="00DF78FD">
        <w:rPr>
          <w:rFonts w:eastAsia="Calibri" w:cstheme="minorHAnsi"/>
          <w:b/>
          <w:color w:val="000000"/>
        </w:rPr>
        <w:t>V. Doba platnosti a účinnosti S</w:t>
      </w:r>
      <w:r w:rsidRPr="00F25042">
        <w:rPr>
          <w:rFonts w:eastAsia="Calibri" w:cstheme="minorHAnsi"/>
          <w:b/>
          <w:color w:val="000000"/>
        </w:rPr>
        <w:t>mlouvy</w:t>
      </w:r>
      <w:r w:rsidR="00F27A0C">
        <w:rPr>
          <w:rFonts w:eastAsia="Calibri" w:cstheme="minorHAnsi"/>
          <w:b/>
          <w:color w:val="000000"/>
        </w:rPr>
        <w:br/>
      </w:r>
    </w:p>
    <w:p w14:paraId="6848FC93" w14:textId="3E4C1452" w:rsidR="00F27A0C" w:rsidRPr="009A7811" w:rsidRDefault="0022071B" w:rsidP="009A7811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cstheme="minorHAnsi"/>
        </w:rPr>
      </w:pPr>
      <w:r w:rsidRPr="00F25042">
        <w:rPr>
          <w:rFonts w:eastAsia="Calibri" w:cstheme="minorHAnsi"/>
          <w:color w:val="000000"/>
        </w:rPr>
        <w:t>T</w:t>
      </w:r>
      <w:r>
        <w:rPr>
          <w:rFonts w:eastAsia="Calibri" w:cstheme="minorHAnsi"/>
          <w:color w:val="000000"/>
        </w:rPr>
        <w:t xml:space="preserve">ato </w:t>
      </w:r>
      <w:r w:rsidR="00DF78FD">
        <w:rPr>
          <w:rFonts w:eastAsia="Calibri" w:cstheme="minorHAnsi"/>
          <w:color w:val="000000"/>
        </w:rPr>
        <w:t>S</w:t>
      </w:r>
      <w:r>
        <w:rPr>
          <w:rFonts w:eastAsia="Calibri" w:cstheme="minorHAnsi"/>
          <w:color w:val="000000"/>
        </w:rPr>
        <w:t xml:space="preserve">mlouva se uzavírá na dobu </w:t>
      </w:r>
      <w:r w:rsidRPr="00F25042">
        <w:rPr>
          <w:rFonts w:eastAsia="Calibri" w:cstheme="minorHAnsi"/>
          <w:color w:val="000000"/>
        </w:rPr>
        <w:t xml:space="preserve">určitou, </w:t>
      </w:r>
      <w:r>
        <w:rPr>
          <w:rFonts w:cstheme="minorHAnsi"/>
        </w:rPr>
        <w:t>a to na d</w:t>
      </w:r>
      <w:r w:rsidR="00E53E07">
        <w:rPr>
          <w:rFonts w:cstheme="minorHAnsi"/>
        </w:rPr>
        <w:t>obu</w:t>
      </w:r>
      <w:r w:rsidR="00CA23F4">
        <w:rPr>
          <w:rFonts w:cstheme="minorHAnsi"/>
        </w:rPr>
        <w:t xml:space="preserve"> účinnosti Smlouvy s</w:t>
      </w:r>
      <w:r w:rsidR="00616CBC">
        <w:rPr>
          <w:rFonts w:cstheme="minorHAnsi"/>
        </w:rPr>
        <w:t> </w:t>
      </w:r>
      <w:proofErr w:type="spellStart"/>
      <w:r w:rsidR="00CA23F4">
        <w:rPr>
          <w:rFonts w:cstheme="minorHAnsi"/>
        </w:rPr>
        <w:t>Novartis</w:t>
      </w:r>
      <w:proofErr w:type="spellEnd"/>
      <w:r w:rsidR="00616CBC">
        <w:rPr>
          <w:rFonts w:cstheme="minorHAnsi"/>
        </w:rPr>
        <w:t>.</w:t>
      </w:r>
      <w:r w:rsidR="00CA23F4">
        <w:rPr>
          <w:rFonts w:cstheme="minorHAnsi"/>
        </w:rPr>
        <w:t xml:space="preserve"> </w:t>
      </w:r>
    </w:p>
    <w:p w14:paraId="743A393F" w14:textId="023327F2" w:rsidR="00C651D5" w:rsidRPr="009A7811" w:rsidRDefault="00D940D4" w:rsidP="009A7811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eastAsia="Calibri" w:cstheme="minorHAnsi"/>
          <w:color w:val="000000"/>
        </w:rPr>
      </w:pPr>
      <w:r w:rsidRPr="00C651D5">
        <w:rPr>
          <w:rFonts w:cstheme="minorHAnsi"/>
        </w:rPr>
        <w:t xml:space="preserve">Tato </w:t>
      </w:r>
      <w:r w:rsidR="008569CD" w:rsidRPr="00C651D5">
        <w:rPr>
          <w:rFonts w:cstheme="minorHAnsi"/>
        </w:rPr>
        <w:t>S</w:t>
      </w:r>
      <w:r w:rsidRPr="00C651D5">
        <w:rPr>
          <w:rFonts w:cstheme="minorHAnsi"/>
        </w:rPr>
        <w:t>mlouva</w:t>
      </w:r>
      <w:r w:rsidR="008B78BC" w:rsidRPr="00C651D5">
        <w:rPr>
          <w:rFonts w:eastAsia="Calibri" w:cstheme="minorHAnsi"/>
          <w:color w:val="000000"/>
        </w:rPr>
        <w:t xml:space="preserve"> </w:t>
      </w:r>
      <w:r w:rsidR="00786302" w:rsidRPr="00C651D5">
        <w:rPr>
          <w:rFonts w:eastAsia="Calibri" w:cstheme="minorHAnsi"/>
          <w:color w:val="000000"/>
        </w:rPr>
        <w:t xml:space="preserve">nabývá platnosti </w:t>
      </w:r>
      <w:r w:rsidRPr="00C651D5">
        <w:rPr>
          <w:rFonts w:eastAsia="Calibri" w:cstheme="minorHAnsi"/>
          <w:color w:val="000000"/>
        </w:rPr>
        <w:t>dnem jejího podpisu oběma</w:t>
      </w:r>
      <w:r w:rsidR="00D315B1" w:rsidRPr="00C651D5">
        <w:rPr>
          <w:rFonts w:eastAsia="Calibri" w:cstheme="minorHAnsi"/>
          <w:color w:val="000000"/>
        </w:rPr>
        <w:t xml:space="preserve"> </w:t>
      </w:r>
      <w:r w:rsidR="008569CD" w:rsidRPr="00C651D5">
        <w:rPr>
          <w:rFonts w:eastAsia="Calibri" w:cstheme="minorHAnsi"/>
          <w:color w:val="000000"/>
        </w:rPr>
        <w:t>S</w:t>
      </w:r>
      <w:r w:rsidR="00D315B1" w:rsidRPr="00C651D5">
        <w:rPr>
          <w:rFonts w:eastAsia="Calibri" w:cstheme="minorHAnsi"/>
          <w:color w:val="000000"/>
        </w:rPr>
        <w:t>mluvní</w:t>
      </w:r>
      <w:r w:rsidRPr="00C651D5">
        <w:rPr>
          <w:rFonts w:eastAsia="Calibri" w:cstheme="minorHAnsi"/>
          <w:color w:val="000000"/>
        </w:rPr>
        <w:t>mi</w:t>
      </w:r>
      <w:r w:rsidR="00786302" w:rsidRPr="00C651D5">
        <w:rPr>
          <w:rFonts w:eastAsia="Calibri" w:cstheme="minorHAnsi"/>
          <w:color w:val="000000"/>
        </w:rPr>
        <w:t xml:space="preserve"> stran</w:t>
      </w:r>
      <w:r w:rsidRPr="00C651D5">
        <w:rPr>
          <w:rFonts w:eastAsia="Calibri" w:cstheme="minorHAnsi"/>
          <w:color w:val="000000"/>
        </w:rPr>
        <w:t>ami</w:t>
      </w:r>
      <w:r w:rsidR="00C651D5" w:rsidRPr="00C651D5">
        <w:rPr>
          <w:rFonts w:eastAsia="Calibri" w:cstheme="minorHAnsi"/>
          <w:color w:val="000000"/>
        </w:rPr>
        <w:t xml:space="preserve"> </w:t>
      </w:r>
      <w:r w:rsidR="00C651D5">
        <w:rPr>
          <w:rFonts w:eastAsia="Calibri" w:cstheme="minorHAnsi"/>
          <w:color w:val="000000"/>
        </w:rPr>
        <w:t xml:space="preserve">a účinnosti dnem uveřejnění v registru smluv dle § 6 odst. 1 zákona č. 340/2015 Sb., zákona o registru smluv, ve znění pozdějších předpisů. Uveřejnění v registru smluv zajistí </w:t>
      </w:r>
      <w:r w:rsidR="00560867">
        <w:rPr>
          <w:rFonts w:eastAsia="Calibri" w:cstheme="minorHAnsi"/>
          <w:color w:val="000000"/>
        </w:rPr>
        <w:t>VFN</w:t>
      </w:r>
      <w:r w:rsidR="00C651D5">
        <w:rPr>
          <w:rFonts w:eastAsia="Calibri" w:cstheme="minorHAnsi"/>
          <w:color w:val="000000"/>
        </w:rPr>
        <w:t xml:space="preserve">. </w:t>
      </w:r>
    </w:p>
    <w:p w14:paraId="3078D62B" w14:textId="4D37B4F0" w:rsidR="00F27A0C" w:rsidRPr="00F27A0C" w:rsidRDefault="008569CD" w:rsidP="00F27A0C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cstheme="minorHAnsi"/>
        </w:rPr>
      </w:pPr>
      <w:r>
        <w:rPr>
          <w:rFonts w:eastAsia="Calibri" w:cstheme="minorHAnsi"/>
          <w:color w:val="000000"/>
        </w:rPr>
        <w:t>Tato S</w:t>
      </w:r>
      <w:r w:rsidR="00786302" w:rsidRPr="00F27A0C">
        <w:rPr>
          <w:rFonts w:eastAsia="Calibri" w:cstheme="minorHAnsi"/>
          <w:color w:val="000000"/>
        </w:rPr>
        <w:t>mlouva muže být měněna nebo doplňována pouze na základ</w:t>
      </w:r>
      <w:r w:rsidR="00D315B1" w:rsidRPr="00F27A0C">
        <w:rPr>
          <w:rFonts w:eastAsia="Calibri" w:cstheme="minorHAnsi"/>
          <w:color w:val="000000"/>
        </w:rPr>
        <w:t xml:space="preserve">ě dohody obou </w:t>
      </w:r>
      <w:r>
        <w:rPr>
          <w:rFonts w:eastAsia="Calibri" w:cstheme="minorHAnsi"/>
          <w:color w:val="000000"/>
        </w:rPr>
        <w:t>S</w:t>
      </w:r>
      <w:r w:rsidR="00D315B1" w:rsidRPr="00F27A0C">
        <w:rPr>
          <w:rFonts w:eastAsia="Calibri" w:cstheme="minorHAnsi"/>
          <w:color w:val="000000"/>
        </w:rPr>
        <w:t>mluvních stran pí</w:t>
      </w:r>
      <w:r w:rsidR="00786302" w:rsidRPr="00F27A0C">
        <w:rPr>
          <w:rFonts w:eastAsia="Calibri" w:cstheme="minorHAnsi"/>
          <w:color w:val="000000"/>
        </w:rPr>
        <w:t>semn</w:t>
      </w:r>
      <w:r>
        <w:rPr>
          <w:rFonts w:eastAsia="Calibri" w:cstheme="minorHAnsi"/>
          <w:color w:val="000000"/>
        </w:rPr>
        <w:t>ými číslovanými dodatky k této S</w:t>
      </w:r>
      <w:r w:rsidR="00786302" w:rsidRPr="00F27A0C">
        <w:rPr>
          <w:rFonts w:eastAsia="Calibri" w:cstheme="minorHAnsi"/>
          <w:color w:val="000000"/>
        </w:rPr>
        <w:t>mlouvě.</w:t>
      </w:r>
    </w:p>
    <w:p w14:paraId="7E5F9EC3" w14:textId="77777777" w:rsidR="00BF5901" w:rsidRPr="00F25042" w:rsidRDefault="00BF5901" w:rsidP="00C651D5">
      <w:pPr>
        <w:spacing w:after="0" w:line="276" w:lineRule="auto"/>
        <w:rPr>
          <w:rFonts w:eastAsia="Calibri" w:cstheme="minorHAnsi"/>
          <w:b/>
          <w:color w:val="000000"/>
        </w:rPr>
      </w:pPr>
    </w:p>
    <w:p w14:paraId="608E97A7" w14:textId="6EB96D67" w:rsidR="00BF5901" w:rsidRPr="00F25042" w:rsidRDefault="00BF5901" w:rsidP="00A063DF">
      <w:pPr>
        <w:spacing w:after="0" w:line="276" w:lineRule="auto"/>
        <w:jc w:val="center"/>
        <w:rPr>
          <w:rFonts w:eastAsia="Calibri" w:cstheme="minorHAnsi"/>
          <w:b/>
          <w:color w:val="000000"/>
        </w:rPr>
      </w:pPr>
      <w:r w:rsidRPr="00F25042">
        <w:rPr>
          <w:rFonts w:eastAsia="Calibri" w:cstheme="minorHAnsi"/>
          <w:b/>
          <w:color w:val="000000"/>
        </w:rPr>
        <w:t>V.</w:t>
      </w:r>
      <w:r w:rsidR="00A063DF">
        <w:rPr>
          <w:rFonts w:eastAsia="Calibri" w:cstheme="minorHAnsi"/>
          <w:b/>
          <w:color w:val="000000"/>
        </w:rPr>
        <w:t xml:space="preserve"> </w:t>
      </w:r>
      <w:r w:rsidR="003A4708" w:rsidRPr="00F25042">
        <w:rPr>
          <w:rFonts w:eastAsia="Calibri" w:cstheme="minorHAnsi"/>
          <w:b/>
          <w:color w:val="000000"/>
        </w:rPr>
        <w:t>Závěrečná u</w:t>
      </w:r>
      <w:r w:rsidR="003B07D2">
        <w:rPr>
          <w:rFonts w:eastAsia="Calibri" w:cstheme="minorHAnsi"/>
          <w:b/>
          <w:color w:val="000000"/>
        </w:rPr>
        <w:t>jednání</w:t>
      </w:r>
      <w:r w:rsidR="00F27A0C">
        <w:rPr>
          <w:rFonts w:eastAsia="Calibri" w:cstheme="minorHAnsi"/>
          <w:b/>
          <w:color w:val="000000"/>
        </w:rPr>
        <w:br/>
      </w:r>
    </w:p>
    <w:p w14:paraId="714B6450" w14:textId="2124D002" w:rsidR="00873429" w:rsidRPr="00873429" w:rsidRDefault="00BF5901" w:rsidP="00873429">
      <w:pPr>
        <w:pStyle w:val="Odstavecseseznamem"/>
        <w:numPr>
          <w:ilvl w:val="0"/>
          <w:numId w:val="14"/>
        </w:numPr>
        <w:spacing w:after="0" w:line="276" w:lineRule="auto"/>
        <w:ind w:left="426" w:hanging="426"/>
        <w:jc w:val="both"/>
        <w:rPr>
          <w:rFonts w:eastAsia="Calibri" w:cstheme="minorHAnsi"/>
          <w:color w:val="000000"/>
        </w:rPr>
      </w:pPr>
      <w:r w:rsidRPr="00F25042">
        <w:rPr>
          <w:rFonts w:eastAsia="Calibri" w:cstheme="minorHAnsi"/>
          <w:color w:val="000000"/>
        </w:rPr>
        <w:t xml:space="preserve">Tato </w:t>
      </w:r>
      <w:r w:rsidR="008569CD">
        <w:rPr>
          <w:rFonts w:eastAsia="Calibri" w:cstheme="minorHAnsi"/>
          <w:color w:val="000000"/>
        </w:rPr>
        <w:t>S</w:t>
      </w:r>
      <w:r w:rsidR="00486A8F" w:rsidRPr="00F25042">
        <w:rPr>
          <w:rFonts w:eastAsia="Calibri" w:cstheme="minorHAnsi"/>
          <w:color w:val="000000"/>
        </w:rPr>
        <w:t>mlouva je vyhotovena ve dvou</w:t>
      </w:r>
      <w:r w:rsidR="00D940D4">
        <w:rPr>
          <w:rFonts w:eastAsia="Calibri" w:cstheme="minorHAnsi"/>
          <w:color w:val="000000"/>
        </w:rPr>
        <w:t xml:space="preserve"> (2)</w:t>
      </w:r>
      <w:r w:rsidRPr="00F25042">
        <w:rPr>
          <w:rFonts w:eastAsia="Calibri" w:cstheme="minorHAnsi"/>
          <w:color w:val="000000"/>
        </w:rPr>
        <w:t xml:space="preserve"> </w:t>
      </w:r>
      <w:r w:rsidR="006F18CF" w:rsidRPr="00F25042">
        <w:rPr>
          <w:rFonts w:eastAsia="Calibri" w:cstheme="minorHAnsi"/>
          <w:color w:val="000000"/>
        </w:rPr>
        <w:t>vyhotoveních s</w:t>
      </w:r>
      <w:r w:rsidR="00D940D4">
        <w:rPr>
          <w:rFonts w:eastAsia="Calibri" w:cstheme="minorHAnsi"/>
          <w:color w:val="000000"/>
        </w:rPr>
        <w:t> </w:t>
      </w:r>
      <w:r w:rsidR="006F18CF" w:rsidRPr="00F25042">
        <w:rPr>
          <w:rFonts w:eastAsia="Calibri" w:cstheme="minorHAnsi"/>
          <w:color w:val="000000"/>
        </w:rPr>
        <w:t>platností</w:t>
      </w:r>
      <w:r w:rsidR="00D940D4">
        <w:rPr>
          <w:rFonts w:eastAsia="Calibri" w:cstheme="minorHAnsi"/>
          <w:color w:val="000000"/>
        </w:rPr>
        <w:t xml:space="preserve"> originálu</w:t>
      </w:r>
      <w:r w:rsidRPr="00F25042">
        <w:rPr>
          <w:rFonts w:eastAsia="Calibri" w:cstheme="minorHAnsi"/>
          <w:color w:val="000000"/>
        </w:rPr>
        <w:t xml:space="preserve">, z nichž každá ze </w:t>
      </w:r>
      <w:r w:rsidR="008569CD">
        <w:rPr>
          <w:rFonts w:eastAsia="Calibri" w:cstheme="minorHAnsi"/>
          <w:color w:val="000000"/>
        </w:rPr>
        <w:t>S</w:t>
      </w:r>
      <w:r w:rsidRPr="00F25042">
        <w:rPr>
          <w:rFonts w:eastAsia="Calibri" w:cstheme="minorHAnsi"/>
          <w:color w:val="000000"/>
        </w:rPr>
        <w:t>mluvních stra</w:t>
      </w:r>
      <w:r w:rsidR="00486A8F" w:rsidRPr="00F25042">
        <w:rPr>
          <w:rFonts w:eastAsia="Calibri" w:cstheme="minorHAnsi"/>
          <w:color w:val="000000"/>
        </w:rPr>
        <w:t>n obdrží po jednom</w:t>
      </w:r>
      <w:r w:rsidRPr="00F25042">
        <w:rPr>
          <w:rFonts w:eastAsia="Calibri" w:cstheme="minorHAnsi"/>
          <w:color w:val="000000"/>
        </w:rPr>
        <w:t xml:space="preserve">. </w:t>
      </w:r>
      <w:r w:rsidR="00873429" w:rsidRPr="00873429">
        <w:rPr>
          <w:rFonts w:eastAsia="Calibri" w:cstheme="minorHAnsi"/>
          <w:color w:val="000000"/>
        </w:rPr>
        <w:t>Je-li tato smlouva podepisována elektronicky, každá ze smluvních stran obdrží její shodné</w:t>
      </w:r>
      <w:r w:rsidR="00873429">
        <w:rPr>
          <w:rFonts w:eastAsia="Calibri" w:cstheme="minorHAnsi"/>
          <w:color w:val="000000"/>
        </w:rPr>
        <w:t xml:space="preserve"> </w:t>
      </w:r>
      <w:r w:rsidR="00873429" w:rsidRPr="00873429">
        <w:rPr>
          <w:rFonts w:eastAsia="Calibri" w:cstheme="minorHAnsi"/>
          <w:color w:val="000000"/>
        </w:rPr>
        <w:t>elektronicky podepsané vyhotovení.</w:t>
      </w:r>
    </w:p>
    <w:p w14:paraId="12E9C041" w14:textId="6E8B0B60" w:rsidR="00F27A0C" w:rsidRPr="009A7811" w:rsidRDefault="00C651D5" w:rsidP="009A7811">
      <w:pPr>
        <w:pStyle w:val="Odstavecseseznamem"/>
        <w:numPr>
          <w:ilvl w:val="0"/>
          <w:numId w:val="14"/>
        </w:numPr>
        <w:spacing w:after="0" w:line="276" w:lineRule="auto"/>
        <w:ind w:left="426" w:hanging="426"/>
        <w:jc w:val="both"/>
        <w:rPr>
          <w:rFonts w:eastAsia="Calibri" w:cstheme="minorHAnsi"/>
          <w:color w:val="000000"/>
        </w:rPr>
      </w:pPr>
      <w:r w:rsidRPr="00C651D5">
        <w:rPr>
          <w:rFonts w:eastAsia="Calibri" w:cstheme="minorHAnsi"/>
          <w:color w:val="000000"/>
        </w:rPr>
        <w:t>V případě, že se některé ustanovení t</w:t>
      </w:r>
      <w:r>
        <w:rPr>
          <w:rFonts w:eastAsia="Calibri" w:cstheme="minorHAnsi"/>
          <w:color w:val="000000"/>
        </w:rPr>
        <w:t>éto Smlouvy</w:t>
      </w:r>
      <w:r w:rsidRPr="00C651D5">
        <w:rPr>
          <w:rFonts w:eastAsia="Calibri" w:cstheme="minorHAnsi"/>
          <w:color w:val="000000"/>
        </w:rPr>
        <w:t xml:space="preserve"> ukáže neplatným, neúčinným či</w:t>
      </w:r>
      <w:r>
        <w:rPr>
          <w:rFonts w:eastAsia="Calibri" w:cstheme="minorHAnsi"/>
          <w:color w:val="000000"/>
        </w:rPr>
        <w:t xml:space="preserve"> </w:t>
      </w:r>
      <w:r w:rsidRPr="00C651D5">
        <w:rPr>
          <w:rFonts w:eastAsia="Calibri" w:cstheme="minorHAnsi"/>
          <w:color w:val="000000"/>
        </w:rPr>
        <w:t>nevymahatelným anebo některé ustanovení chybí, zůstávají ostatní ustanovení t</w:t>
      </w:r>
      <w:r>
        <w:rPr>
          <w:rFonts w:eastAsia="Calibri" w:cstheme="minorHAnsi"/>
          <w:color w:val="000000"/>
        </w:rPr>
        <w:t xml:space="preserve">éto Smlouvy </w:t>
      </w:r>
      <w:r w:rsidRPr="00C651D5">
        <w:rPr>
          <w:rFonts w:eastAsia="Calibri" w:cstheme="minorHAnsi"/>
          <w:color w:val="000000"/>
        </w:rPr>
        <w:t>touto skutečností nedotčena. Smluvní strany se dohodnou na náhradě takového</w:t>
      </w:r>
      <w:r>
        <w:rPr>
          <w:rFonts w:eastAsia="Calibri" w:cstheme="minorHAnsi"/>
          <w:color w:val="000000"/>
        </w:rPr>
        <w:t xml:space="preserve"> </w:t>
      </w:r>
      <w:r w:rsidRPr="00C651D5">
        <w:rPr>
          <w:rFonts w:eastAsia="Calibri" w:cstheme="minorHAnsi"/>
          <w:color w:val="000000"/>
        </w:rPr>
        <w:t>neplatného neúčinného či nevymahatelného ustanovení za ustanovení jiné, které nejlépe</w:t>
      </w:r>
      <w:r>
        <w:rPr>
          <w:rFonts w:eastAsia="Calibri" w:cstheme="minorHAnsi"/>
          <w:color w:val="000000"/>
        </w:rPr>
        <w:t xml:space="preserve"> </w:t>
      </w:r>
      <w:r w:rsidRPr="00C651D5">
        <w:rPr>
          <w:rFonts w:eastAsia="Calibri" w:cstheme="minorHAnsi"/>
          <w:color w:val="000000"/>
        </w:rPr>
        <w:t>splňuje tytéž účely jako ustanovení neplatné, neúčinné a nevymahatelné.</w:t>
      </w:r>
    </w:p>
    <w:p w14:paraId="29420A92" w14:textId="1B24A10A" w:rsidR="009A7811" w:rsidRDefault="00786302" w:rsidP="005933FD">
      <w:pPr>
        <w:pStyle w:val="Odstavecseseznamem"/>
        <w:numPr>
          <w:ilvl w:val="0"/>
          <w:numId w:val="14"/>
        </w:numPr>
        <w:spacing w:after="0" w:line="276" w:lineRule="auto"/>
        <w:ind w:left="426" w:hanging="426"/>
        <w:jc w:val="both"/>
        <w:rPr>
          <w:rFonts w:eastAsia="Calibri" w:cstheme="minorHAnsi"/>
          <w:color w:val="000000"/>
        </w:rPr>
      </w:pPr>
      <w:r w:rsidRPr="00F27A0C">
        <w:rPr>
          <w:rFonts w:eastAsia="Calibri" w:cstheme="minorHAnsi"/>
          <w:color w:val="000000"/>
        </w:rPr>
        <w:t>Smluvní strany prohlašu</w:t>
      </w:r>
      <w:r w:rsidR="003A4708" w:rsidRPr="00F27A0C">
        <w:rPr>
          <w:rFonts w:eastAsia="Calibri" w:cstheme="minorHAnsi"/>
          <w:color w:val="000000"/>
        </w:rPr>
        <w:t>jí</w:t>
      </w:r>
      <w:r w:rsidR="00BF5901" w:rsidRPr="00F27A0C">
        <w:rPr>
          <w:rFonts w:eastAsia="Calibri" w:cstheme="minorHAnsi"/>
          <w:color w:val="000000"/>
        </w:rPr>
        <w:t xml:space="preserve">, že si tuto </w:t>
      </w:r>
      <w:r w:rsidR="008569CD">
        <w:rPr>
          <w:rFonts w:eastAsia="Calibri" w:cstheme="minorHAnsi"/>
          <w:color w:val="000000"/>
        </w:rPr>
        <w:t>S</w:t>
      </w:r>
      <w:r w:rsidR="00BF5901" w:rsidRPr="00F27A0C">
        <w:rPr>
          <w:rFonts w:eastAsia="Calibri" w:cstheme="minorHAnsi"/>
          <w:color w:val="000000"/>
        </w:rPr>
        <w:t>mlouvu před její</w:t>
      </w:r>
      <w:r w:rsidRPr="00F27A0C">
        <w:rPr>
          <w:rFonts w:eastAsia="Calibri" w:cstheme="minorHAnsi"/>
          <w:color w:val="000000"/>
        </w:rPr>
        <w:t xml:space="preserve">m podpisem přečetly, že byla uzavřena po vzájemném projednání </w:t>
      </w:r>
      <w:r w:rsidR="003A4708" w:rsidRPr="00F27A0C">
        <w:rPr>
          <w:rFonts w:eastAsia="Calibri" w:cstheme="minorHAnsi"/>
          <w:color w:val="000000"/>
        </w:rPr>
        <w:t>podle jejich pravé a svobodné vůle, určitě, vážné a srozumitelně</w:t>
      </w:r>
      <w:r w:rsidRPr="00F27A0C">
        <w:rPr>
          <w:rFonts w:eastAsia="Calibri" w:cstheme="minorHAnsi"/>
          <w:color w:val="000000"/>
        </w:rPr>
        <w:t xml:space="preserve"> nikoli v tísni za nápadné nevýhodných podmínek.</w:t>
      </w:r>
    </w:p>
    <w:p w14:paraId="49EE5A51" w14:textId="77777777" w:rsidR="00873429" w:rsidRPr="00873429" w:rsidRDefault="00873429" w:rsidP="00873429">
      <w:pPr>
        <w:spacing w:after="0" w:line="276" w:lineRule="auto"/>
        <w:jc w:val="both"/>
        <w:rPr>
          <w:rFonts w:eastAsia="Calibri" w:cstheme="minorHAnsi"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1275"/>
        <w:gridCol w:w="3964"/>
      </w:tblGrid>
      <w:tr w:rsidR="00EE20F9" w14:paraId="23F58ABF" w14:textId="77777777" w:rsidTr="00EE20F9"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CBEA1E" w14:textId="77777777" w:rsidR="00A063DF" w:rsidRDefault="00A063DF" w:rsidP="005933FD">
            <w:pPr>
              <w:spacing w:line="276" w:lineRule="auto"/>
              <w:contextualSpacing/>
              <w:jc w:val="both"/>
              <w:rPr>
                <w:rFonts w:eastAsia="Calibri" w:cstheme="minorHAnsi"/>
                <w:color w:val="000000"/>
              </w:rPr>
            </w:pPr>
            <w:bookmarkStart w:id="3" w:name="_Hlk52974097"/>
          </w:p>
          <w:p w14:paraId="5EBEFB10" w14:textId="37415007" w:rsidR="00EE20F9" w:rsidRDefault="00EE20F9" w:rsidP="005933FD">
            <w:pPr>
              <w:spacing w:line="276" w:lineRule="auto"/>
              <w:contextualSpacing/>
              <w:jc w:val="both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V Praze dne ___________</w:t>
            </w:r>
          </w:p>
          <w:p w14:paraId="3714BE68" w14:textId="77777777" w:rsidR="009A7811" w:rsidRDefault="009A7811" w:rsidP="005933FD">
            <w:pPr>
              <w:spacing w:line="276" w:lineRule="auto"/>
              <w:contextualSpacing/>
              <w:jc w:val="both"/>
              <w:rPr>
                <w:rFonts w:eastAsia="Calibri" w:cstheme="minorHAnsi"/>
                <w:color w:val="000000"/>
              </w:rPr>
            </w:pPr>
          </w:p>
          <w:p w14:paraId="5E1252D9" w14:textId="77777777" w:rsidR="00A063DF" w:rsidRDefault="00A063DF" w:rsidP="005933FD">
            <w:pPr>
              <w:spacing w:line="276" w:lineRule="auto"/>
              <w:contextualSpacing/>
              <w:jc w:val="both"/>
              <w:rPr>
                <w:rFonts w:eastAsia="Calibri" w:cstheme="minorHAnsi"/>
                <w:color w:val="000000"/>
              </w:rPr>
            </w:pPr>
          </w:p>
          <w:p w14:paraId="7002570E" w14:textId="77777777" w:rsidR="00A063DF" w:rsidRDefault="00A063DF" w:rsidP="005933FD">
            <w:pPr>
              <w:spacing w:line="276" w:lineRule="auto"/>
              <w:contextualSpacing/>
              <w:jc w:val="both"/>
              <w:rPr>
                <w:rFonts w:eastAsia="Calibri" w:cstheme="minorHAnsi"/>
                <w:color w:val="000000"/>
              </w:rPr>
            </w:pPr>
          </w:p>
          <w:p w14:paraId="779A723D" w14:textId="70B15962" w:rsidR="00EE20F9" w:rsidRDefault="00EE20F9" w:rsidP="005933FD">
            <w:pPr>
              <w:spacing w:line="276" w:lineRule="auto"/>
              <w:contextualSpacing/>
              <w:jc w:val="both"/>
              <w:rPr>
                <w:rFonts w:eastAsia="Calibri" w:cstheme="minorHAns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B1D7868" w14:textId="77777777" w:rsidR="00EE20F9" w:rsidRDefault="00EE20F9" w:rsidP="005933FD">
            <w:pPr>
              <w:spacing w:line="276" w:lineRule="auto"/>
              <w:contextualSpacing/>
              <w:jc w:val="both"/>
              <w:rPr>
                <w:rFonts w:eastAsia="Calibri" w:cstheme="minorHAnsi"/>
                <w:color w:val="000000"/>
              </w:rPr>
            </w:pP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01ACBF" w14:textId="77777777" w:rsidR="00873429" w:rsidRDefault="00873429" w:rsidP="00EE20F9">
            <w:pPr>
              <w:spacing w:line="276" w:lineRule="auto"/>
              <w:contextualSpacing/>
              <w:jc w:val="both"/>
              <w:rPr>
                <w:rFonts w:eastAsia="Calibri" w:cstheme="minorHAnsi"/>
                <w:color w:val="000000"/>
              </w:rPr>
            </w:pPr>
          </w:p>
          <w:p w14:paraId="1DA44B3D" w14:textId="312FC52F" w:rsidR="00EE20F9" w:rsidRDefault="00EE20F9" w:rsidP="00EE20F9">
            <w:pPr>
              <w:spacing w:line="276" w:lineRule="auto"/>
              <w:contextualSpacing/>
              <w:jc w:val="both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V </w:t>
            </w:r>
            <w:r w:rsidR="002B499C">
              <w:rPr>
                <w:rFonts w:eastAsia="Calibri" w:cstheme="minorHAnsi"/>
                <w:color w:val="000000"/>
              </w:rPr>
              <w:t xml:space="preserve">Praze </w:t>
            </w:r>
            <w:r>
              <w:rPr>
                <w:rFonts w:eastAsia="Calibri" w:cstheme="minorHAnsi"/>
                <w:color w:val="000000"/>
              </w:rPr>
              <w:t>dne ___________</w:t>
            </w:r>
          </w:p>
          <w:p w14:paraId="34A11D80" w14:textId="77777777" w:rsidR="00EE20F9" w:rsidRDefault="00EE20F9" w:rsidP="005933FD">
            <w:pPr>
              <w:spacing w:line="276" w:lineRule="auto"/>
              <w:contextualSpacing/>
              <w:jc w:val="both"/>
              <w:rPr>
                <w:rFonts w:eastAsia="Calibri" w:cstheme="minorHAnsi"/>
                <w:color w:val="000000"/>
              </w:rPr>
            </w:pPr>
          </w:p>
        </w:tc>
      </w:tr>
    </w:tbl>
    <w:p w14:paraId="669960F6" w14:textId="706F2D7D" w:rsidR="006307DD" w:rsidRPr="002B499C" w:rsidRDefault="002B499C" w:rsidP="005933FD">
      <w:pPr>
        <w:spacing w:after="0" w:line="276" w:lineRule="auto"/>
        <w:contextualSpacing/>
        <w:jc w:val="both"/>
        <w:rPr>
          <w:rFonts w:eastAsia="Calibri" w:cstheme="minorHAnsi"/>
          <w:b/>
          <w:bCs/>
          <w:color w:val="000000"/>
        </w:rPr>
      </w:pPr>
      <w:r w:rsidRPr="002B499C">
        <w:rPr>
          <w:rFonts w:eastAsia="Calibri" w:cstheme="minorHAnsi"/>
          <w:b/>
          <w:bCs/>
          <w:color w:val="000000"/>
        </w:rPr>
        <w:t xml:space="preserve">Ústav hematologie a krevní transfuze </w:t>
      </w:r>
      <w:r w:rsidRPr="002B499C">
        <w:rPr>
          <w:rFonts w:eastAsia="Calibri" w:cstheme="minorHAnsi"/>
          <w:b/>
          <w:bCs/>
          <w:color w:val="000000"/>
        </w:rPr>
        <w:tab/>
      </w:r>
      <w:r w:rsidRPr="002B499C">
        <w:rPr>
          <w:rFonts w:eastAsia="Calibri" w:cstheme="minorHAnsi"/>
          <w:b/>
          <w:bCs/>
          <w:color w:val="000000"/>
        </w:rPr>
        <w:tab/>
      </w:r>
      <w:r w:rsidRPr="002B499C">
        <w:rPr>
          <w:rFonts w:eastAsia="Calibri" w:cstheme="minorHAnsi"/>
          <w:b/>
          <w:bCs/>
          <w:color w:val="000000"/>
        </w:rPr>
        <w:tab/>
        <w:t>Všeobecná fakultní nemocnice</w:t>
      </w:r>
    </w:p>
    <w:p w14:paraId="321E4D72" w14:textId="07144366" w:rsidR="008404CA" w:rsidRPr="000D4C19" w:rsidRDefault="002B499C" w:rsidP="000D4C19">
      <w:pPr>
        <w:spacing w:after="0" w:line="276" w:lineRule="auto"/>
        <w:contextualSpacing/>
        <w:jc w:val="both"/>
        <w:rPr>
          <w:rFonts w:eastAsia="Calibri" w:cstheme="minorHAnsi"/>
          <w:color w:val="000000"/>
        </w:rPr>
      </w:pPr>
      <w:r w:rsidRPr="002B499C">
        <w:rPr>
          <w:rFonts w:eastAsia="Calibri" w:cstheme="minorHAnsi"/>
          <w:color w:val="000000"/>
        </w:rPr>
        <w:t>prof. MUDr. Petr Cetkovský, Ph.D., MBA, ředitel</w:t>
      </w:r>
      <w:r>
        <w:rPr>
          <w:rFonts w:eastAsia="Calibri" w:cstheme="minorHAnsi"/>
          <w:color w:val="000000"/>
        </w:rPr>
        <w:tab/>
      </w:r>
      <w:r w:rsidRPr="002B499C">
        <w:rPr>
          <w:rFonts w:eastAsia="Calibri" w:cstheme="minorHAnsi"/>
          <w:color w:val="000000"/>
        </w:rPr>
        <w:t>prof. MUDr. David Feltl, Ph.D., MBA, ředitel</w:t>
      </w:r>
      <w:bookmarkEnd w:id="3"/>
    </w:p>
    <w:sectPr w:rsidR="008404CA" w:rsidRPr="000D4C1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E52F9E" w14:textId="77777777" w:rsidR="007B4F5E" w:rsidRDefault="007B4F5E" w:rsidP="00431ADC">
      <w:pPr>
        <w:spacing w:after="0" w:line="240" w:lineRule="auto"/>
      </w:pPr>
      <w:r>
        <w:separator/>
      </w:r>
    </w:p>
  </w:endnote>
  <w:endnote w:type="continuationSeparator" w:id="0">
    <w:p w14:paraId="2F40B0E3" w14:textId="77777777" w:rsidR="007B4F5E" w:rsidRDefault="007B4F5E" w:rsidP="00431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4F17A" w14:textId="77777777" w:rsidR="004954BF" w:rsidRDefault="004954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34673980"/>
      <w:docPartObj>
        <w:docPartGallery w:val="Page Numbers (Bottom of Page)"/>
        <w:docPartUnique/>
      </w:docPartObj>
    </w:sdtPr>
    <w:sdtEndPr/>
    <w:sdtContent>
      <w:p w14:paraId="5DDD534A" w14:textId="77777777" w:rsidR="00431ADC" w:rsidRDefault="00431AD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B39">
          <w:rPr>
            <w:noProof/>
          </w:rPr>
          <w:t>1</w:t>
        </w:r>
        <w:r>
          <w:fldChar w:fldCharType="end"/>
        </w:r>
      </w:p>
    </w:sdtContent>
  </w:sdt>
  <w:p w14:paraId="0ED1321A" w14:textId="77777777" w:rsidR="00431ADC" w:rsidRDefault="00431AD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D8BEA4" w14:textId="77777777" w:rsidR="004954BF" w:rsidRDefault="004954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0A6B8" w14:textId="77777777" w:rsidR="007B4F5E" w:rsidRDefault="007B4F5E" w:rsidP="00431ADC">
      <w:pPr>
        <w:spacing w:after="0" w:line="240" w:lineRule="auto"/>
      </w:pPr>
      <w:r>
        <w:separator/>
      </w:r>
    </w:p>
  </w:footnote>
  <w:footnote w:type="continuationSeparator" w:id="0">
    <w:p w14:paraId="173E0C11" w14:textId="77777777" w:rsidR="007B4F5E" w:rsidRDefault="007B4F5E" w:rsidP="00431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134BC" w14:textId="77777777" w:rsidR="004954BF" w:rsidRDefault="004954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84719" w14:textId="77777777" w:rsidR="004954BF" w:rsidRDefault="004954B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B3BB0" w14:textId="77777777" w:rsidR="004954BF" w:rsidRDefault="004954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F6C92"/>
    <w:multiLevelType w:val="hybridMultilevel"/>
    <w:tmpl w:val="E23A873A"/>
    <w:lvl w:ilvl="0" w:tplc="E3D276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7E3ECA"/>
    <w:multiLevelType w:val="hybridMultilevel"/>
    <w:tmpl w:val="18C6C788"/>
    <w:lvl w:ilvl="0" w:tplc="04050019">
      <w:start w:val="1"/>
      <w:numFmt w:val="lowerLetter"/>
      <w:lvlText w:val="%1."/>
      <w:lvlJc w:val="left"/>
      <w:pPr>
        <w:ind w:left="19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64" w:hanging="360"/>
      </w:pPr>
    </w:lvl>
    <w:lvl w:ilvl="2" w:tplc="0405001B" w:tentative="1">
      <w:start w:val="1"/>
      <w:numFmt w:val="lowerRoman"/>
      <w:lvlText w:val="%3."/>
      <w:lvlJc w:val="right"/>
      <w:pPr>
        <w:ind w:left="3384" w:hanging="180"/>
      </w:pPr>
    </w:lvl>
    <w:lvl w:ilvl="3" w:tplc="0405000F" w:tentative="1">
      <w:start w:val="1"/>
      <w:numFmt w:val="decimal"/>
      <w:lvlText w:val="%4."/>
      <w:lvlJc w:val="left"/>
      <w:pPr>
        <w:ind w:left="4104" w:hanging="360"/>
      </w:pPr>
    </w:lvl>
    <w:lvl w:ilvl="4" w:tplc="04050019" w:tentative="1">
      <w:start w:val="1"/>
      <w:numFmt w:val="lowerLetter"/>
      <w:lvlText w:val="%5."/>
      <w:lvlJc w:val="left"/>
      <w:pPr>
        <w:ind w:left="4824" w:hanging="360"/>
      </w:pPr>
    </w:lvl>
    <w:lvl w:ilvl="5" w:tplc="0405001B" w:tentative="1">
      <w:start w:val="1"/>
      <w:numFmt w:val="lowerRoman"/>
      <w:lvlText w:val="%6."/>
      <w:lvlJc w:val="right"/>
      <w:pPr>
        <w:ind w:left="5544" w:hanging="180"/>
      </w:pPr>
    </w:lvl>
    <w:lvl w:ilvl="6" w:tplc="0405000F" w:tentative="1">
      <w:start w:val="1"/>
      <w:numFmt w:val="decimal"/>
      <w:lvlText w:val="%7."/>
      <w:lvlJc w:val="left"/>
      <w:pPr>
        <w:ind w:left="6264" w:hanging="360"/>
      </w:pPr>
    </w:lvl>
    <w:lvl w:ilvl="7" w:tplc="04050019" w:tentative="1">
      <w:start w:val="1"/>
      <w:numFmt w:val="lowerLetter"/>
      <w:lvlText w:val="%8."/>
      <w:lvlJc w:val="left"/>
      <w:pPr>
        <w:ind w:left="6984" w:hanging="360"/>
      </w:pPr>
    </w:lvl>
    <w:lvl w:ilvl="8" w:tplc="040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" w15:restartNumberingAfterBreak="0">
    <w:nsid w:val="0736575D"/>
    <w:multiLevelType w:val="hybridMultilevel"/>
    <w:tmpl w:val="AA60C5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52201"/>
    <w:multiLevelType w:val="hybridMultilevel"/>
    <w:tmpl w:val="873A62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F496C"/>
    <w:multiLevelType w:val="hybridMultilevel"/>
    <w:tmpl w:val="2438F4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00520"/>
    <w:multiLevelType w:val="hybridMultilevel"/>
    <w:tmpl w:val="91701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C3602"/>
    <w:multiLevelType w:val="hybridMultilevel"/>
    <w:tmpl w:val="766803C4"/>
    <w:lvl w:ilvl="0" w:tplc="F336F4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4232C"/>
    <w:multiLevelType w:val="multilevel"/>
    <w:tmpl w:val="302A4162"/>
    <w:lvl w:ilvl="0">
      <w:start w:val="2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14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DD766F"/>
    <w:multiLevelType w:val="hybridMultilevel"/>
    <w:tmpl w:val="551C7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8100E"/>
    <w:multiLevelType w:val="hybridMultilevel"/>
    <w:tmpl w:val="383E2F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30C38"/>
    <w:multiLevelType w:val="hybridMultilevel"/>
    <w:tmpl w:val="0770D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B328E"/>
    <w:multiLevelType w:val="hybridMultilevel"/>
    <w:tmpl w:val="4B241FA6"/>
    <w:lvl w:ilvl="0" w:tplc="3D566D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4885"/>
    <w:multiLevelType w:val="hybridMultilevel"/>
    <w:tmpl w:val="89FAD7D4"/>
    <w:lvl w:ilvl="0" w:tplc="5E5AFD9C">
      <w:start w:val="1"/>
      <w:numFmt w:val="decimal"/>
      <w:lvlText w:val="%1."/>
      <w:lvlJc w:val="left"/>
      <w:pPr>
        <w:ind w:left="1146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B9702F7"/>
    <w:multiLevelType w:val="hybridMultilevel"/>
    <w:tmpl w:val="199E071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C58731A"/>
    <w:multiLevelType w:val="hybridMultilevel"/>
    <w:tmpl w:val="D702F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234C0"/>
    <w:multiLevelType w:val="hybridMultilevel"/>
    <w:tmpl w:val="0E2068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44989"/>
    <w:multiLevelType w:val="hybridMultilevel"/>
    <w:tmpl w:val="C70CA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D47DE"/>
    <w:multiLevelType w:val="hybridMultilevel"/>
    <w:tmpl w:val="85BCE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D540F"/>
    <w:multiLevelType w:val="hybridMultilevel"/>
    <w:tmpl w:val="59B25EB0"/>
    <w:lvl w:ilvl="0" w:tplc="089A53E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4DE30FD"/>
    <w:multiLevelType w:val="hybridMultilevel"/>
    <w:tmpl w:val="9278B3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83F20"/>
    <w:multiLevelType w:val="hybridMultilevel"/>
    <w:tmpl w:val="55A6325C"/>
    <w:lvl w:ilvl="0" w:tplc="3D566D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B4850"/>
    <w:multiLevelType w:val="hybridMultilevel"/>
    <w:tmpl w:val="E12269EC"/>
    <w:lvl w:ilvl="0" w:tplc="E3D276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380610"/>
    <w:multiLevelType w:val="hybridMultilevel"/>
    <w:tmpl w:val="49DCD38A"/>
    <w:lvl w:ilvl="0" w:tplc="D79ABF5E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60FA3192"/>
    <w:multiLevelType w:val="multilevel"/>
    <w:tmpl w:val="34E0F3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5386DB8"/>
    <w:multiLevelType w:val="hybridMultilevel"/>
    <w:tmpl w:val="484E6A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0D0B93"/>
    <w:multiLevelType w:val="hybridMultilevel"/>
    <w:tmpl w:val="53AA19DA"/>
    <w:lvl w:ilvl="0" w:tplc="E3F2432C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743D2137"/>
    <w:multiLevelType w:val="hybridMultilevel"/>
    <w:tmpl w:val="BAF264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DD1916"/>
    <w:multiLevelType w:val="hybridMultilevel"/>
    <w:tmpl w:val="A04AE8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E468E0"/>
    <w:multiLevelType w:val="hybridMultilevel"/>
    <w:tmpl w:val="394CA1D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8"/>
  </w:num>
  <w:num w:numId="3">
    <w:abstractNumId w:val="10"/>
  </w:num>
  <w:num w:numId="4">
    <w:abstractNumId w:val="12"/>
  </w:num>
  <w:num w:numId="5">
    <w:abstractNumId w:val="13"/>
  </w:num>
  <w:num w:numId="6">
    <w:abstractNumId w:val="3"/>
  </w:num>
  <w:num w:numId="7">
    <w:abstractNumId w:val="23"/>
  </w:num>
  <w:num w:numId="8">
    <w:abstractNumId w:val="1"/>
  </w:num>
  <w:num w:numId="9">
    <w:abstractNumId w:val="22"/>
  </w:num>
  <w:num w:numId="10">
    <w:abstractNumId w:val="24"/>
  </w:num>
  <w:num w:numId="11">
    <w:abstractNumId w:val="7"/>
  </w:num>
  <w:num w:numId="12">
    <w:abstractNumId w:val="6"/>
  </w:num>
  <w:num w:numId="13">
    <w:abstractNumId w:val="20"/>
  </w:num>
  <w:num w:numId="14">
    <w:abstractNumId w:val="11"/>
  </w:num>
  <w:num w:numId="15">
    <w:abstractNumId w:val="21"/>
  </w:num>
  <w:num w:numId="16">
    <w:abstractNumId w:val="0"/>
  </w:num>
  <w:num w:numId="17">
    <w:abstractNumId w:val="25"/>
  </w:num>
  <w:num w:numId="18">
    <w:abstractNumId w:val="27"/>
  </w:num>
  <w:num w:numId="19">
    <w:abstractNumId w:val="18"/>
  </w:num>
  <w:num w:numId="20">
    <w:abstractNumId w:val="4"/>
  </w:num>
  <w:num w:numId="21">
    <w:abstractNumId w:val="15"/>
  </w:num>
  <w:num w:numId="22">
    <w:abstractNumId w:val="16"/>
  </w:num>
  <w:num w:numId="23">
    <w:abstractNumId w:val="2"/>
  </w:num>
  <w:num w:numId="24">
    <w:abstractNumId w:val="5"/>
  </w:num>
  <w:num w:numId="25">
    <w:abstractNumId w:val="9"/>
  </w:num>
  <w:num w:numId="26">
    <w:abstractNumId w:val="28"/>
  </w:num>
  <w:num w:numId="27">
    <w:abstractNumId w:val="26"/>
  </w:num>
  <w:num w:numId="28">
    <w:abstractNumId w:val="19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BDA"/>
    <w:rsid w:val="000029AE"/>
    <w:rsid w:val="00065CB2"/>
    <w:rsid w:val="000763EA"/>
    <w:rsid w:val="000A3384"/>
    <w:rsid w:val="000C3B6F"/>
    <w:rsid w:val="000D4C19"/>
    <w:rsid w:val="000D5812"/>
    <w:rsid w:val="000E5562"/>
    <w:rsid w:val="000F1ACD"/>
    <w:rsid w:val="001219A7"/>
    <w:rsid w:val="0015540B"/>
    <w:rsid w:val="00167E07"/>
    <w:rsid w:val="00175E35"/>
    <w:rsid w:val="001823E4"/>
    <w:rsid w:val="001878DD"/>
    <w:rsid w:val="001A00CA"/>
    <w:rsid w:val="001C407A"/>
    <w:rsid w:val="001F5776"/>
    <w:rsid w:val="00206EE3"/>
    <w:rsid w:val="00212D39"/>
    <w:rsid w:val="00216499"/>
    <w:rsid w:val="0022071B"/>
    <w:rsid w:val="00261C42"/>
    <w:rsid w:val="00264BF3"/>
    <w:rsid w:val="002773ED"/>
    <w:rsid w:val="002832DD"/>
    <w:rsid w:val="00292005"/>
    <w:rsid w:val="002A0B3C"/>
    <w:rsid w:val="002B499C"/>
    <w:rsid w:val="002F557B"/>
    <w:rsid w:val="0030154A"/>
    <w:rsid w:val="00324131"/>
    <w:rsid w:val="00340D1A"/>
    <w:rsid w:val="00342333"/>
    <w:rsid w:val="003A4708"/>
    <w:rsid w:val="003A7A63"/>
    <w:rsid w:val="003B07D2"/>
    <w:rsid w:val="00412D24"/>
    <w:rsid w:val="004158B8"/>
    <w:rsid w:val="00416A2C"/>
    <w:rsid w:val="00431ADC"/>
    <w:rsid w:val="00432B06"/>
    <w:rsid w:val="00436D98"/>
    <w:rsid w:val="00464653"/>
    <w:rsid w:val="00473BDA"/>
    <w:rsid w:val="00486A8F"/>
    <w:rsid w:val="0049452F"/>
    <w:rsid w:val="004954BF"/>
    <w:rsid w:val="004C2B39"/>
    <w:rsid w:val="00555406"/>
    <w:rsid w:val="00560867"/>
    <w:rsid w:val="005933FD"/>
    <w:rsid w:val="005A04F0"/>
    <w:rsid w:val="005A48B2"/>
    <w:rsid w:val="005C272B"/>
    <w:rsid w:val="005F1A8D"/>
    <w:rsid w:val="00616CBC"/>
    <w:rsid w:val="0062144B"/>
    <w:rsid w:val="00622675"/>
    <w:rsid w:val="006307DD"/>
    <w:rsid w:val="00642A25"/>
    <w:rsid w:val="0065732A"/>
    <w:rsid w:val="0067306A"/>
    <w:rsid w:val="006864CC"/>
    <w:rsid w:val="00693336"/>
    <w:rsid w:val="006C19D3"/>
    <w:rsid w:val="006C4338"/>
    <w:rsid w:val="006C4A9E"/>
    <w:rsid w:val="006D5EEA"/>
    <w:rsid w:val="006F0033"/>
    <w:rsid w:val="006F18CF"/>
    <w:rsid w:val="00710FCE"/>
    <w:rsid w:val="00711F2E"/>
    <w:rsid w:val="00713A8A"/>
    <w:rsid w:val="007243C3"/>
    <w:rsid w:val="007329F6"/>
    <w:rsid w:val="00736F55"/>
    <w:rsid w:val="0075230F"/>
    <w:rsid w:val="007719ED"/>
    <w:rsid w:val="00783995"/>
    <w:rsid w:val="00786302"/>
    <w:rsid w:val="007B4282"/>
    <w:rsid w:val="007B4F5E"/>
    <w:rsid w:val="007E4266"/>
    <w:rsid w:val="007F1290"/>
    <w:rsid w:val="0080623E"/>
    <w:rsid w:val="0083294F"/>
    <w:rsid w:val="00832D8A"/>
    <w:rsid w:val="008404CA"/>
    <w:rsid w:val="008569CD"/>
    <w:rsid w:val="00873429"/>
    <w:rsid w:val="008A390A"/>
    <w:rsid w:val="008B78BC"/>
    <w:rsid w:val="008E2DDE"/>
    <w:rsid w:val="008F22DD"/>
    <w:rsid w:val="008F565B"/>
    <w:rsid w:val="008F716A"/>
    <w:rsid w:val="00906779"/>
    <w:rsid w:val="00941CD0"/>
    <w:rsid w:val="009A7811"/>
    <w:rsid w:val="009F197C"/>
    <w:rsid w:val="00A00AF9"/>
    <w:rsid w:val="00A01666"/>
    <w:rsid w:val="00A063DF"/>
    <w:rsid w:val="00A111E8"/>
    <w:rsid w:val="00A14BE0"/>
    <w:rsid w:val="00A30385"/>
    <w:rsid w:val="00A4770C"/>
    <w:rsid w:val="00A65FB9"/>
    <w:rsid w:val="00AA68E8"/>
    <w:rsid w:val="00AD0D6E"/>
    <w:rsid w:val="00AD3FC0"/>
    <w:rsid w:val="00AF108B"/>
    <w:rsid w:val="00B02CBD"/>
    <w:rsid w:val="00B07094"/>
    <w:rsid w:val="00B10A45"/>
    <w:rsid w:val="00B147A9"/>
    <w:rsid w:val="00B16DBA"/>
    <w:rsid w:val="00B35F38"/>
    <w:rsid w:val="00B42782"/>
    <w:rsid w:val="00B46160"/>
    <w:rsid w:val="00B74DD9"/>
    <w:rsid w:val="00B859FD"/>
    <w:rsid w:val="00B85A4D"/>
    <w:rsid w:val="00BF5901"/>
    <w:rsid w:val="00C1738E"/>
    <w:rsid w:val="00C27698"/>
    <w:rsid w:val="00C36FC0"/>
    <w:rsid w:val="00C651D5"/>
    <w:rsid w:val="00C71A5B"/>
    <w:rsid w:val="00C91537"/>
    <w:rsid w:val="00C94EE7"/>
    <w:rsid w:val="00CA23F4"/>
    <w:rsid w:val="00CF096F"/>
    <w:rsid w:val="00D016FF"/>
    <w:rsid w:val="00D315B1"/>
    <w:rsid w:val="00D34CF8"/>
    <w:rsid w:val="00D40761"/>
    <w:rsid w:val="00D855A0"/>
    <w:rsid w:val="00D940D4"/>
    <w:rsid w:val="00D95D4C"/>
    <w:rsid w:val="00DA4AF4"/>
    <w:rsid w:val="00DC5A77"/>
    <w:rsid w:val="00DF78FD"/>
    <w:rsid w:val="00E006EB"/>
    <w:rsid w:val="00E02012"/>
    <w:rsid w:val="00E06F1E"/>
    <w:rsid w:val="00E161F4"/>
    <w:rsid w:val="00E2522E"/>
    <w:rsid w:val="00E25E07"/>
    <w:rsid w:val="00E51006"/>
    <w:rsid w:val="00E53E07"/>
    <w:rsid w:val="00E82705"/>
    <w:rsid w:val="00EC5F05"/>
    <w:rsid w:val="00EE20F9"/>
    <w:rsid w:val="00EE2130"/>
    <w:rsid w:val="00EE4A45"/>
    <w:rsid w:val="00EF0BF5"/>
    <w:rsid w:val="00F14CF5"/>
    <w:rsid w:val="00F1646A"/>
    <w:rsid w:val="00F2028F"/>
    <w:rsid w:val="00F248DC"/>
    <w:rsid w:val="00F24F2B"/>
    <w:rsid w:val="00F25042"/>
    <w:rsid w:val="00F27A0C"/>
    <w:rsid w:val="00F55295"/>
    <w:rsid w:val="00F66D5A"/>
    <w:rsid w:val="00F853BF"/>
    <w:rsid w:val="00FA165F"/>
    <w:rsid w:val="00FD6192"/>
    <w:rsid w:val="00FE110F"/>
    <w:rsid w:val="00FF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C3D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6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73B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3B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3BDA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3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3BD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4A4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31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1ADC"/>
  </w:style>
  <w:style w:type="paragraph" w:styleId="Zpat">
    <w:name w:val="footer"/>
    <w:basedOn w:val="Normln"/>
    <w:link w:val="ZpatChar"/>
    <w:uiPriority w:val="99"/>
    <w:unhideWhenUsed/>
    <w:rsid w:val="00431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1AD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48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48B2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83995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F0BF5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EE2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E8270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214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55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535-400/400-24_RS.docx</ZkracenyRetezec>
    <Smazat xmlns="acca34e4-9ecd-41c8-99eb-d6aa654aaa55">&lt;a href="/sites/evidencesmluv/_layouts/15/IniWrkflIP.aspx?List=%7b5BACA63D-3952-4531-BB75-33B3C750A970%7d&amp;amp;ID=2252&amp;amp;ItemGuid=%7b4D7D7821-98FE-49E1-B284-AB206C2A3928%7d&amp;amp;TemplateID=%7bd3f8102e-f4a5-4901-b93c-fb146a9d820d%7d"&gt;&lt;img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150AA-F1E6-4D00-B0D4-BED16BABF98C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8AB8F17-FE42-4E40-95ED-6CD4081EA8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D93CD9-D6B0-47CA-BC45-24E891D28777}"/>
</file>

<file path=customXml/itemProps4.xml><?xml version="1.0" encoding="utf-8"?>
<ds:datastoreItem xmlns:ds="http://schemas.openxmlformats.org/officeDocument/2006/customXml" ds:itemID="{64B78765-D1F9-4406-A92B-755651798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3E2B8F0-AD40-4A9D-89A5-22E3E3562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2024-10-02T07:13:00Z</dcterms:created>
  <dcterms:modified xsi:type="dcterms:W3CDTF">2024-10-02T07:13:00Z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2024-08-29T06:05:01Z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dca771bc-b77c-4fce-913b-13168d5dbb92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0x010100EFF427952D4E634383E9B8E9D938055A006D8F8A3808020C419E98C37A57255A2C</vt:lpwstr>
  </property>
  <property fmtid="{D5CDD505-2E9C-101B-9397-08002B2CF9AE}" pid="10" name="_dlc_DocIdItemGuid">
    <vt:lpwstr>68e13c9d-ce7e-43eb-a969-230cc5e90dc0</vt:lpwstr>
  </property>
  <property fmtid="{D5CDD505-2E9C-101B-9397-08002B2CF9AE}" pid="11" name="WorkflowChangePath">
    <vt:lpwstr>9a1e63d7-515c-44cd-98c8-a4c647aa8c7b,2;9a1e63d7-515c-44cd-98c8-a4c647aa8c7b,2;9a1e63d7-515c-44cd-98c8-a4c647aa8c7b,2;</vt:lpwstr>
  </property>
</Properties>
</file>