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88" w:right="1132" w:bottom="1649" w:left="8310" w:header="360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rStyle w:val="CharStyle3"/>
        </w:rPr>
        <w:t>■11111111111111</w:t>
      </w:r>
      <w:bookmarkEnd w:id="0"/>
    </w:p>
    <w:p>
      <w:pPr>
        <w:pStyle w:val="Style7"/>
        <w:keepNext/>
        <w:keepLines/>
        <w:framePr w:w="2093" w:h="312" w:wrap="none" w:vAnchor="text" w:hAnchor="page" w:x="488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8"/>
          <w:b/>
          <w:bCs/>
        </w:rPr>
        <w:t>SMLOUVA O DÍLO</w:t>
      </w:r>
      <w:bookmarkEnd w:id="2"/>
    </w:p>
    <w:p>
      <w:pPr>
        <w:pStyle w:val="Style9"/>
        <w:keepNext w:val="0"/>
        <w:keepLines w:val="0"/>
        <w:framePr w:w="941" w:h="216" w:wrap="none" w:vAnchor="text" w:hAnchor="page" w:x="8661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2024007814</w:t>
      </w:r>
    </w:p>
    <w:p>
      <w:pPr>
        <w:widowControl w:val="0"/>
        <w:spacing w:after="3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8" w:right="1132" w:bottom="1082" w:left="14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12"/>
        </w:rPr>
        <w:t>podle ust. § 2586 a násl. občanského zákoníku, uzavřená mezi</w:t>
      </w:r>
      <w:bookmarkEnd w:id="4"/>
    </w:p>
    <w:tbl>
      <w:tblPr>
        <w:tblOverlap w:val="never"/>
        <w:jc w:val="center"/>
        <w:tblLayout w:type="fixed"/>
      </w:tblPr>
      <w:tblGrid>
        <w:gridCol w:w="2664"/>
        <w:gridCol w:w="5698"/>
      </w:tblGrid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Zdravotnická záchranná služba Jihomoravského kraje, příspěvková organizace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MUDr. Hana Albrechtová, ředitelka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</w:t>
            </w:r>
            <w:r>
              <w:rPr>
                <w:rStyle w:val="CharStyle17"/>
                <w:shd w:val="clear" w:color="auto" w:fill="000000"/>
              </w:rPr>
              <w:t>......​</w:t>
            </w:r>
            <w:r>
              <w:rPr>
                <w:rStyle w:val="CharStyle17"/>
                <w:spacing w:val="1"/>
                <w:shd w:val="clear" w:color="auto" w:fill="000000"/>
              </w:rPr>
              <w:t>...</w:t>
            </w:r>
            <w:r>
              <w:rPr>
                <w:rStyle w:val="CharStyle17"/>
                <w:spacing w:val="2"/>
                <w:shd w:val="clear" w:color="auto" w:fill="000000"/>
              </w:rPr>
              <w:t>........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2"/>
                <w:shd w:val="clear" w:color="auto" w:fill="000000"/>
              </w:rPr>
              <w:t>..</w:t>
            </w:r>
            <w:r>
              <w:rPr>
                <w:rStyle w:val="CharStyle17"/>
                <w:spacing w:val="3"/>
                <w:shd w:val="clear" w:color="auto" w:fill="000000"/>
              </w:rPr>
              <w:t>.........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​.............</w:t>
            </w:r>
            <w:r>
              <w:rPr>
                <w:rStyle w:val="CharStyle1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7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7"/>
                <w:shd w:val="clear" w:color="auto" w:fill="000000"/>
              </w:rPr>
              <w:t>​.......​</w:t>
            </w:r>
            <w:r>
              <w:rPr>
                <w:rStyle w:val="CharStyle17"/>
                <w:spacing w:val="6"/>
                <w:shd w:val="clear" w:color="auto" w:fill="000000"/>
              </w:rPr>
              <w:t>...</w:t>
            </w:r>
            <w:r>
              <w:rPr>
                <w:rStyle w:val="CharStyle17"/>
                <w:spacing w:val="7"/>
                <w:shd w:val="clear" w:color="auto" w:fill="000000"/>
              </w:rPr>
              <w:t>...</w:t>
            </w:r>
            <w:r>
              <w:rPr>
                <w:rStyle w:val="CharStyle17"/>
                <w:shd w:val="clear" w:color="auto" w:fill="000000"/>
              </w:rPr>
              <w:t>​......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00346292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CZ00346292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Krajský soud v Brně sp. zn. Pr 1245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MONETA Money Bank, a.s., č. ú. 117203514/0600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4"/>
        </w:rPr>
        <w:t xml:space="preserve">(dále jen </w:t>
      </w:r>
      <w:r>
        <w:rPr>
          <w:rStyle w:val="CharStyle14"/>
          <w:b/>
          <w:bCs/>
          <w:i/>
          <w:iCs/>
        </w:rPr>
        <w:t>„objednáte?)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4"/>
        <w:gridCol w:w="5702"/>
      </w:tblGrid>
      <w:tr>
        <w:trPr>
          <w:trHeight w:val="5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ATELIER 2022,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Zachova 634/6, 602 00 Brno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Ing. arch. Vladislav Vrána</w:t>
            </w:r>
          </w:p>
        </w:tc>
      </w:tr>
      <w:tr>
        <w:trPr>
          <w:trHeight w:val="10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7"/>
                <w:shd w:val="clear" w:color="auto" w:fill="000000"/>
              </w:rPr>
              <w:t>.......​</w:t>
            </w:r>
            <w:r>
              <w:rPr>
                <w:rStyle w:val="CharStyle17"/>
                <w:spacing w:val="6"/>
                <w:shd w:val="clear" w:color="auto" w:fill="000000"/>
              </w:rPr>
              <w:t>....</w:t>
            </w:r>
            <w:r>
              <w:rPr>
                <w:rStyle w:val="CharStyle17"/>
                <w:spacing w:val="7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1"/>
                <w:shd w:val="clear" w:color="auto" w:fill="000000"/>
              </w:rPr>
              <w:t>...........</w:t>
            </w:r>
            <w:r>
              <w:rPr>
                <w:rStyle w:val="CharStyle17"/>
                <w:spacing w:val="2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2"/>
                <w:shd w:val="clear" w:color="auto" w:fill="000000"/>
              </w:rPr>
              <w:t>.........</w:t>
            </w:r>
            <w:r>
              <w:rPr>
                <w:rStyle w:val="CharStyle17"/>
                <w:spacing w:val="3"/>
                <w:shd w:val="clear" w:color="auto" w:fill="000000"/>
              </w:rPr>
              <w:t>..</w:t>
            </w:r>
            <w:r>
              <w:rPr>
                <w:rStyle w:val="CharStyle17"/>
                <w:shd w:val="clear" w:color="auto" w:fill="000000"/>
              </w:rPr>
              <w:t>​.......​.......​........</w:t>
            </w:r>
            <w:r>
              <w:rPr>
                <w:rStyle w:val="CharStyle17"/>
                <w:shd w:val="clear" w:color="auto" w:fill="000000"/>
                <w:lang w:val="en-US" w:eastAsia="en-US" w:bidi="en-US"/>
              </w:rPr>
              <w:t>​..........</w:t>
            </w:r>
            <w:r>
              <w:rPr>
                <w:rStyle w:val="CharStyle17"/>
                <w:spacing w:val="1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CharStyle17"/>
                <w:lang w:val="en-US" w:eastAsia="en-US" w:bidi="en-US"/>
              </w:rPr>
              <w:t xml:space="preserve"> </w:t>
            </w:r>
            <w:r>
              <w:rPr>
                <w:rStyle w:val="CharStyle17"/>
              </w:rPr>
              <w:t>26897270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7"/>
              </w:rPr>
              <w:t>CZ26897270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7"/>
              </w:rPr>
              <w:t>Krajský soud v Brně, oddíl C, vložka 43975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ČSOB a.s., č.ú. 240754100/0300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 xml:space="preserve">(dále jen </w:t>
      </w:r>
      <w:r>
        <w:rPr>
          <w:rStyle w:val="CharStyle14"/>
          <w:b/>
          <w:bCs/>
          <w:i/>
          <w:iCs/>
        </w:rPr>
        <w:t>„zhotovíte?)</w:t>
      </w:r>
    </w:p>
    <w:p>
      <w:pPr>
        <w:widowControl w:val="0"/>
        <w:spacing w:after="1159" w:line="1" w:lineRule="exact"/>
      </w:pP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28"/>
        </w:rPr>
        <w:t>Zhotovitel se zavazuje, že pro objednatele provede dílo, spočívající ve zhotovení projektové dokumentace pro zhotovení interiéru recepce ve vstupní hale objektu objednatele v Brně, Kamenice 798/1 d, a to dle specifikace, vyplývající z pokynů objednatele. Součástí této projektové dokumentace je také výtvarná studie interiéru a definitivní souborné výtvarné, barevné a dispoziční řešení interiéru.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28"/>
        </w:rPr>
        <w:t>Zhotovitel se zavazuje provést dílo podle čl. 1 této smlouvy ve lhůtě nejpozději do 180 dnů od účinnosti této smlouvy o dílo. Místem splnění závazku zhotovitele k provedení díla podle čl. 1 této smlouvy je přitom sídlo objednatele.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28"/>
        </w:rPr>
        <w:t>Zhotovitel se zavazuje při provádění díla podle této smlouvy postupovat s náležitou odbornou péčí a dle průběžných pokynů objednatele.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28"/>
        </w:rPr>
        <w:t>Závazek zhotovitele k provedení díla podle čl. 1 této smlouvy se považuje za splněný odevzdáním díla do rukou objednatele, a to v písemné formě a v obvyklém počtu písemných vyhotovení, nejméně však v šesti vyhotoveních. O tomto předání a převzetí díla bude pořízen písemný zápis, potvrzený oběma stranami. Objednatel není povinen potvrdit zhotoviteli převzetí díla nebo jeho části, zjistí-li se na něm jakákoliv vada.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28"/>
        </w:rPr>
        <w:t xml:space="preserve">Nebezpečí škody na díle podle čl. 1 této smlouvy a vlastnické právo k tomuto dílu přechází ze zhotovitele na objednatele dnem splnění závazku zhotovitele k provedení tohoto díla ve smyslu </w:t>
      </w:r>
      <w:r>
        <w:rPr>
          <w:rStyle w:val="CharStyle28"/>
        </w:rPr>
        <w:t>ust. čl. 4 této smlouvy. Tímto dnem se také zřizuje ve prospěch objednatele časově neomezená uživatelská licence k těm částem díla, které mají povahu autorského díla ve smyslu ustanovení § 2 odst. 2 zákona č. 121/2000 Sb. zákona o právu autorském, o právech souvisejících s právem autorským a o změně některých zákona, ve znění pozdějších předpisů.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28"/>
        </w:rPr>
        <w:t>Pro případ prodlaní ss splněním svého závazku podlá čl. 1 této smlouvy va Ihútě podlá cl. 2 této smlouvy se zhotovitel zavazuje zaplatit objednateli smluvní pokutu ve výši 0,1 % z celkové ceny díla podle čl. 7 této smlouvy za každý započatý den prodlení. Zaplacením této smluvní pokuty není dotčen nárok objednatele na případnou náhradu škody v plné výši.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28"/>
        </w:rPr>
        <w:t xml:space="preserve">Objednatel se zavazuje zaplatit zhotoviteli za dílo podle čl. 1 této smlouvy cenu díla ve výši </w:t>
      </w:r>
      <w:r>
        <w:rPr>
          <w:rStyle w:val="CharStyle28"/>
          <w:b/>
          <w:bCs/>
          <w:sz w:val="18"/>
          <w:szCs w:val="18"/>
        </w:rPr>
        <w:t xml:space="preserve">72 735,- Kč </w:t>
      </w:r>
      <w:r>
        <w:rPr>
          <w:rStyle w:val="CharStyle28"/>
        </w:rPr>
        <w:t xml:space="preserve">bez DPH, tj. </w:t>
      </w:r>
      <w:r>
        <w:rPr>
          <w:rStyle w:val="CharStyle28"/>
          <w:b/>
          <w:bCs/>
          <w:sz w:val="18"/>
          <w:szCs w:val="18"/>
        </w:rPr>
        <w:t xml:space="preserve">88 009,35 Kč včetně DPH </w:t>
      </w:r>
      <w:r>
        <w:rPr>
          <w:rStyle w:val="CharStyle28"/>
        </w:rPr>
        <w:t>s tím, že součástí této ceny jsou veškeré náklady zhotovitele, spojené s plněním závazku zhotovitele podle čl. 1 této smlouvy, včetně odměny za poskytnutí licence.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 xml:space="preserve">Cena díla podle čl. 7 této smlouvy je splatná po splnění závazku zhotovitele k provedení díla způsobem podle čl. 4 této smlouvy ve Ihůtě do 30-ti dnů od předložení jejího písemného vyúčtování (faktury). Faktura bude doručena elektronicky na email: </w:t>
      </w:r>
      <w:r>
        <w:rPr>
          <w:rStyle w:val="CharStyle28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28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28"/>
          <w:shd w:val="clear" w:color="auto" w:fill="000000"/>
          <w:lang w:val="en-US" w:eastAsia="en-US" w:bidi="en-US"/>
        </w:rPr>
        <w:t>.</w:t>
      </w:r>
      <w:r>
        <w:rPr>
          <w:rStyle w:val="CharStyle28"/>
          <w:shd w:val="clear" w:color="auto" w:fill="000000"/>
        </w:rPr>
        <w:t>​..</w:t>
      </w:r>
      <w:r>
        <w:rPr>
          <w:rStyle w:val="CharStyle28"/>
        </w:rPr>
        <w:t xml:space="preserve"> </w:t>
      </w:r>
      <w:r>
        <w:rPr>
          <w:rStyle w:val="CharStyle28"/>
          <w:u w:val="single"/>
          <w:shd w:val="clear" w:color="auto" w:fill="000000"/>
          <w:lang w:val="en-US" w:eastAsia="en-US" w:bidi="en-US"/>
        </w:rPr>
        <w:t>​.............</w:t>
      </w:r>
      <w:r>
        <w:rPr>
          <w:rStyle w:val="CharStyle28"/>
          <w:spacing w:val="1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28"/>
          <w:lang w:val="en-US" w:eastAsia="en-US" w:bidi="en-US"/>
        </w:rPr>
        <w:t xml:space="preserve">. </w:t>
      </w:r>
      <w:r>
        <w:rPr>
          <w:rStyle w:val="CharStyle28"/>
        </w:rPr>
        <w:t xml:space="preserve">Na faktuře musí být mimo jiné vždy uvedeno toto číslo veřejné zakázky, ke které se faktura vztahuje: </w:t>
      </w:r>
      <w:r>
        <w:rPr>
          <w:rStyle w:val="CharStyle28"/>
          <w:b/>
          <w:bCs/>
          <w:sz w:val="18"/>
          <w:szCs w:val="18"/>
        </w:rPr>
        <w:t xml:space="preserve">P24V00003281. </w:t>
      </w:r>
      <w:r>
        <w:rPr>
          <w:rStyle w:val="CharStyle28"/>
        </w:rPr>
        <w:t>Přílohou faktury bude oboustranně podepsaný písemný záznam o předání a převzetí díla. 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28"/>
        </w:rPr>
        <w:t>Pro případ prodlení s úhradou ceny díla ve Ihůtě podle čl. 8 této smlouvy se objednatel zavazuje zaplatit zhotoviteli úrok z prodlení v sazbě dle zákona.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Zhotovitel odpovídá objednateli za to, že dílo podle čl. 1 této smlouvy bude odpovídat tuzemským technickým, hygienickým a jiným normám, a že bude mít ty vlastnosti, které jsou u děl tohoto druhu obvyklé. V tomto smyslu se zhotovitel zavazuje bezplatně odstraňovat vady, které se na díle podle čl. 1 této smlouvy vyskytnou, a to po celou dobu, po kterou to bude mít pro objednatele nějaký ekonomický či jiný praktický význam.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28"/>
        </w:rPr>
        <w:t>Zhotovitel se zavazuje rozhodovat o písemných reklamacích objednatelů v období po dokončení díla písemně ve Ihůtě do 10-ti dnů od jejich doručení, a ve stejné Ihůtě provést odstranění vad z oprávněných reklamací, nebude-li mezi oběma stranami v jednotlivém případě dohodnuto jinak.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28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28"/>
        </w:rPr>
        <w:t>Pro případ prodlení zhotovitele s odstraněním vady díla ve Ihůtě podle čl. 11 této smlouvy, se zhotovitel zavazuje zaplatit objednateli smluvní pokutu ve výši 1 000,- Kč za každý započatý den prodlení.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28"/>
        </w:rPr>
        <w:t>Nepřikročí-li zhotovitel k odstranění vady ve Ihůtě podle čl. 11 této smlouvy nebo v něm z důvodů na své straně nepokračuje, a to ani po písemné výzvě objednatele, je objednatel oprávněn nechat provést toto odstranění třetí osobou na náklad zhotovitele.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28"/>
        </w:rPr>
        <w:t>Objednatel je oprávněn odstoupit od této smlouvy o dílo s účinky ex tunc, bude-li zhotovitel v prodlení se splněním svého závazku podle čí. 1 této smlouvy ve Ihůtě podle čl. 2 této smlouvy o víc, než 1 měsíc.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28"/>
        </w:rPr>
        <w:t>Zhotovitel je oprávněn odstoupit od této smlouvy, bude-li objednatel v prodlení se splněním jeho uhrazovací povinnosti podle této smlouvy o víc, než jeden měsíc.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/>
        <w:ind w:left="400" w:right="0" w:hanging="400"/>
        <w:jc w:val="both"/>
      </w:pPr>
      <w:r>
        <w:rPr>
          <w:rStyle w:val="CharStyle28"/>
        </w:rPr>
        <w:t>Není-li touto smlouvou ujednáno jinak, řídí se vzájemný právní vztah mezi zhotovitelem a objednatelem ust. par. 2586 až 2635 občanského zákoníku.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28"/>
        </w:rPr>
        <w:t>Zhotovitel uděluje objednateli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28"/>
        </w:rPr>
        <w:t>Tato smlouva se uzavírá na základě návrhu na její uzavření ze strany objednatele. Předpokladem uzavření této smlouvy je její písemná forma a dohoda o celém jejím obsahu, jak je obsažen v jejích článcích 1 až 22. Objednatel přitom předem vylučuje přijetí tohoto návrhu s dodatkem nebo odchylkou ve smyslu § 1740 odst. 3 občanského zákoníku.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83" w:lineRule="auto"/>
        <w:ind w:left="0" w:right="0" w:firstLine="0"/>
        <w:jc w:val="both"/>
      </w:pPr>
      <w:r>
        <w:rPr>
          <w:rStyle w:val="CharStyle28"/>
        </w:rPr>
        <w:t>Tuto smlouvu lze změnit nebo zrušit pouze jinou písemnou dohodu obou smluvních stran.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28"/>
        </w:rPr>
        <w:t>Tato smlouva nabývá platnosti dnem jejího uzavření a účinnosti dnem jejího uveřejnění v registru smluv podle příslušných ustanovení zákona č. 340/2015 Sb. o registru smluv.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0" w:line="276" w:lineRule="auto"/>
        <w:ind w:left="400" w:right="0" w:hanging="4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6" w:right="1552" w:bottom="1531" w:left="1468" w:header="478" w:footer="3" w:gutter="0"/>
          <w:cols w:space="720"/>
          <w:noEndnote/>
          <w:rtlGutter w:val="0"/>
          <w:docGrid w:linePitch="360"/>
        </w:sectPr>
      </w:pPr>
      <w:r>
        <w:rPr>
          <w:rStyle w:val="CharStyle28"/>
        </w:rPr>
        <w:t>Dáno ve dvou originálních písemných vyhotoveních, z nichž každá ze smluvních stran obdrží po jednom.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3" w:right="0" w:bottom="176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shd w:val="clear" w:color="auto" w:fill="auto"/>
        <w:tabs>
          <w:tab w:leader="dot" w:pos="2674" w:val="left"/>
        </w:tabs>
        <w:bidi w:val="0"/>
        <w:spacing w:before="0" w:after="280" w:line="142" w:lineRule="auto"/>
        <w:ind w:left="0" w:right="0" w:firstLine="0"/>
        <w:jc w:val="left"/>
      </w:pPr>
      <w:r>
        <w:rPr>
          <w:rStyle w:val="CharStyle28"/>
        </w:rPr>
        <w:t>V Brně, dne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151" w:lineRule="auto"/>
        <w:ind w:left="0" w:right="0" w:firstLine="0"/>
        <w:jc w:val="left"/>
      </w:pPr>
      <w:r>
        <w:rPr>
          <w:rStyle w:val="CharStyle10"/>
          <w:rFonts w:ascii="Arial" w:eastAsia="Arial" w:hAnsi="Arial" w:cs="Arial"/>
          <w:b/>
          <w:bCs/>
          <w:sz w:val="18"/>
          <w:szCs w:val="18"/>
        </w:rPr>
        <w:t xml:space="preserve">MI I n r l-l o n </w:t>
      </w:r>
      <w:r>
        <w:rPr>
          <w:rStyle w:val="CharStyle10"/>
        </w:rPr>
        <w:t xml:space="preserve">Jí D'9'tálně podepsal </w:t>
      </w:r>
      <w:r>
        <w:rPr>
          <w:rStyle w:val="CharStyle10"/>
          <w:rFonts w:ascii="Arial" w:eastAsia="Arial" w:hAnsi="Arial" w:cs="Arial"/>
          <w:b/>
          <w:bCs/>
          <w:sz w:val="18"/>
          <w:szCs w:val="18"/>
        </w:rPr>
        <w:t xml:space="preserve">IV1U I. n a 11« </w:t>
      </w:r>
      <w:r>
        <w:rPr>
          <w:rStyle w:val="CharStyle10"/>
        </w:rPr>
        <w:t>yviUDr. Hana Albrechtová</w: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36"/>
        </w:rPr>
        <w:t>AlbrechtováS?“</w:t>
      </w:r>
      <w:r>
        <w:rPr>
          <w:rStyle w:val="CharStyle36"/>
          <w:vertAlign w:val="superscript"/>
        </w:rPr>
        <w:t>0</w:t>
      </w:r>
      <w:r>
        <w:rPr>
          <w:rStyle w:val="CharStyle36"/>
        </w:rPr>
        <w:t>'</w:t>
      </w:r>
      <w:bookmarkEnd w:id="6"/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rStyle w:val="CharStyle38"/>
          <w:i/>
          <w:iCs/>
        </w:rPr>
        <w:t>f/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80" w:line="142" w:lineRule="auto"/>
        <w:ind w:left="0" w:right="0" w:firstLine="0"/>
        <w:jc w:val="left"/>
      </w:pPr>
      <w:r>
        <w:rPr>
          <w:rStyle w:val="CharStyle28"/>
        </w:rPr>
        <w:t>MUDr. Hana Albrechtová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80" w:line="142" w:lineRule="auto"/>
        <w:ind w:left="0" w:right="0" w:firstLine="0"/>
        <w:jc w:val="left"/>
      </w:pPr>
      <w:r>
        <w:rPr>
          <w:rStyle w:val="CharStyle28"/>
        </w:rPr>
        <w:t>ředitelka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40" w:line="151" w:lineRule="auto"/>
        <w:ind w:left="0" w:right="0" w:firstLine="0"/>
        <w:jc w:val="left"/>
        <w:rPr>
          <w:sz w:val="18"/>
          <w:szCs w:val="18"/>
        </w:rPr>
      </w:pPr>
      <w:r>
        <w:rPr>
          <w:rStyle w:val="CharStyle28"/>
          <w:b/>
          <w:bCs/>
          <w:sz w:val="18"/>
          <w:szCs w:val="18"/>
        </w:rPr>
        <w:t>Objednatel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28"/>
        </w:rPr>
        <w:t>V Brně dne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pos="701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40"/>
        </w:rPr>
        <w:t>.</w:t>
        <w:tab/>
        <w:t>, i Digitálně podepsal Ing.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40" w:line="134" w:lineRule="auto"/>
        <w:ind w:left="0" w:right="0" w:firstLine="0"/>
        <w:jc w:val="left"/>
      </w:pPr>
      <w:r>
        <w:rPr>
          <w:rStyle w:val="CharStyle40"/>
          <w:sz w:val="20"/>
          <w:szCs w:val="20"/>
        </w:rPr>
        <w:t xml:space="preserve">Ing. arch. </w:t>
      </w:r>
      <w:r>
        <w:rPr>
          <w:rStyle w:val="CharStyle40"/>
        </w:rPr>
        <w:t>Karch.VladislavVrána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320"/>
        <w:ind w:left="1280" w:right="0" w:hanging="1280"/>
        <w:jc w:val="left"/>
      </w:pPr>
      <w:r>
        <w:rPr>
          <w:rStyle w:val="CharStyle40"/>
          <w:sz w:val="20"/>
          <w:szCs w:val="20"/>
        </w:rPr>
        <w:t xml:space="preserve">Vladislav Vrána </w:t>
      </w:r>
      <w:r>
        <w:rPr>
          <w:rStyle w:val="CharStyle40"/>
          <w:vertAlign w:val="superscript"/>
        </w:rPr>
        <w:t>Da</w:t>
      </w:r>
      <w:r>
        <w:rPr>
          <w:rStyle w:val="CharStyle40"/>
        </w:rPr>
        <w:t>$y</w:t>
      </w:r>
      <w:r>
        <w:rPr>
          <w:rStyle w:val="CharStyle40"/>
          <w:vertAlign w:val="superscript"/>
        </w:rPr>
        <w:t>m:</w:t>
      </w:r>
      <w:r>
        <w:rPr>
          <w:rStyle w:val="CharStyle40"/>
        </w:rPr>
        <w:t>2024.09.27 Z 11:16:15+0200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>Ing. arch. Vladislav Vrána jednatel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80" w:line="300" w:lineRule="auto"/>
        <w:ind w:left="0" w:right="0" w:firstLine="0"/>
        <w:jc w:val="lef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3" w:right="2497" w:bottom="1763" w:left="1468" w:header="0" w:footer="3" w:gutter="0"/>
          <w:cols w:num="2" w:space="720" w:equalWidth="0">
            <w:col w:w="3542" w:space="1354"/>
            <w:col w:w="3038"/>
          </w:cols>
          <w:noEndnote/>
          <w:rtlGutter w:val="0"/>
          <w:docGrid w:linePitch="360"/>
        </w:sectPr>
      </w:pPr>
      <w:r>
        <w:rPr>
          <w:rStyle w:val="CharStyle28"/>
          <w:b/>
          <w:bCs/>
          <w:sz w:val="18"/>
          <w:szCs w:val="18"/>
        </w:rPr>
        <w:t>Zhotovitel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63" w:right="2497" w:bottom="1763" w:left="1468" w:header="0" w:footer="3" w:gutter="0"/>
      <w:cols w:num="2" w:space="720" w:equalWidth="0">
        <w:col w:w="3542" w:space="1354"/>
        <w:col w:w="303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9947910</wp:posOffset>
              </wp:positionV>
              <wp:extent cx="204216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21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sz w:val="17"/>
                              <w:szCs w:val="17"/>
                            </w:rPr>
                            <w:t>VZ 30-2024 Dokumentace k interiéru recepce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5pt;margin-top:783.30000000000007pt;width:160.8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VZ 30-2024 Dokumentace k interiéru recepce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46"/>
      <w:szCs w:val="4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3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Nadpis #4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Základní text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Nadpis #2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8">
    <w:name w:val="Základní text (4)_"/>
    <w:basedOn w:val="DefaultParagraphFont"/>
    <w:link w:val="Style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40">
    <w:name w:val="Základní text (2)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46"/>
      <w:szCs w:val="4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auto"/>
      <w:spacing w:line="19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Nadpis #4"/>
    <w:basedOn w:val="Normal"/>
    <w:link w:val="CharStyle12"/>
    <w:pPr>
      <w:widowControl w:val="0"/>
      <w:shd w:val="clear" w:color="auto" w:fill="auto"/>
      <w:spacing w:after="400"/>
      <w:jc w:val="center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7">
    <w:name w:val="Základní text"/>
    <w:basedOn w:val="Normal"/>
    <w:link w:val="CharStyle28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auto"/>
      <w:spacing w:line="130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7">
    <w:name w:val="Základní text (4)"/>
    <w:basedOn w:val="Normal"/>
    <w:link w:val="CharStyle38"/>
    <w:pPr>
      <w:widowControl w:val="0"/>
      <w:shd w:val="clear" w:color="auto" w:fill="auto"/>
      <w:spacing w:after="200" w:line="130" w:lineRule="auto"/>
      <w:ind w:left="130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39">
    <w:name w:val="Základní text (2)"/>
    <w:basedOn w:val="Normal"/>
    <w:link w:val="CharStyle40"/>
    <w:pPr>
      <w:widowControl w:val="0"/>
      <w:shd w:val="clear" w:color="auto" w:fill="auto"/>
      <w:spacing w:after="180" w:line="163" w:lineRule="auto"/>
      <w:ind w:left="640" w:hanging="6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