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A5" w:rsidRDefault="00672A75">
      <w:pPr>
        <w:tabs>
          <w:tab w:val="center" w:pos="6610"/>
        </w:tabs>
        <w:spacing w:after="2" w:line="259" w:lineRule="auto"/>
        <w:ind w:right="0"/>
        <w:jc w:val="left"/>
      </w:pPr>
      <w:r>
        <w:rPr>
          <w:sz w:val="20"/>
        </w:rPr>
        <w:t>VÁŠ DOPIS ZNAČKY / ZE DNE: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542288" cy="140210"/>
            <wp:effectExtent l="0" t="0" r="0" b="0"/>
            <wp:docPr id="6769" name="Picture 6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" name="Picture 67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14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A5" w:rsidRDefault="00672A75">
      <w:pPr>
        <w:spacing w:after="0" w:line="259" w:lineRule="auto"/>
        <w:jc w:val="right"/>
      </w:pPr>
      <w:r>
        <w:t>Povodí Ohře. státní podnik</w:t>
      </w:r>
    </w:p>
    <w:p w:rsidR="004222A5" w:rsidRDefault="00672A75">
      <w:pPr>
        <w:spacing w:after="0"/>
        <w:ind w:left="14" w:right="1507" w:firstLine="5366"/>
      </w:pPr>
      <w:r>
        <w:t>Bezručova 4219 NAŠE ZNAČKA / ČÍSLO:</w:t>
      </w:r>
      <w:r>
        <w:tab/>
        <w:t>430 03 Chomutov</w:t>
      </w:r>
    </w:p>
    <w:p w:rsidR="004222A5" w:rsidRDefault="00672A75">
      <w:pPr>
        <w:spacing w:after="260" w:line="266" w:lineRule="auto"/>
        <w:ind w:left="24" w:right="0" w:hanging="10"/>
        <w:jc w:val="left"/>
      </w:pPr>
      <w:r>
        <w:rPr>
          <w:sz w:val="18"/>
        </w:rPr>
        <w:t>Vesely/ 131/0159</w:t>
      </w:r>
    </w:p>
    <w:p w:rsidR="004222A5" w:rsidRDefault="00672A75">
      <w:pPr>
        <w:spacing w:after="2" w:line="259" w:lineRule="auto"/>
        <w:ind w:left="14" w:right="0" w:hanging="10"/>
        <w:jc w:val="left"/>
      </w:pPr>
      <w:r>
        <w:rPr>
          <w:sz w:val="20"/>
        </w:rPr>
        <w:t>MÍSTO ODESLÁNÍ / DATUM</w:t>
      </w:r>
    </w:p>
    <w:p w:rsidR="004222A5" w:rsidRDefault="00672A75">
      <w:pPr>
        <w:spacing w:after="655" w:line="266" w:lineRule="auto"/>
        <w:ind w:left="24" w:right="0" w:hanging="10"/>
        <w:jc w:val="left"/>
      </w:pPr>
      <w:r>
        <w:rPr>
          <w:sz w:val="18"/>
        </w:rPr>
        <w:t>Praha / 30.5.2024</w:t>
      </w:r>
    </w:p>
    <w:p w:rsidR="004222A5" w:rsidRDefault="00672A75">
      <w:pPr>
        <w:spacing w:after="286" w:line="216" w:lineRule="auto"/>
        <w:ind w:left="19" w:right="19"/>
        <w:jc w:val="left"/>
      </w:pPr>
      <w:r>
        <w:rPr>
          <w:sz w:val="30"/>
        </w:rPr>
        <w:t xml:space="preserve">VĚC: Nabídka konzultačních a projektových prací na úpravu řídícího systému přelivných polí VD </w:t>
      </w:r>
      <w:proofErr w:type="spellStart"/>
      <w:r>
        <w:rPr>
          <w:sz w:val="30"/>
        </w:rPr>
        <w:t>Nechraníce</w:t>
      </w:r>
      <w:proofErr w:type="spellEnd"/>
    </w:p>
    <w:p w:rsidR="004222A5" w:rsidRDefault="00672A75">
      <w:pPr>
        <w:pStyle w:val="Nadpis1"/>
        <w:spacing w:after="63"/>
        <w:ind w:left="23"/>
      </w:pPr>
      <w:r>
        <w:t>Vážení,</w:t>
      </w:r>
    </w:p>
    <w:p w:rsidR="004222A5" w:rsidRDefault="00672A75">
      <w:pPr>
        <w:spacing w:after="468"/>
        <w:ind w:left="14" w:right="0"/>
      </w:pPr>
      <w:r>
        <w:t>Předkládáme Vám cenovou nabídku konzultačních a projektových prací na úpravu řídícího systému přelivných polí VD Nechranice.</w:t>
      </w:r>
    </w:p>
    <w:p w:rsidR="004222A5" w:rsidRDefault="00672A75">
      <w:pPr>
        <w:spacing w:after="437" w:line="259" w:lineRule="auto"/>
        <w:ind w:left="19" w:right="0"/>
        <w:jc w:val="left"/>
      </w:pPr>
      <w:r>
        <w:rPr>
          <w:sz w:val="24"/>
          <w:u w:val="single" w:color="000000"/>
        </w:rPr>
        <w:t>Předmět prací:</w:t>
      </w:r>
    </w:p>
    <w:p w:rsidR="004222A5" w:rsidRDefault="00672A75">
      <w:pPr>
        <w:spacing w:after="116"/>
        <w:ind w:left="14" w:right="0"/>
      </w:pPr>
      <w:r>
        <w:t>Předmětem prací je vypracování projektové dokumentace úpravy řídícího systému bezpečnostního přelivu VD Nechranice v tomto rozsahu:</w:t>
      </w:r>
    </w:p>
    <w:p w:rsidR="004222A5" w:rsidRDefault="00672A75">
      <w:pPr>
        <w:numPr>
          <w:ilvl w:val="0"/>
          <w:numId w:val="1"/>
        </w:numPr>
        <w:ind w:left="748" w:right="0" w:hanging="374"/>
      </w:pPr>
      <w:r>
        <w:t>Havarijní ovládání klapek</w:t>
      </w:r>
    </w:p>
    <w:p w:rsidR="004222A5" w:rsidRDefault="00672A75">
      <w:pPr>
        <w:numPr>
          <w:ilvl w:val="0"/>
          <w:numId w:val="1"/>
        </w:numPr>
        <w:ind w:left="748" w:right="0" w:hanging="374"/>
      </w:pPr>
      <w:r>
        <w:t>Prověření možnosti určení polohy klapky na základě známé hladiny oleje v nádrži</w:t>
      </w:r>
    </w:p>
    <w:p w:rsidR="004222A5" w:rsidRDefault="00672A75">
      <w:pPr>
        <w:numPr>
          <w:ilvl w:val="0"/>
          <w:numId w:val="1"/>
        </w:numPr>
        <w:ind w:left="748" w:right="0" w:hanging="374"/>
      </w:pPr>
      <w:r>
        <w:t>Projekční návrh sl</w:t>
      </w:r>
      <w:r>
        <w:t xml:space="preserve">edování tlaku nad písty jednotlivých </w:t>
      </w:r>
      <w:proofErr w:type="spellStart"/>
      <w:r>
        <w:t>hydroválců</w:t>
      </w:r>
      <w:proofErr w:type="spellEnd"/>
    </w:p>
    <w:p w:rsidR="004222A5" w:rsidRDefault="00672A75">
      <w:pPr>
        <w:numPr>
          <w:ilvl w:val="0"/>
          <w:numId w:val="1"/>
        </w:numPr>
        <w:ind w:left="748" w:right="0" w:hanging="374"/>
      </w:pPr>
      <w:r>
        <w:t xml:space="preserve">Projekční návrh na projednání sledování </w:t>
      </w:r>
      <w:proofErr w:type="gramStart"/>
      <w:r>
        <w:t>tlaku</w:t>
      </w:r>
      <w:proofErr w:type="gramEnd"/>
      <w:r>
        <w:t xml:space="preserve"> a tedy funkce aretačních čepů</w:t>
      </w:r>
    </w:p>
    <w:p w:rsidR="004222A5" w:rsidRDefault="00672A75">
      <w:pPr>
        <w:numPr>
          <w:ilvl w:val="0"/>
          <w:numId w:val="1"/>
        </w:numPr>
        <w:spacing w:after="228"/>
        <w:ind w:left="748" w:right="0" w:hanging="374"/>
      </w:pPr>
      <w:r>
        <w:t>Úprava popisu algoritmu řídícího systému pro řízení ovládání klapek</w:t>
      </w:r>
    </w:p>
    <w:p w:rsidR="004222A5" w:rsidRDefault="00672A75">
      <w:pPr>
        <w:pStyle w:val="Nadpis1"/>
        <w:spacing w:after="74"/>
        <w:ind w:left="23"/>
      </w:pPr>
      <w:r>
        <w:t>Havarijní ovládání klapek</w:t>
      </w:r>
    </w:p>
    <w:p w:rsidR="004222A5" w:rsidRDefault="00672A75">
      <w:pPr>
        <w:spacing w:after="132"/>
        <w:ind w:left="14" w:right="0"/>
      </w:pPr>
      <w:r>
        <w:t xml:space="preserve">Skříňka ovládání ve strojovně RS bude </w:t>
      </w:r>
      <w:r>
        <w:t>doplněna o ruční přepínač na klíč pro nouzové ovládání klapky. Odemčením přepínače v souladu s provozními předpisy provozovatele a přepnutím na nouzové ovládání se RS odpojí z funkce, ohlásí přepnutí na manuální havarijní ovládání a funguje pouze na pozadí</w:t>
      </w:r>
      <w:r>
        <w:t xml:space="preserve"> — zobrazuje polohu uzávěrů a archivuje jejich pohyb. Manuální ovládání je ovšem použitelné i v případě, že RS je v poruše, nebo vypnutý. Plně manuální ovládání lze proto za standartních podmínek uplatnit pouze v případě </w:t>
      </w:r>
      <w:proofErr w:type="spellStart"/>
      <w:r>
        <w:t>odaretované</w:t>
      </w:r>
      <w:proofErr w:type="spellEnd"/>
      <w:r>
        <w:t xml:space="preserve"> klapky, neboť pro </w:t>
      </w:r>
      <w:proofErr w:type="spellStart"/>
      <w:r>
        <w:t>odare</w:t>
      </w:r>
      <w:r>
        <w:t>taci</w:t>
      </w:r>
      <w:proofErr w:type="spellEnd"/>
      <w:r>
        <w:t xml:space="preserve"> je nezbytné disponovat přesnými údaji o poloze klapky a přístup k těmto údajům je možný pouze přes funkční Při vypnutém AS nelze zaznamenávat ani příkazy, ani pohyb klapky, neboť pro tyto funkce je nutný provoz Po přepnutí na havarijní manuální ovládá</w:t>
      </w:r>
      <w:r>
        <w:t>ní klapek ze strojovny je zablokována možnost převzít ovládání klapek do režimu manuálního ovládání z rozvodny do doby, než bude ruční havarijní ovládání vypnuto na skříňce v rozvodně.</w:t>
      </w:r>
    </w:p>
    <w:p w:rsidR="004222A5" w:rsidRDefault="00672A75">
      <w:pPr>
        <w:spacing w:after="101"/>
        <w:ind w:left="14" w:right="0"/>
      </w:pPr>
      <w:r>
        <w:t xml:space="preserve">Ovládání klapek probíhá plně ručním ovládáním mimo </w:t>
      </w:r>
      <w:proofErr w:type="gramStart"/>
      <w:r>
        <w:t>ŘSÍ</w:t>
      </w:r>
      <w:proofErr w:type="gramEnd"/>
      <w:r>
        <w:t xml:space="preserve"> a to prostřednic</w:t>
      </w:r>
      <w:r>
        <w:t>tvím programovatelného relé, které zajišťuje:</w:t>
      </w:r>
    </w:p>
    <w:p w:rsidR="004222A5" w:rsidRDefault="00672A75">
      <w:pPr>
        <w:spacing w:after="518"/>
        <w:ind w:left="729" w:right="0" w:hanging="355"/>
      </w:pPr>
      <w:r>
        <w:t>o potřebné sekvence manipulací s hydraulickými rozvaděči, jež jsou nutné pro pohyb klapky nahoru či dolů</w:t>
      </w:r>
    </w:p>
    <w:p w:rsidR="005E7AE5" w:rsidRDefault="00672A75">
      <w:pPr>
        <w:spacing w:after="0"/>
        <w:ind w:left="393" w:right="0"/>
      </w:pPr>
      <w:r>
        <w:rPr>
          <w:noProof/>
        </w:rPr>
        <w:drawing>
          <wp:inline distT="0" distB="0" distL="0" distR="0">
            <wp:extent cx="60938" cy="60962"/>
            <wp:effectExtent l="0" t="0" r="0" b="0"/>
            <wp:docPr id="9144" name="Picture 9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" name="Picture 91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8" cy="6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potřebné sekvence manipulací s hydraulickými rozvaděč</w:t>
      </w:r>
      <w:r>
        <w:t>i, jež jsou nezbytné pro ukončení pohybu klapky a k jejímu zajištění ve zvolené poloze.</w:t>
      </w:r>
    </w:p>
    <w:p w:rsidR="004222A5" w:rsidRDefault="00672A75">
      <w:pPr>
        <w:spacing w:after="0"/>
        <w:ind w:left="393" w:right="0"/>
      </w:pPr>
      <w:r>
        <w:t xml:space="preserve"> </w:t>
      </w:r>
      <w:r>
        <w:rPr>
          <w:noProof/>
        </w:rPr>
        <w:drawing>
          <wp:inline distT="0" distB="0" distL="0" distR="0">
            <wp:extent cx="60938" cy="60961"/>
            <wp:effectExtent l="0" t="0" r="0" b="0"/>
            <wp:docPr id="9145" name="Picture 9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" name="Picture 9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8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Možnost </w:t>
      </w:r>
      <w:proofErr w:type="spellStart"/>
      <w:r>
        <w:t>odartetovat</w:t>
      </w:r>
      <w:proofErr w:type="spellEnd"/>
      <w:r>
        <w:t xml:space="preserve"> klapku</w:t>
      </w:r>
    </w:p>
    <w:p w:rsidR="004222A5" w:rsidRDefault="00672A75">
      <w:pPr>
        <w:spacing w:after="472"/>
        <w:ind w:left="14" w:right="210"/>
      </w:pPr>
      <w:r>
        <w:lastRenderedPageBreak/>
        <w:t>Po přepnutí do havarijního manuálního režimu a rozběhu motoru je možno ručně manipulovat s klapkami. Pokud je nefunkční ŘS, je nezbytné sle</w:t>
      </w:r>
      <w:r>
        <w:t>dování pohybu klapky dalším pracovníkem obsluhy, která pohyb sleduje ze stanoviště mimo strojovnu a je v telefonickém spojení s obsluhou ve strojovně.</w:t>
      </w:r>
    </w:p>
    <w:p w:rsidR="004222A5" w:rsidRDefault="00672A75">
      <w:pPr>
        <w:pStyle w:val="Nadpis1"/>
        <w:ind w:left="23"/>
      </w:pPr>
      <w:r>
        <w:t>Prověření možnosti určeni polohy klapky na základě známé hladiny oleje v nádrži</w:t>
      </w:r>
    </w:p>
    <w:p w:rsidR="004222A5" w:rsidRDefault="00672A75">
      <w:pPr>
        <w:spacing w:after="428"/>
        <w:ind w:left="14" w:right="0"/>
      </w:pPr>
      <w:r>
        <w:t>Jedná se o prověření možn</w:t>
      </w:r>
      <w:r>
        <w:t>osti doplňkového určení polohy klapky na základě známé polohy hladiny oleje v nádrži za předpokladu nulových úniků oleje v systému. Zhotovitel prověří se specialisty hydraulické části možnost sledováni včetně určení přesnosti tohoto nepřímého měření a možn</w:t>
      </w:r>
      <w:r>
        <w:t>ostí jeho implementace do ŔS.</w:t>
      </w:r>
    </w:p>
    <w:p w:rsidR="004222A5" w:rsidRDefault="00672A75">
      <w:pPr>
        <w:pStyle w:val="Nadpis1"/>
        <w:spacing w:after="58"/>
        <w:ind w:left="23"/>
      </w:pPr>
      <w:r>
        <w:t xml:space="preserve">Projekční návrh sledování tlaku nad písty jednotlivých </w:t>
      </w:r>
      <w:proofErr w:type="spellStart"/>
      <w:r>
        <w:t>hydroválc</w:t>
      </w:r>
      <w:r w:rsidR="005E7AE5">
        <w:t>ů</w:t>
      </w:r>
      <w:proofErr w:type="spellEnd"/>
    </w:p>
    <w:p w:rsidR="004222A5" w:rsidRDefault="00672A75">
      <w:pPr>
        <w:spacing w:after="664"/>
        <w:ind w:left="14" w:right="0"/>
      </w:pPr>
      <w:r>
        <w:t xml:space="preserve">Jedná se o projektové řešení doplnění měření tlaků nad jednotlivými </w:t>
      </w:r>
      <w:proofErr w:type="spellStart"/>
      <w:r>
        <w:t>hydroválci</w:t>
      </w:r>
      <w:proofErr w:type="spellEnd"/>
      <w:r>
        <w:t>. Zhotovitel provede technický návrh včetně oceněného výkazu výměr a doplnění algoritmů pro doplnění vizualizace do</w:t>
      </w:r>
    </w:p>
    <w:p w:rsidR="004222A5" w:rsidRDefault="00672A75">
      <w:pPr>
        <w:pStyle w:val="Nadpis1"/>
        <w:ind w:left="23"/>
      </w:pPr>
      <w:r>
        <w:t xml:space="preserve">Projekční návrh na projednání sledování </w:t>
      </w:r>
      <w:proofErr w:type="gramStart"/>
      <w:r>
        <w:t>tlaku</w:t>
      </w:r>
      <w:proofErr w:type="gramEnd"/>
      <w:r>
        <w:t xml:space="preserve"> a tedy funkce ar</w:t>
      </w:r>
      <w:r>
        <w:t>etačních čepů</w:t>
      </w:r>
    </w:p>
    <w:p w:rsidR="004222A5" w:rsidRDefault="00672A75">
      <w:pPr>
        <w:spacing w:after="406"/>
        <w:ind w:left="14" w:right="153"/>
      </w:pPr>
      <w:r>
        <w:t xml:space="preserve">Jedná se o projektové řešení doplnění sledování tlaků u aretačních čepů, které budou doplňkovou informací pro správnou funkci aretačních čepů. Zhotovitel provede technický návrh včetně oceněného výkazu výměr a doplnění algoritmů pro doplnění </w:t>
      </w:r>
      <w:r>
        <w:t>vizualizace do RS.</w:t>
      </w:r>
    </w:p>
    <w:p w:rsidR="004222A5" w:rsidRDefault="00672A75">
      <w:pPr>
        <w:pStyle w:val="Nadpis1"/>
        <w:ind w:left="23"/>
      </w:pPr>
      <w:r>
        <w:t>Úprava popisu algoritmu řídícího systému pro řízení ovládání klapek</w:t>
      </w:r>
    </w:p>
    <w:p w:rsidR="004222A5" w:rsidRDefault="00672A75">
      <w:pPr>
        <w:spacing w:after="66"/>
        <w:ind w:left="14" w:right="0"/>
      </w:pPr>
      <w:r>
        <w:t>Předmětem prací je návrh úpravy řídícího systému na základě skutečností viz předchozí body plnění včetně prověření dostatečné kapacity RS pro vizualizaci nových hodnot.</w:t>
      </w:r>
    </w:p>
    <w:p w:rsidR="004222A5" w:rsidRDefault="00672A75">
      <w:pPr>
        <w:spacing w:after="394"/>
        <w:ind w:left="14" w:right="105"/>
      </w:pPr>
      <w:r>
        <w:t>Plnění této části prací bude úpravou dokumentu ”</w:t>
      </w:r>
      <w:proofErr w:type="spellStart"/>
      <w:r>
        <w:t>ZákIadní</w:t>
      </w:r>
      <w:proofErr w:type="spellEnd"/>
      <w:r>
        <w:t xml:space="preserve"> popis algoritmu pro ŔS na přelivném poli č. 1 a č.3" a projednání těchto úprav se zástupci objednatele.</w:t>
      </w:r>
    </w:p>
    <w:p w:rsidR="004222A5" w:rsidRDefault="00672A75">
      <w:pPr>
        <w:spacing w:after="215"/>
        <w:ind w:left="14" w:right="0"/>
      </w:pPr>
      <w:r>
        <w:t>Předmětem prací v rámci jednotlivých dílčích plnění je:</w:t>
      </w:r>
    </w:p>
    <w:p w:rsidR="005E7AE5" w:rsidRDefault="00672A75">
      <w:pPr>
        <w:spacing w:after="351"/>
        <w:ind w:left="422" w:right="114"/>
      </w:pPr>
      <w:r>
        <w:t xml:space="preserve">• </w:t>
      </w:r>
      <w:r>
        <w:t>technický návrh jednotlivých doplněni</w:t>
      </w:r>
      <w:r>
        <w:t xml:space="preserve"> a úprav hydrauliky, RS a úprav algoritmů </w:t>
      </w:r>
    </w:p>
    <w:p w:rsidR="005E7AE5" w:rsidRDefault="00672A75">
      <w:pPr>
        <w:spacing w:after="351"/>
        <w:ind w:left="422" w:right="114"/>
      </w:pPr>
      <w:r>
        <w:rPr>
          <w:noProof/>
        </w:rPr>
        <w:drawing>
          <wp:inline distT="0" distB="0" distL="0" distR="0">
            <wp:extent cx="48750" cy="48769"/>
            <wp:effectExtent l="0" t="0" r="0" b="0"/>
            <wp:docPr id="9146" name="Picture 9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" name="Picture 91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0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projednání s investorem — Chomutov 3x (vstupní výbor s </w:t>
      </w:r>
      <w:proofErr w:type="spellStart"/>
      <w:r>
        <w:t>dopřesnéním</w:t>
      </w:r>
      <w:proofErr w:type="spellEnd"/>
      <w:r>
        <w:t xml:space="preserve"> zadání + 2 výrobní výbory)</w:t>
      </w:r>
    </w:p>
    <w:p w:rsidR="005E7AE5" w:rsidRDefault="00672A75">
      <w:pPr>
        <w:spacing w:after="351"/>
        <w:ind w:left="422" w:right="114"/>
      </w:pPr>
      <w:r>
        <w:t xml:space="preserve"> </w:t>
      </w:r>
      <w:r>
        <w:rPr>
          <w:noProof/>
        </w:rPr>
        <w:drawing>
          <wp:inline distT="0" distB="0" distL="0" distR="0">
            <wp:extent cx="48750" cy="48769"/>
            <wp:effectExtent l="0" t="0" r="0" b="0"/>
            <wp:docPr id="9147" name="Picture 9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" name="Picture 91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50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dokumentace pro výběr zhotovitele</w:t>
      </w:r>
    </w:p>
    <w:p w:rsidR="005E7AE5" w:rsidRDefault="00672A75">
      <w:pPr>
        <w:spacing w:after="351"/>
        <w:ind w:left="422" w:right="114"/>
      </w:pPr>
      <w:r>
        <w:t xml:space="preserve"> </w:t>
      </w:r>
      <w:r>
        <w:rPr>
          <w:noProof/>
        </w:rPr>
        <w:drawing>
          <wp:inline distT="0" distB="0" distL="0" distR="0">
            <wp:extent cx="48750" cy="42673"/>
            <wp:effectExtent l="0" t="0" r="0" b="0"/>
            <wp:docPr id="9148" name="Picture 9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" name="Picture 9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50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oceněný výkaz výměr</w:t>
      </w:r>
    </w:p>
    <w:p w:rsidR="004222A5" w:rsidRDefault="00672A75">
      <w:pPr>
        <w:spacing w:after="351"/>
        <w:ind w:left="422" w:right="114"/>
      </w:pPr>
      <w:r>
        <w:t xml:space="preserve"> </w:t>
      </w:r>
      <w:r>
        <w:rPr>
          <w:noProof/>
        </w:rPr>
        <w:drawing>
          <wp:inline distT="0" distB="0" distL="0" distR="0">
            <wp:extent cx="48750" cy="42673"/>
            <wp:effectExtent l="0" t="0" r="0" b="0"/>
            <wp:docPr id="9149" name="Picture 9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" name="Picture 91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50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účast na </w:t>
      </w:r>
      <w:r w:rsidR="005E7AE5">
        <w:t>I</w:t>
      </w:r>
      <w:r>
        <w:t>K dálkovým přístupem</w:t>
      </w:r>
    </w:p>
    <w:p w:rsidR="004222A5" w:rsidRDefault="00672A75">
      <w:pPr>
        <w:spacing w:after="72" w:line="265" w:lineRule="auto"/>
        <w:ind w:left="23" w:right="0" w:hanging="10"/>
        <w:jc w:val="left"/>
      </w:pPr>
      <w:r>
        <w:rPr>
          <w:sz w:val="24"/>
        </w:rPr>
        <w:t>Součinnost objednatele:</w:t>
      </w:r>
    </w:p>
    <w:p w:rsidR="004222A5" w:rsidRDefault="00672A75">
      <w:pPr>
        <w:spacing w:after="513"/>
        <w:ind w:left="14" w:right="0"/>
      </w:pPr>
      <w:r>
        <w:t>Obj</w:t>
      </w:r>
      <w:r>
        <w:t>ednatel poskytne součinnost při zpřístupnění stávajícího ks a aktivní účastí na výrobních výborech. Zároveň investor v případě potřeby zajistí součinnost dodavatele řídícího systému.</w:t>
      </w:r>
    </w:p>
    <w:p w:rsidR="004222A5" w:rsidRDefault="00672A75">
      <w:pPr>
        <w:tabs>
          <w:tab w:val="center" w:pos="3997"/>
        </w:tabs>
        <w:spacing w:after="69"/>
        <w:ind w:right="0"/>
        <w:jc w:val="left"/>
      </w:pPr>
      <w:r>
        <w:t>Termín plnění:</w:t>
      </w:r>
      <w:r>
        <w:tab/>
        <w:t>do 3 měsíců od podepsání SOD</w:t>
      </w:r>
    </w:p>
    <w:p w:rsidR="004222A5" w:rsidRDefault="00672A75">
      <w:pPr>
        <w:spacing w:after="548"/>
        <w:ind w:left="14" w:right="0"/>
      </w:pPr>
      <w:r>
        <w:t>Cena prací: Cena je prací byl</w:t>
      </w:r>
      <w:r>
        <w:t>a stanovena na základě hodinových sazeb zhotovitele 1250Kč/hod</w:t>
      </w:r>
      <w:r>
        <w:rPr>
          <w:noProof/>
        </w:rPr>
        <w:drawing>
          <wp:inline distT="0" distB="0" distL="0" distR="0">
            <wp:extent cx="12188" cy="12193"/>
            <wp:effectExtent l="0" t="0" r="0" b="0"/>
            <wp:docPr id="9179" name="Picture 9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" name="Picture 91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A5" w:rsidRDefault="004222A5">
      <w:pPr>
        <w:spacing w:after="0" w:line="259" w:lineRule="auto"/>
        <w:ind w:left="1823" w:right="0"/>
        <w:jc w:val="left"/>
      </w:pPr>
    </w:p>
    <w:p w:rsidR="005E7AE5" w:rsidRDefault="005E7AE5">
      <w:pPr>
        <w:spacing w:after="0" w:line="259" w:lineRule="auto"/>
        <w:ind w:left="1823" w:right="0"/>
        <w:jc w:val="left"/>
      </w:pPr>
    </w:p>
    <w:p w:rsidR="005E7AE5" w:rsidRDefault="005E7AE5">
      <w:pPr>
        <w:spacing w:after="0" w:line="259" w:lineRule="auto"/>
        <w:ind w:left="1823" w:right="0"/>
        <w:jc w:val="left"/>
      </w:pPr>
    </w:p>
    <w:p w:rsidR="005E7AE5" w:rsidRDefault="005E7AE5">
      <w:pPr>
        <w:spacing w:after="0" w:line="259" w:lineRule="auto"/>
        <w:ind w:left="1823" w:right="0"/>
        <w:jc w:val="left"/>
      </w:pPr>
    </w:p>
    <w:tbl>
      <w:tblPr>
        <w:tblStyle w:val="TableGrid"/>
        <w:tblW w:w="8746" w:type="dxa"/>
        <w:tblInd w:w="48" w:type="dxa"/>
        <w:tblCellMar>
          <w:top w:w="13" w:type="dxa"/>
          <w:left w:w="61" w:type="dxa"/>
          <w:bottom w:w="12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798"/>
        <w:gridCol w:w="989"/>
        <w:gridCol w:w="1415"/>
      </w:tblGrid>
      <w:tr w:rsidR="004222A5">
        <w:trPr>
          <w:trHeight w:val="390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25" w:right="0"/>
            </w:pPr>
            <w:r>
              <w:rPr>
                <w:sz w:val="26"/>
              </w:rPr>
              <w:t xml:space="preserve">část 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29" w:right="0"/>
              <w:jc w:val="left"/>
            </w:pPr>
            <w:r>
              <w:t>předmět činnosti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44"/>
              <w:jc w:val="center"/>
            </w:pPr>
            <w:r>
              <w:rPr>
                <w:sz w:val="24"/>
              </w:rPr>
              <w:t>hodiny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48"/>
              <w:jc w:val="center"/>
            </w:pPr>
            <w:r>
              <w:rPr>
                <w:sz w:val="24"/>
              </w:rPr>
              <w:t>Cena Kč</w:t>
            </w:r>
          </w:p>
        </w:tc>
      </w:tr>
      <w:tr w:rsidR="004222A5">
        <w:trPr>
          <w:trHeight w:val="643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67"/>
              <w:jc w:val="center"/>
            </w:pPr>
            <w:r>
              <w:t>1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0" w:firstLine="10"/>
            </w:pPr>
            <w:r>
              <w:rPr>
                <w:sz w:val="24"/>
              </w:rPr>
              <w:t>Analýza systému, prohlídka RS základní definice zadání jako podklad pro VVV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22A5" w:rsidRDefault="00672A75">
            <w:pPr>
              <w:spacing w:after="0" w:line="259" w:lineRule="auto"/>
              <w:ind w:left="215" w:right="0"/>
              <w:jc w:val="center"/>
            </w:pPr>
            <w:r>
              <w:rPr>
                <w:sz w:val="24"/>
              </w:rPr>
              <w:t>52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22A5" w:rsidRDefault="00672A75">
            <w:pPr>
              <w:spacing w:after="0" w:line="259" w:lineRule="auto"/>
              <w:ind w:right="67"/>
              <w:jc w:val="right"/>
            </w:pPr>
            <w:r>
              <w:rPr>
                <w:sz w:val="24"/>
              </w:rPr>
              <w:t>65 000</w:t>
            </w:r>
          </w:p>
        </w:tc>
      </w:tr>
      <w:tr w:rsidR="004222A5">
        <w:trPr>
          <w:trHeight w:val="643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67"/>
              <w:jc w:val="center"/>
            </w:pPr>
            <w:r>
              <w:t>2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20" w:right="0" w:hanging="10"/>
              <w:jc w:val="left"/>
            </w:pPr>
            <w:r>
              <w:rPr>
                <w:sz w:val="24"/>
              </w:rPr>
              <w:t>Vstupní výrobní výbor a následné zpracování 1. verze úprav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22A5" w:rsidRDefault="00672A75">
            <w:pPr>
              <w:spacing w:after="0" w:line="259" w:lineRule="auto"/>
              <w:ind w:left="205" w:right="0"/>
              <w:jc w:val="center"/>
            </w:pPr>
            <w:r>
              <w:rPr>
                <w:sz w:val="24"/>
              </w:rPr>
              <w:t>96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4"/>
              </w:rPr>
              <w:t>120 000</w:t>
            </w:r>
          </w:p>
        </w:tc>
      </w:tr>
      <w:tr w:rsidR="004222A5">
        <w:trPr>
          <w:trHeight w:val="394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48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29" w:right="0"/>
              <w:jc w:val="left"/>
            </w:pPr>
            <w:r>
              <w:rPr>
                <w:sz w:val="24"/>
              </w:rPr>
              <w:t xml:space="preserve">Koncept </w:t>
            </w:r>
            <w:proofErr w:type="spellStart"/>
            <w:r>
              <w:rPr>
                <w:sz w:val="24"/>
              </w:rPr>
              <w:t>DZSt</w:t>
            </w:r>
            <w:proofErr w:type="spellEnd"/>
            <w:r>
              <w:rPr>
                <w:sz w:val="24"/>
              </w:rPr>
              <w:t xml:space="preserve"> projednání na VV2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215" w:right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67"/>
              <w:jc w:val="right"/>
            </w:pPr>
            <w:r>
              <w:rPr>
                <w:sz w:val="24"/>
              </w:rPr>
              <w:t>42 500</w:t>
            </w:r>
          </w:p>
        </w:tc>
      </w:tr>
      <w:tr w:rsidR="004222A5">
        <w:trPr>
          <w:trHeight w:val="464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58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10" w:right="0"/>
              <w:jc w:val="left"/>
            </w:pPr>
            <w:r>
              <w:rPr>
                <w:sz w:val="26"/>
              </w:rPr>
              <w:t>ZVV, zapracování připomínek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2A5" w:rsidRDefault="00672A75">
            <w:pPr>
              <w:spacing w:after="0" w:line="259" w:lineRule="auto"/>
              <w:ind w:left="196" w:right="0"/>
              <w:jc w:val="center"/>
            </w:pPr>
            <w:r>
              <w:rPr>
                <w:sz w:val="26"/>
              </w:rPr>
              <w:t>40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4"/>
              </w:rPr>
              <w:t>50 000</w:t>
            </w:r>
          </w:p>
        </w:tc>
      </w:tr>
      <w:tr w:rsidR="004222A5">
        <w:trPr>
          <w:trHeight w:val="394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58"/>
              <w:jc w:val="center"/>
            </w:pPr>
            <w:r>
              <w:t>5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Soupis prací a dodávek, oceněný soupis prací a dodávek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80" w:right="0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4"/>
              </w:rPr>
              <w:t>10 000</w:t>
            </w:r>
          </w:p>
        </w:tc>
      </w:tr>
      <w:tr w:rsidR="004222A5">
        <w:trPr>
          <w:trHeight w:val="390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67"/>
              <w:jc w:val="center"/>
            </w:pPr>
            <w:r>
              <w:t>6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19" w:right="0"/>
              <w:jc w:val="left"/>
            </w:pPr>
            <w:proofErr w:type="spellStart"/>
            <w:r>
              <w:rPr>
                <w:sz w:val="24"/>
              </w:rPr>
              <w:t>Učast</w:t>
            </w:r>
            <w:proofErr w:type="spellEnd"/>
            <w:r>
              <w:rPr>
                <w:sz w:val="24"/>
              </w:rPr>
              <w:t xml:space="preserve"> na </w:t>
            </w:r>
            <w:proofErr w:type="gramStart"/>
            <w:r>
              <w:rPr>
                <w:sz w:val="24"/>
              </w:rPr>
              <w:t>1K</w:t>
            </w:r>
            <w:proofErr w:type="gramEnd"/>
            <w:r>
              <w:rPr>
                <w:sz w:val="24"/>
              </w:rPr>
              <w:t xml:space="preserve"> objednatele včetně přípravy podkladů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71" w:right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4"/>
              </w:rPr>
              <w:t>5 000</w:t>
            </w:r>
          </w:p>
        </w:tc>
      </w:tr>
      <w:tr w:rsidR="004222A5">
        <w:trPr>
          <w:trHeight w:val="397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67"/>
              <w:jc w:val="center"/>
            </w:pPr>
            <w:r>
              <w:t>7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19" w:right="0"/>
              <w:jc w:val="left"/>
            </w:pPr>
            <w:r>
              <w:rPr>
                <w:sz w:val="24"/>
              </w:rPr>
              <w:t xml:space="preserve">Kompletace. </w:t>
            </w:r>
            <w:proofErr w:type="spellStart"/>
            <w:r>
              <w:rPr>
                <w:sz w:val="24"/>
              </w:rPr>
              <w:t>formatizace</w:t>
            </w:r>
            <w:proofErr w:type="spellEnd"/>
            <w:r>
              <w:rPr>
                <w:sz w:val="24"/>
              </w:rPr>
              <w:t xml:space="preserve"> a tisk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71" w:right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4"/>
              </w:rPr>
              <w:t>5 000</w:t>
            </w:r>
          </w:p>
        </w:tc>
      </w:tr>
      <w:tr w:rsidR="004222A5">
        <w:trPr>
          <w:trHeight w:val="400"/>
        </w:trPr>
        <w:tc>
          <w:tcPr>
            <w:tcW w:w="6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16" w:right="0"/>
              <w:jc w:val="left"/>
            </w:pPr>
            <w:r>
              <w:rPr>
                <w:sz w:val="24"/>
              </w:rPr>
              <w:t>Nabídková cena celkem bez DPH v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22A5" w:rsidRDefault="004222A5">
            <w:pPr>
              <w:spacing w:after="160" w:line="259" w:lineRule="auto"/>
              <w:ind w:right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4"/>
              </w:rPr>
              <w:t>297 500</w:t>
            </w:r>
          </w:p>
        </w:tc>
      </w:tr>
      <w:tr w:rsidR="004222A5">
        <w:trPr>
          <w:trHeight w:val="388"/>
        </w:trPr>
        <w:tc>
          <w:tcPr>
            <w:tcW w:w="6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25" w:right="0"/>
              <w:jc w:val="left"/>
            </w:pPr>
            <w:r>
              <w:rPr>
                <w:sz w:val="24"/>
              </w:rPr>
              <w:t xml:space="preserve">DPH </w:t>
            </w:r>
            <w:proofErr w:type="gramStart"/>
            <w:r>
              <w:rPr>
                <w:sz w:val="24"/>
              </w:rPr>
              <w:t>21%</w:t>
            </w:r>
            <w:proofErr w:type="gram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22A5" w:rsidRDefault="004222A5">
            <w:pPr>
              <w:spacing w:after="160" w:line="259" w:lineRule="auto"/>
              <w:ind w:right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6"/>
              </w:rPr>
              <w:t>62 475</w:t>
            </w:r>
          </w:p>
        </w:tc>
      </w:tr>
      <w:tr w:rsidR="004222A5">
        <w:trPr>
          <w:trHeight w:val="394"/>
        </w:trPr>
        <w:tc>
          <w:tcPr>
            <w:tcW w:w="6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left="16" w:right="0"/>
              <w:jc w:val="left"/>
            </w:pPr>
            <w:r>
              <w:rPr>
                <w:sz w:val="24"/>
              </w:rPr>
              <w:t>Celková cena včetně DPH v Kč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22A5" w:rsidRDefault="004222A5">
            <w:pPr>
              <w:spacing w:after="160" w:line="259" w:lineRule="auto"/>
              <w:ind w:right="0"/>
              <w:jc w:val="left"/>
            </w:pP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2A5" w:rsidRDefault="00672A75">
            <w:pPr>
              <w:spacing w:after="0" w:line="259" w:lineRule="auto"/>
              <w:ind w:right="77"/>
              <w:jc w:val="right"/>
            </w:pPr>
            <w:r>
              <w:rPr>
                <w:sz w:val="24"/>
              </w:rPr>
              <w:t>359 975</w:t>
            </w:r>
          </w:p>
        </w:tc>
      </w:tr>
    </w:tbl>
    <w:p w:rsidR="004222A5" w:rsidRDefault="00672A75">
      <w:pPr>
        <w:pStyle w:val="Nadpis1"/>
        <w:tabs>
          <w:tab w:val="center" w:pos="7474"/>
        </w:tabs>
        <w:spacing w:after="740"/>
        <w:ind w:left="0" w:firstLine="0"/>
      </w:pPr>
      <w:r>
        <w:t>Nabídková cena celkem</w:t>
      </w:r>
      <w:r>
        <w:tab/>
        <w:t>297 500,- Kč bez DPH</w:t>
      </w:r>
    </w:p>
    <w:p w:rsidR="004222A5" w:rsidRDefault="00672A75">
      <w:pPr>
        <w:ind w:left="14" w:right="0"/>
      </w:pPr>
      <w:r>
        <w:t>S pozdravem</w:t>
      </w:r>
    </w:p>
    <w:p w:rsidR="004222A5" w:rsidRDefault="004222A5">
      <w:pPr>
        <w:sectPr w:rsidR="004222A5">
          <w:headerReference w:type="even" r:id="rId15"/>
          <w:headerReference w:type="default" r:id="rId16"/>
          <w:headerReference w:type="first" r:id="rId17"/>
          <w:pgSz w:w="11904" w:h="16829"/>
          <w:pgMar w:top="2179" w:right="2074" w:bottom="634" w:left="1094" w:header="854" w:footer="708" w:gutter="0"/>
          <w:cols w:space="708"/>
        </w:sectPr>
      </w:pPr>
    </w:p>
    <w:p w:rsidR="004222A5" w:rsidRDefault="00672A75">
      <w:pPr>
        <w:spacing w:after="5477"/>
        <w:ind w:left="5011" w:right="1632" w:firstLine="221"/>
      </w:pPr>
      <w:r>
        <w:t xml:space="preserve">Ředitel divize Hydrotechnika, </w:t>
      </w:r>
      <w:bookmarkStart w:id="0" w:name="_GoBack"/>
      <w:bookmarkEnd w:id="0"/>
      <w:r>
        <w:t>ekologie a odpadové hospodářství</w:t>
      </w:r>
    </w:p>
    <w:sectPr w:rsidR="004222A5">
      <w:type w:val="continuous"/>
      <w:pgSz w:w="11904" w:h="16829"/>
      <w:pgMar w:top="2207" w:right="701" w:bottom="714" w:left="11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75" w:rsidRDefault="00672A75">
      <w:pPr>
        <w:spacing w:after="0" w:line="240" w:lineRule="auto"/>
      </w:pPr>
      <w:r>
        <w:separator/>
      </w:r>
    </w:p>
  </w:endnote>
  <w:endnote w:type="continuationSeparator" w:id="0">
    <w:p w:rsidR="00672A75" w:rsidRDefault="0067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75" w:rsidRDefault="00672A75">
      <w:pPr>
        <w:spacing w:after="0" w:line="240" w:lineRule="auto"/>
      </w:pPr>
      <w:r>
        <w:separator/>
      </w:r>
    </w:p>
  </w:footnote>
  <w:footnote w:type="continuationSeparator" w:id="0">
    <w:p w:rsidR="00672A75" w:rsidRDefault="0067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A5" w:rsidRDefault="00672A75">
    <w:pPr>
      <w:spacing w:after="0" w:line="259" w:lineRule="auto"/>
      <w:ind w:right="-768"/>
      <w:jc w:val="right"/>
    </w:pPr>
    <w:r>
      <w:rPr>
        <w:sz w:val="48"/>
      </w:rPr>
      <w:t>SWECO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A5" w:rsidRDefault="00672A75">
    <w:pPr>
      <w:spacing w:after="0" w:line="259" w:lineRule="auto"/>
      <w:ind w:right="-768"/>
      <w:jc w:val="right"/>
    </w:pPr>
    <w:r>
      <w:rPr>
        <w:sz w:val="48"/>
      </w:rPr>
      <w:t>SWECO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A5" w:rsidRDefault="00672A75">
    <w:pPr>
      <w:spacing w:after="0" w:line="259" w:lineRule="auto"/>
      <w:ind w:right="-768"/>
      <w:jc w:val="right"/>
    </w:pPr>
    <w:r>
      <w:rPr>
        <w:sz w:val="48"/>
      </w:rPr>
      <w:t>SWECO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14F7A"/>
    <w:multiLevelType w:val="hybridMultilevel"/>
    <w:tmpl w:val="6C8A64E2"/>
    <w:lvl w:ilvl="0" w:tplc="B24A4D50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0816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4B98A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45A74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006F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C2B84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68D18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A1D3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60AC2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5"/>
    <w:rsid w:val="004222A5"/>
    <w:rsid w:val="005E7AE5"/>
    <w:rsid w:val="006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F56F"/>
  <w15:docId w15:val="{F899FD76-9B70-4530-8DD0-CDDFB4B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8" w:line="220" w:lineRule="auto"/>
      <w:ind w:right="100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" w:line="265" w:lineRule="auto"/>
      <w:ind w:left="2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Toušková (Povodí Ohře)</dc:creator>
  <cp:keywords/>
  <cp:lastModifiedBy>Michaela Toušková (Povodí Ohře)</cp:lastModifiedBy>
  <cp:revision>2</cp:revision>
  <dcterms:created xsi:type="dcterms:W3CDTF">2024-10-02T06:05:00Z</dcterms:created>
  <dcterms:modified xsi:type="dcterms:W3CDTF">2024-10-02T06:05:00Z</dcterms:modified>
</cp:coreProperties>
</file>