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0"/>
        <w:ind w:left="116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5220300595</w:t>
      </w:r>
    </w:p>
    <w:p>
      <w:pPr>
        <w:spacing w:line="425" w:lineRule="exact" w:before="0"/>
        <w:ind w:left="116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16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spacing w:before="1"/>
        <w:ind w:left="24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2"/>
        <w:ind w:left="242"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ind w:left="24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ind w:left="242" w:right="0"/>
        <w:jc w:val="left"/>
      </w:pPr>
      <w:r>
        <w:rPr/>
        <w:t>Výzkumný</w:t>
      </w:r>
      <w:r>
        <w:rPr>
          <w:spacing w:val="-7"/>
        </w:rPr>
        <w:t> </w:t>
      </w:r>
      <w:r>
        <w:rPr/>
        <w:t>ústav</w:t>
      </w:r>
      <w:r>
        <w:rPr>
          <w:spacing w:val="-7"/>
        </w:rPr>
        <w:t> </w:t>
      </w:r>
      <w:r>
        <w:rPr/>
        <w:t>Silva</w:t>
      </w:r>
      <w:r>
        <w:rPr>
          <w:spacing w:val="-6"/>
        </w:rPr>
        <w:t> </w:t>
      </w:r>
      <w:r>
        <w:rPr/>
        <w:t>Taroucy</w:t>
      </w:r>
      <w:r>
        <w:rPr>
          <w:spacing w:val="-6"/>
        </w:rPr>
        <w:t> </w:t>
      </w:r>
      <w:r>
        <w:rPr/>
        <w:t>pro</w:t>
      </w:r>
      <w:r>
        <w:rPr>
          <w:spacing w:val="-6"/>
        </w:rPr>
        <w:t> </w:t>
      </w:r>
      <w:r>
        <w:rPr/>
        <w:t>krajinu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okrasné</w:t>
      </w:r>
      <w:r>
        <w:rPr>
          <w:spacing w:val="-7"/>
        </w:rPr>
        <w:t> </w:t>
      </w:r>
      <w:r>
        <w:rPr/>
        <w:t>zahradnictví,</w:t>
      </w:r>
      <w:r>
        <w:rPr>
          <w:spacing w:val="-6"/>
        </w:rPr>
        <w:t> </w:t>
      </w:r>
      <w:r>
        <w:rPr/>
        <w:t>v.</w:t>
      </w:r>
      <w:r>
        <w:rPr>
          <w:spacing w:val="-5"/>
        </w:rPr>
        <w:t> </w:t>
      </w:r>
      <w:r>
        <w:rPr/>
        <w:t>v.</w:t>
      </w:r>
      <w:r>
        <w:rPr>
          <w:spacing w:val="-5"/>
        </w:rPr>
        <w:t> i.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Květnové</w:t>
      </w:r>
      <w:r>
        <w:rPr>
          <w:spacing w:val="-6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391,</w:t>
      </w:r>
      <w:r>
        <w:rPr>
          <w:spacing w:val="-6"/>
        </w:rPr>
        <w:t> </w:t>
      </w:r>
      <w:r>
        <w:rPr/>
        <w:t>252</w:t>
      </w:r>
      <w:r>
        <w:rPr>
          <w:spacing w:val="-3"/>
        </w:rPr>
        <w:t> </w:t>
      </w:r>
      <w:r>
        <w:rPr/>
        <w:t>43</w:t>
      </w:r>
      <w:r>
        <w:rPr>
          <w:spacing w:val="-5"/>
        </w:rPr>
        <w:t> </w:t>
      </w:r>
      <w:r>
        <w:rPr>
          <w:spacing w:val="-2"/>
        </w:rPr>
        <w:t>Průhonice</w:t>
      </w:r>
    </w:p>
    <w:p>
      <w:pPr>
        <w:pStyle w:val="BodyText"/>
        <w:tabs>
          <w:tab w:pos="3122" w:val="left" w:leader="none"/>
        </w:tabs>
        <w:ind w:left="24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00027073</w:t>
      </w:r>
    </w:p>
    <w:p>
      <w:pPr>
        <w:pStyle w:val="BodyText"/>
        <w:tabs>
          <w:tab w:pos="3122" w:val="left" w:leader="none"/>
        </w:tabs>
        <w:ind w:left="24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Liborem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70092-</w:t>
      </w:r>
      <w:r>
        <w:rPr>
          <w:spacing w:val="-2"/>
        </w:rPr>
        <w:t>5122111/0710</w:t>
      </w:r>
    </w:p>
    <w:p>
      <w:pPr>
        <w:pStyle w:val="BodyText"/>
        <w:ind w:left="24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  <w:ind w:left="24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166" w:right="1038"/>
      </w:pPr>
      <w:r>
        <w:rPr>
          <w:spacing w:val="-5"/>
        </w:rPr>
        <w:t>I.</w:t>
      </w:r>
    </w:p>
    <w:p>
      <w:pPr>
        <w:pStyle w:val="Heading2"/>
        <w:spacing w:before="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5220300595 o poskytnutí finančních prostředků ze Státního fondu životního prostředí ČR ze dne 22.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120" w:after="0"/>
        <w:ind w:left="60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60" w:top="1260" w:bottom="1660" w:left="146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0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797" w:right="0"/>
        <w:jc w:val="both"/>
      </w:pPr>
      <w:r>
        <w:rPr/>
        <w:t>„Pořízení</w:t>
      </w:r>
      <w:r>
        <w:rPr>
          <w:spacing w:val="-10"/>
        </w:rPr>
        <w:t> </w:t>
      </w:r>
      <w:r>
        <w:rPr>
          <w:spacing w:val="-2"/>
        </w:rPr>
        <w:t>elektrovozíku“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118" w:after="0"/>
        <w:ind w:left="601" w:right="113" w:hanging="360"/>
        <w:jc w:val="both"/>
        <w:rPr>
          <w:sz w:val="20"/>
        </w:rPr>
      </w:pPr>
      <w:r>
        <w:rPr>
          <w:sz w:val="20"/>
        </w:rPr>
        <w:t>Podpora je poskytována v souladu s</w:t>
      </w:r>
      <w:r>
        <w:rPr>
          <w:spacing w:val="-3"/>
          <w:sz w:val="20"/>
        </w:rPr>
        <w:t> </w:t>
      </w:r>
      <w:r>
        <w:rPr>
          <w:sz w:val="20"/>
        </w:rPr>
        <w:t>Nařízením Komise 2023/2831 ze dne 13. prosince 2023 o použití článků 107 a 108 Smlouvy o fungování Evropské unie na podporu de minimis, zveřejněném v Úředním věstníku EU dne 15. 12. 2023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1166" w:right="1038"/>
      </w:pPr>
      <w:r>
        <w:rPr>
          <w:spacing w:val="-5"/>
        </w:rPr>
        <w:t>II.</w:t>
      </w:r>
    </w:p>
    <w:p>
      <w:pPr>
        <w:pStyle w:val="Heading2"/>
        <w:ind w:left="116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4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b/>
          <w:sz w:val="20"/>
        </w:rPr>
        <w:t>100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sto</w:t>
      </w:r>
    </w:p>
    <w:p>
      <w:pPr>
        <w:pStyle w:val="BodyText"/>
        <w:spacing w:line="265" w:lineRule="exact"/>
      </w:pP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6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163"/>
      </w:pPr>
      <w:r>
        <w:rPr>
          <w:spacing w:val="-4"/>
        </w:rPr>
        <w:t>III.</w:t>
      </w:r>
    </w:p>
    <w:p>
      <w:pPr>
        <w:pStyle w:val="Heading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60" w:top="1260" w:bottom="1660" w:left="146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00" w:after="0"/>
        <w:ind w:left="52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2" w:right="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Pořízení</w:t>
      </w:r>
      <w:r>
        <w:rPr>
          <w:spacing w:val="-2"/>
          <w:sz w:val="20"/>
        </w:rPr>
        <w:t> </w:t>
      </w:r>
      <w:r>
        <w:rPr>
          <w:sz w:val="20"/>
        </w:rPr>
        <w:t>elektrovozíku byla provedena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Výzvou,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jejími</w:t>
      </w:r>
      <w:r>
        <w:rPr>
          <w:spacing w:val="-2"/>
          <w:sz w:val="20"/>
        </w:rPr>
        <w:t> </w:t>
      </w:r>
      <w:r>
        <w:rPr>
          <w:sz w:val="20"/>
        </w:rPr>
        <w:t>přílohami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spacing w:before="1"/>
        <w:ind w:left="601"/>
        <w:jc w:val="both"/>
      </w:pPr>
      <w:r>
        <w:rPr/>
        <w:t>touto</w:t>
      </w:r>
      <w:r>
        <w:rPr>
          <w:spacing w:val="-4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27.</w:t>
      </w:r>
      <w:r>
        <w:rPr>
          <w:spacing w:val="-4"/>
          <w:sz w:val="20"/>
        </w:rPr>
        <w:t> </w:t>
      </w:r>
      <w:r>
        <w:rPr>
          <w:sz w:val="20"/>
        </w:rPr>
        <w:t>8.</w:t>
      </w:r>
      <w:r>
        <w:rPr>
          <w:spacing w:val="-5"/>
          <w:sz w:val="20"/>
        </w:rPr>
        <w:t> </w:t>
      </w:r>
      <w:r>
        <w:rPr>
          <w:sz w:val="20"/>
        </w:rPr>
        <w:t>2024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66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60" w:top="1260" w:bottom="1660" w:left="146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00" w:after="0"/>
        <w:ind w:left="60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9" w:after="0"/>
        <w:ind w:left="60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2" w:after="0"/>
        <w:ind w:left="60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9" w:after="0"/>
        <w:ind w:left="60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60" w:top="1260" w:bottom="1660" w:left="146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00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950" w:val="left" w:leader="none"/>
        </w:tabs>
        <w:spacing w:line="240" w:lineRule="auto" w:before="121" w:after="0"/>
        <w:ind w:left="95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16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 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21" w:after="0"/>
        <w:ind w:left="60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60" w:top="1260" w:bottom="1660" w:left="146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00" w:after="0"/>
        <w:ind w:left="602" w:right="0" w:hanging="360"/>
        <w:jc w:val="left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60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16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60" w:top="1260" w:bottom="1660" w:left="146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00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24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708" w:footer="1460" w:top="12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92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7673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6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63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2024-10-01T12:39:05Z</dcterms:created>
  <dcterms:modified xsi:type="dcterms:W3CDTF">2024-10-01T12:39:05Z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2024-10-01T00:00:00Z</vt:filetime>
  </property>
</Properties>
</file>