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3"/>
      </w:tblGrid>
      <w:tr w:rsidR="0062368D" w:rsidRPr="0062368D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62368D" w:rsidRDefault="002B0300" w:rsidP="00560627">
            <w:pPr>
              <w:pStyle w:val="Nzev"/>
              <w:spacing w:line="252" w:lineRule="auto"/>
              <w:rPr>
                <w:spacing w:val="20"/>
                <w:sz w:val="40"/>
                <w:szCs w:val="40"/>
              </w:rPr>
            </w:pPr>
            <w:r w:rsidRPr="0062368D">
              <w:rPr>
                <w:spacing w:val="20"/>
                <w:sz w:val="40"/>
                <w:szCs w:val="40"/>
              </w:rPr>
              <w:t>S</w:t>
            </w:r>
            <w:r w:rsidR="00783269" w:rsidRPr="0062368D">
              <w:rPr>
                <w:spacing w:val="20"/>
                <w:sz w:val="40"/>
                <w:szCs w:val="40"/>
              </w:rPr>
              <w:t>mlouva</w:t>
            </w:r>
            <w:r w:rsidRPr="0062368D">
              <w:rPr>
                <w:spacing w:val="20"/>
                <w:sz w:val="40"/>
                <w:szCs w:val="40"/>
              </w:rPr>
              <w:t xml:space="preserve"> o nájmu</w:t>
            </w:r>
          </w:p>
          <w:p w14:paraId="61216A6F" w14:textId="03F70C15" w:rsidR="004D7C96" w:rsidRPr="0062368D" w:rsidRDefault="00730244" w:rsidP="00560627">
            <w:pPr>
              <w:pStyle w:val="Nzev"/>
              <w:spacing w:line="252" w:lineRule="auto"/>
              <w:rPr>
                <w:spacing w:val="20"/>
                <w:sz w:val="40"/>
                <w:szCs w:val="40"/>
              </w:rPr>
            </w:pPr>
            <w:r w:rsidRPr="0062368D">
              <w:rPr>
                <w:smallCaps w:val="0"/>
                <w:spacing w:val="20"/>
                <w:sz w:val="36"/>
                <w:szCs w:val="36"/>
              </w:rPr>
              <w:t>Dodat</w:t>
            </w:r>
            <w:r w:rsidR="004D7C96" w:rsidRPr="0062368D">
              <w:rPr>
                <w:smallCaps w:val="0"/>
                <w:spacing w:val="20"/>
                <w:sz w:val="36"/>
                <w:szCs w:val="36"/>
              </w:rPr>
              <w:t xml:space="preserve">ek č. </w:t>
            </w:r>
            <w:r w:rsidR="00516631" w:rsidRPr="0062368D">
              <w:rPr>
                <w:smallCaps w:val="0"/>
                <w:spacing w:val="20"/>
                <w:sz w:val="36"/>
                <w:szCs w:val="36"/>
              </w:rPr>
              <w:t>1</w:t>
            </w:r>
            <w:r w:rsidR="00A47EB6">
              <w:rPr>
                <w:smallCaps w:val="0"/>
                <w:spacing w:val="20"/>
                <w:sz w:val="36"/>
                <w:szCs w:val="36"/>
              </w:rPr>
              <w:t>5</w:t>
            </w:r>
          </w:p>
        </w:tc>
      </w:tr>
    </w:tbl>
    <w:p w14:paraId="5CCB9F1B" w14:textId="77777777" w:rsidR="004D7C96" w:rsidRPr="0062368D" w:rsidRDefault="004D7C96" w:rsidP="00560627">
      <w:pPr>
        <w:spacing w:line="252" w:lineRule="auto"/>
        <w:jc w:val="both"/>
        <w:rPr>
          <w:b/>
          <w:szCs w:val="24"/>
        </w:rPr>
      </w:pPr>
    </w:p>
    <w:p w14:paraId="44DFCA96" w14:textId="00370AE2" w:rsidR="004D7C96" w:rsidRPr="0062368D" w:rsidRDefault="004D7C96" w:rsidP="00560627">
      <w:pPr>
        <w:spacing w:line="252" w:lineRule="auto"/>
        <w:jc w:val="both"/>
        <w:rPr>
          <w:rStyle w:val="preformatted"/>
        </w:rPr>
      </w:pPr>
      <w:r w:rsidRPr="0062368D">
        <w:rPr>
          <w:rStyle w:val="preformatted"/>
          <w:b/>
        </w:rPr>
        <w:t>CIF A</w:t>
      </w:r>
      <w:r w:rsidR="00BF49B0" w:rsidRPr="0062368D">
        <w:rPr>
          <w:rStyle w:val="preformatted"/>
          <w:b/>
        </w:rPr>
        <w:t>lf</w:t>
      </w:r>
      <w:r w:rsidRPr="0062368D">
        <w:rPr>
          <w:rStyle w:val="preformatted"/>
          <w:b/>
        </w:rPr>
        <w:t>a</w:t>
      </w:r>
      <w:r w:rsidR="00BF49B0" w:rsidRPr="0062368D">
        <w:rPr>
          <w:rStyle w:val="preformatted"/>
          <w:b/>
        </w:rPr>
        <w:t xml:space="preserve"> </w:t>
      </w:r>
      <w:r w:rsidRPr="0062368D">
        <w:rPr>
          <w:rStyle w:val="preformatted"/>
          <w:b/>
        </w:rPr>
        <w:t>s.</w:t>
      </w:r>
      <w:r w:rsidR="00BF49B0" w:rsidRPr="0062368D">
        <w:rPr>
          <w:rStyle w:val="preformatted"/>
          <w:b/>
        </w:rPr>
        <w:t>r.o.</w:t>
      </w:r>
      <w:r w:rsidRPr="0062368D">
        <w:rPr>
          <w:rStyle w:val="preformatted"/>
        </w:rPr>
        <w:t xml:space="preserve">, </w:t>
      </w:r>
    </w:p>
    <w:p w14:paraId="586BBE33" w14:textId="5BFF5621" w:rsidR="004D7C96" w:rsidRPr="0062368D" w:rsidRDefault="004D7C96" w:rsidP="00560627">
      <w:pPr>
        <w:spacing w:line="252" w:lineRule="auto"/>
        <w:jc w:val="both"/>
      </w:pPr>
      <w:r w:rsidRPr="0062368D">
        <w:rPr>
          <w:rStyle w:val="preformatted"/>
        </w:rPr>
        <w:t xml:space="preserve">se sídlem </w:t>
      </w:r>
      <w:r w:rsidRPr="0062368D">
        <w:t xml:space="preserve">Praha 10, Malešice, Počernická 272/96, PSČ 108 00, </w:t>
      </w:r>
    </w:p>
    <w:p w14:paraId="386C7EF9" w14:textId="4C817A4C" w:rsidR="004D7C96" w:rsidRPr="0062368D" w:rsidRDefault="004D7C96" w:rsidP="00560627">
      <w:pPr>
        <w:spacing w:line="252" w:lineRule="auto"/>
        <w:jc w:val="both"/>
        <w:rPr>
          <w:rStyle w:val="nowrap"/>
        </w:rPr>
      </w:pPr>
      <w:r w:rsidRPr="0062368D">
        <w:t xml:space="preserve">IČ: </w:t>
      </w:r>
      <w:r w:rsidR="00BF49B0" w:rsidRPr="0062368D">
        <w:t>1</w:t>
      </w:r>
      <w:r w:rsidRPr="0062368D">
        <w:rPr>
          <w:rStyle w:val="nowrap"/>
        </w:rPr>
        <w:t>7</w:t>
      </w:r>
      <w:r w:rsidR="00BF49B0" w:rsidRPr="0062368D">
        <w:rPr>
          <w:rStyle w:val="nowrap"/>
        </w:rPr>
        <w:t>9</w:t>
      </w:r>
      <w:r w:rsidRPr="0062368D">
        <w:rPr>
          <w:rStyle w:val="nowrap"/>
        </w:rPr>
        <w:t xml:space="preserve"> </w:t>
      </w:r>
      <w:r w:rsidR="00BF49B0" w:rsidRPr="0062368D">
        <w:rPr>
          <w:rStyle w:val="nowrap"/>
        </w:rPr>
        <w:t>75</w:t>
      </w:r>
      <w:r w:rsidRPr="0062368D">
        <w:rPr>
          <w:rStyle w:val="nowrap"/>
        </w:rPr>
        <w:t xml:space="preserve"> 0</w:t>
      </w:r>
      <w:r w:rsidR="00BF49B0" w:rsidRPr="0062368D">
        <w:rPr>
          <w:rStyle w:val="nowrap"/>
        </w:rPr>
        <w:t>93</w:t>
      </w:r>
      <w:r w:rsidRPr="0062368D">
        <w:rPr>
          <w:rStyle w:val="nowrap"/>
        </w:rPr>
        <w:t>, DIČ: CZ</w:t>
      </w:r>
      <w:r w:rsidR="00BF49B0" w:rsidRPr="0062368D">
        <w:rPr>
          <w:rStyle w:val="nowrap"/>
        </w:rPr>
        <w:t>1</w:t>
      </w:r>
      <w:r w:rsidRPr="0062368D">
        <w:rPr>
          <w:rStyle w:val="nowrap"/>
        </w:rPr>
        <w:t>7</w:t>
      </w:r>
      <w:r w:rsidR="00BF49B0" w:rsidRPr="0062368D">
        <w:rPr>
          <w:rStyle w:val="nowrap"/>
        </w:rPr>
        <w:t>975</w:t>
      </w:r>
      <w:r w:rsidRPr="0062368D">
        <w:rPr>
          <w:rStyle w:val="nowrap"/>
        </w:rPr>
        <w:t>0</w:t>
      </w:r>
      <w:r w:rsidR="00BF49B0" w:rsidRPr="0062368D">
        <w:rPr>
          <w:rStyle w:val="nowrap"/>
        </w:rPr>
        <w:t>93</w:t>
      </w:r>
      <w:r w:rsidRPr="0062368D">
        <w:rPr>
          <w:rStyle w:val="nowrap"/>
        </w:rPr>
        <w:t>,</w:t>
      </w:r>
    </w:p>
    <w:p w14:paraId="354FE522" w14:textId="77777777" w:rsidR="004D7C96" w:rsidRPr="0062368D" w:rsidRDefault="004D7C96" w:rsidP="00560627">
      <w:pPr>
        <w:spacing w:line="252" w:lineRule="auto"/>
        <w:jc w:val="both"/>
        <w:rPr>
          <w:rStyle w:val="nowrap"/>
        </w:rPr>
      </w:pPr>
      <w:r w:rsidRPr="0062368D">
        <w:rPr>
          <w:rStyle w:val="nowrap"/>
        </w:rPr>
        <w:t xml:space="preserve">obchodní společnost, zapsaná v obchodním rejstříku, </w:t>
      </w:r>
    </w:p>
    <w:p w14:paraId="5516188D" w14:textId="786A4611" w:rsidR="004D7C96" w:rsidRPr="0062368D" w:rsidRDefault="004D7C96" w:rsidP="00560627">
      <w:pPr>
        <w:spacing w:line="252" w:lineRule="auto"/>
        <w:jc w:val="both"/>
        <w:rPr>
          <w:szCs w:val="24"/>
        </w:rPr>
      </w:pPr>
      <w:r w:rsidRPr="0062368D">
        <w:rPr>
          <w:rStyle w:val="nowrap"/>
        </w:rPr>
        <w:t xml:space="preserve">vedeném Městským soudem v Praze, oddíl </w:t>
      </w:r>
      <w:r w:rsidR="00BF49B0" w:rsidRPr="0062368D">
        <w:rPr>
          <w:rStyle w:val="nowrap"/>
        </w:rPr>
        <w:t>C</w:t>
      </w:r>
      <w:r w:rsidRPr="0062368D">
        <w:rPr>
          <w:rStyle w:val="nowrap"/>
        </w:rPr>
        <w:t xml:space="preserve">, vložka </w:t>
      </w:r>
      <w:r w:rsidR="00BF49B0" w:rsidRPr="0062368D">
        <w:rPr>
          <w:rStyle w:val="nowrap"/>
        </w:rPr>
        <w:t>37</w:t>
      </w:r>
      <w:r w:rsidRPr="0062368D">
        <w:rPr>
          <w:rStyle w:val="nowrap"/>
        </w:rPr>
        <w:t>9</w:t>
      </w:r>
      <w:r w:rsidR="00BF49B0" w:rsidRPr="0062368D">
        <w:rPr>
          <w:rStyle w:val="nowrap"/>
        </w:rPr>
        <w:t>55</w:t>
      </w:r>
      <w:r w:rsidRPr="0062368D">
        <w:rPr>
          <w:rStyle w:val="nowrap"/>
        </w:rPr>
        <w:t>1</w:t>
      </w:r>
      <w:r w:rsidRPr="0062368D">
        <w:rPr>
          <w:szCs w:val="24"/>
        </w:rPr>
        <w:t>,</w:t>
      </w:r>
    </w:p>
    <w:p w14:paraId="786B4457" w14:textId="57297C6E" w:rsidR="004D7C96" w:rsidRPr="0062368D" w:rsidRDefault="004D7C96" w:rsidP="0097550D">
      <w:pPr>
        <w:spacing w:line="252" w:lineRule="auto"/>
        <w:jc w:val="both"/>
        <w:rPr>
          <w:rFonts w:eastAsia="MS Mincho"/>
          <w:szCs w:val="24"/>
        </w:rPr>
      </w:pPr>
      <w:r w:rsidRPr="0062368D">
        <w:rPr>
          <w:rStyle w:val="platne1"/>
          <w:szCs w:val="24"/>
        </w:rPr>
        <w:t xml:space="preserve">zastoupená </w:t>
      </w:r>
      <w:r w:rsidRPr="0062368D">
        <w:rPr>
          <w:rStyle w:val="nowrap"/>
          <w:szCs w:val="24"/>
        </w:rPr>
        <w:t>Ing. Radkem Vášou</w:t>
      </w:r>
      <w:r w:rsidRPr="0062368D">
        <w:rPr>
          <w:szCs w:val="24"/>
        </w:rPr>
        <w:t xml:space="preserve">, </w:t>
      </w:r>
      <w:r w:rsidR="00BF49B0" w:rsidRPr="0062368D">
        <w:rPr>
          <w:szCs w:val="24"/>
        </w:rPr>
        <w:t>jednate</w:t>
      </w:r>
      <w:r w:rsidRPr="0062368D">
        <w:rPr>
          <w:szCs w:val="24"/>
        </w:rPr>
        <w:t>lem</w:t>
      </w:r>
      <w:r w:rsidRPr="0062368D">
        <w:rPr>
          <w:rFonts w:eastAsia="MS Mincho"/>
          <w:szCs w:val="24"/>
        </w:rPr>
        <w:t>,</w:t>
      </w:r>
    </w:p>
    <w:p w14:paraId="4629C6F3" w14:textId="77777777" w:rsidR="004D7C96" w:rsidRPr="0062368D" w:rsidRDefault="004D7C96" w:rsidP="0097550D">
      <w:pPr>
        <w:spacing w:line="252" w:lineRule="auto"/>
        <w:jc w:val="both"/>
        <w:rPr>
          <w:rFonts w:eastAsia="MS Mincho"/>
          <w:szCs w:val="24"/>
        </w:rPr>
      </w:pPr>
      <w:r w:rsidRPr="0062368D">
        <w:rPr>
          <w:i/>
          <w:szCs w:val="24"/>
        </w:rPr>
        <w:t>na jedné straně</w:t>
      </w:r>
      <w:r w:rsidRPr="0062368D">
        <w:rPr>
          <w:szCs w:val="24"/>
        </w:rPr>
        <w:t xml:space="preserve">, </w:t>
      </w:r>
      <w:r w:rsidRPr="0062368D">
        <w:rPr>
          <w:rFonts w:eastAsia="MS Mincho"/>
          <w:szCs w:val="24"/>
        </w:rPr>
        <w:t>dále jen „</w:t>
      </w:r>
      <w:r w:rsidRPr="0062368D">
        <w:rPr>
          <w:rFonts w:eastAsia="MS Mincho"/>
          <w:b/>
          <w:bCs/>
          <w:i/>
          <w:iCs/>
          <w:szCs w:val="24"/>
        </w:rPr>
        <w:t>Pronajímatel</w:t>
      </w:r>
      <w:r w:rsidRPr="0062368D">
        <w:rPr>
          <w:rFonts w:eastAsia="MS Mincho"/>
          <w:szCs w:val="24"/>
        </w:rPr>
        <w:t>“</w:t>
      </w:r>
    </w:p>
    <w:p w14:paraId="4BC2302B" w14:textId="77777777" w:rsidR="004D7C96" w:rsidRPr="0062368D" w:rsidRDefault="004D7C96" w:rsidP="00560627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BEBDEE" w14:textId="77777777" w:rsidR="004D7C96" w:rsidRPr="0062368D" w:rsidRDefault="004D7C96" w:rsidP="00560627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62368D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62368D" w:rsidRDefault="004D7C96" w:rsidP="00560627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1980FD" w14:textId="77777777" w:rsidR="004D7C96" w:rsidRPr="0062368D" w:rsidRDefault="002B0300" w:rsidP="00560627">
      <w:pPr>
        <w:spacing w:line="252" w:lineRule="auto"/>
        <w:jc w:val="both"/>
        <w:rPr>
          <w:rStyle w:val="preformatted"/>
          <w:szCs w:val="24"/>
        </w:rPr>
      </w:pPr>
      <w:r w:rsidRPr="0062368D">
        <w:rPr>
          <w:rStyle w:val="preformatted"/>
          <w:rFonts w:eastAsiaTheme="majorEastAsia"/>
          <w:b/>
        </w:rPr>
        <w:t>Technologie hlavního města Prahy, a.s</w:t>
      </w:r>
      <w:r w:rsidR="004D7C96" w:rsidRPr="0062368D">
        <w:rPr>
          <w:rStyle w:val="preformatted"/>
          <w:b/>
        </w:rPr>
        <w:t>.</w:t>
      </w:r>
      <w:r w:rsidR="004D7C96" w:rsidRPr="0062368D">
        <w:rPr>
          <w:rStyle w:val="preformatted"/>
        </w:rPr>
        <w:t xml:space="preserve">, </w:t>
      </w:r>
    </w:p>
    <w:p w14:paraId="12764B8B" w14:textId="77777777" w:rsidR="004D7C96" w:rsidRPr="0062368D" w:rsidRDefault="004D7C96" w:rsidP="00560627">
      <w:pPr>
        <w:spacing w:line="252" w:lineRule="auto"/>
        <w:jc w:val="both"/>
      </w:pPr>
      <w:r w:rsidRPr="0062368D">
        <w:rPr>
          <w:rStyle w:val="preformatted"/>
        </w:rPr>
        <w:t xml:space="preserve">se sídlem </w:t>
      </w:r>
      <w:r w:rsidRPr="0062368D">
        <w:t xml:space="preserve">Praha 7, Holešovice, </w:t>
      </w:r>
      <w:r w:rsidR="00656C7E" w:rsidRPr="0062368D">
        <w:t>Dělnická 213/12</w:t>
      </w:r>
      <w:r w:rsidRPr="0062368D">
        <w:t>, PSČ 170 00,</w:t>
      </w:r>
    </w:p>
    <w:p w14:paraId="5F3CE0F8" w14:textId="74013216" w:rsidR="004D7C96" w:rsidRPr="0062368D" w:rsidRDefault="004D7C96" w:rsidP="00560627">
      <w:pPr>
        <w:spacing w:line="252" w:lineRule="auto"/>
        <w:jc w:val="both"/>
        <w:rPr>
          <w:rStyle w:val="nowrap"/>
          <w:szCs w:val="24"/>
        </w:rPr>
      </w:pPr>
      <w:r w:rsidRPr="0062368D">
        <w:t xml:space="preserve">IČ: </w:t>
      </w:r>
      <w:r w:rsidR="002B0300" w:rsidRPr="0062368D">
        <w:rPr>
          <w:rStyle w:val="nowrap"/>
          <w:rFonts w:eastAsiaTheme="majorEastAsia"/>
        </w:rPr>
        <w:t>256 72 541</w:t>
      </w:r>
      <w:r w:rsidRPr="0062368D">
        <w:rPr>
          <w:rStyle w:val="nowrap"/>
          <w:szCs w:val="24"/>
        </w:rPr>
        <w:t>, DIČ: CZ</w:t>
      </w:r>
      <w:r w:rsidR="002B0300" w:rsidRPr="0062368D">
        <w:rPr>
          <w:rStyle w:val="nowrap"/>
          <w:rFonts w:eastAsiaTheme="majorEastAsia"/>
        </w:rPr>
        <w:t>25672541</w:t>
      </w:r>
      <w:r w:rsidRPr="0062368D">
        <w:rPr>
          <w:rStyle w:val="nowrap"/>
          <w:szCs w:val="24"/>
        </w:rPr>
        <w:t>,</w:t>
      </w:r>
    </w:p>
    <w:p w14:paraId="3D8F8341" w14:textId="77777777" w:rsidR="004D7C96" w:rsidRPr="0062368D" w:rsidRDefault="004D7C96" w:rsidP="00560627">
      <w:pPr>
        <w:spacing w:line="252" w:lineRule="auto"/>
        <w:jc w:val="both"/>
        <w:rPr>
          <w:rStyle w:val="nowrap"/>
          <w:szCs w:val="24"/>
        </w:rPr>
      </w:pPr>
      <w:r w:rsidRPr="0062368D">
        <w:rPr>
          <w:rStyle w:val="nowrap"/>
          <w:szCs w:val="24"/>
        </w:rPr>
        <w:t xml:space="preserve">obchodní společnost, zapsaná v obchodním rejstříku, </w:t>
      </w:r>
    </w:p>
    <w:p w14:paraId="45AB2370" w14:textId="77777777" w:rsidR="004D7C96" w:rsidRPr="0062368D" w:rsidRDefault="004D7C96" w:rsidP="00560627">
      <w:pPr>
        <w:spacing w:line="252" w:lineRule="auto"/>
        <w:jc w:val="both"/>
        <w:rPr>
          <w:szCs w:val="24"/>
        </w:rPr>
      </w:pPr>
      <w:r w:rsidRPr="0062368D">
        <w:rPr>
          <w:rStyle w:val="nowrap"/>
          <w:szCs w:val="24"/>
        </w:rPr>
        <w:t xml:space="preserve">vedeném Městským soudem v Praze, oddíl </w:t>
      </w:r>
      <w:r w:rsidR="002B0300" w:rsidRPr="0062368D">
        <w:rPr>
          <w:rStyle w:val="nowrap"/>
          <w:szCs w:val="24"/>
        </w:rPr>
        <w:t>B</w:t>
      </w:r>
      <w:r w:rsidRPr="0062368D">
        <w:rPr>
          <w:rStyle w:val="nowrap"/>
          <w:szCs w:val="24"/>
        </w:rPr>
        <w:t xml:space="preserve">, vložka </w:t>
      </w:r>
      <w:r w:rsidR="002B0300" w:rsidRPr="0062368D">
        <w:rPr>
          <w:rStyle w:val="nowrap"/>
          <w:szCs w:val="24"/>
        </w:rPr>
        <w:t>5402</w:t>
      </w:r>
      <w:r w:rsidRPr="0062368D">
        <w:rPr>
          <w:szCs w:val="24"/>
        </w:rPr>
        <w:t>,</w:t>
      </w:r>
    </w:p>
    <w:p w14:paraId="517B5CD3" w14:textId="67F13D9B" w:rsidR="004D7C96" w:rsidRPr="0076109A" w:rsidRDefault="004D7C96" w:rsidP="00560627">
      <w:pPr>
        <w:spacing w:line="252" w:lineRule="auto"/>
        <w:jc w:val="both"/>
        <w:rPr>
          <w:szCs w:val="24"/>
        </w:rPr>
      </w:pPr>
      <w:r w:rsidRPr="0076109A">
        <w:rPr>
          <w:szCs w:val="24"/>
        </w:rPr>
        <w:t xml:space="preserve">zastoupená </w:t>
      </w:r>
      <w:r w:rsidR="00647316" w:rsidRPr="0076109A">
        <w:rPr>
          <w:szCs w:val="24"/>
        </w:rPr>
        <w:t>Tomášem Jílkem, předsedou</w:t>
      </w:r>
      <w:r w:rsidR="005D417A" w:rsidRPr="0076109A">
        <w:rPr>
          <w:szCs w:val="24"/>
        </w:rPr>
        <w:t xml:space="preserve"> představenstva</w:t>
      </w:r>
      <w:r w:rsidRPr="0076109A">
        <w:rPr>
          <w:szCs w:val="24"/>
        </w:rPr>
        <w:t>,</w:t>
      </w:r>
    </w:p>
    <w:p w14:paraId="04A4DC07" w14:textId="6D7BC2B9" w:rsidR="00AD6527" w:rsidRPr="0062368D" w:rsidRDefault="00AD6527" w:rsidP="0097550D">
      <w:pPr>
        <w:spacing w:line="252" w:lineRule="auto"/>
        <w:jc w:val="both"/>
      </w:pPr>
      <w:r w:rsidRPr="0076109A">
        <w:rPr>
          <w:szCs w:val="24"/>
        </w:rPr>
        <w:t xml:space="preserve">a </w:t>
      </w:r>
      <w:r w:rsidR="00647316" w:rsidRPr="0076109A">
        <w:rPr>
          <w:szCs w:val="24"/>
        </w:rPr>
        <w:t xml:space="preserve">Tomášem Novotným, místopředsedou </w:t>
      </w:r>
      <w:r w:rsidR="005D417A" w:rsidRPr="0076109A">
        <w:rPr>
          <w:szCs w:val="24"/>
        </w:rPr>
        <w:t>představenstva</w:t>
      </w:r>
      <w:r w:rsidRPr="0062368D">
        <w:rPr>
          <w:szCs w:val="24"/>
        </w:rPr>
        <w:t>,</w:t>
      </w:r>
    </w:p>
    <w:p w14:paraId="4399B60F" w14:textId="77777777" w:rsidR="004D7C96" w:rsidRPr="0062368D" w:rsidRDefault="004D7C96" w:rsidP="0097550D">
      <w:pPr>
        <w:spacing w:line="252" w:lineRule="auto"/>
        <w:jc w:val="both"/>
        <w:rPr>
          <w:rFonts w:eastAsia="MS Mincho"/>
          <w:szCs w:val="24"/>
        </w:rPr>
      </w:pPr>
      <w:r w:rsidRPr="0062368D">
        <w:rPr>
          <w:i/>
          <w:szCs w:val="24"/>
        </w:rPr>
        <w:t>na druhé straně</w:t>
      </w:r>
      <w:r w:rsidRPr="0062368D">
        <w:rPr>
          <w:szCs w:val="24"/>
        </w:rPr>
        <w:t xml:space="preserve">, </w:t>
      </w:r>
      <w:r w:rsidRPr="0062368D">
        <w:rPr>
          <w:rFonts w:eastAsia="MS Mincho"/>
          <w:szCs w:val="24"/>
        </w:rPr>
        <w:t>dále jen „</w:t>
      </w:r>
      <w:r w:rsidRPr="0062368D">
        <w:rPr>
          <w:rFonts w:eastAsia="MS Mincho"/>
          <w:b/>
          <w:bCs/>
          <w:i/>
          <w:iCs/>
          <w:szCs w:val="24"/>
        </w:rPr>
        <w:t>Nájemce</w:t>
      </w:r>
      <w:r w:rsidRPr="0062368D">
        <w:rPr>
          <w:rFonts w:eastAsia="MS Mincho"/>
          <w:bCs/>
          <w:iCs/>
          <w:szCs w:val="24"/>
        </w:rPr>
        <w:t>“</w:t>
      </w:r>
    </w:p>
    <w:p w14:paraId="6E1F7F64" w14:textId="77777777" w:rsidR="00560627" w:rsidRPr="0097550D" w:rsidRDefault="00560627" w:rsidP="0097550D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12"/>
          <w:szCs w:val="12"/>
        </w:rPr>
      </w:pPr>
    </w:p>
    <w:p w14:paraId="74A27AF1" w14:textId="77777777" w:rsidR="004D7C96" w:rsidRPr="0062368D" w:rsidRDefault="004D7C96" w:rsidP="00560627">
      <w:pPr>
        <w:spacing w:line="252" w:lineRule="auto"/>
        <w:jc w:val="center"/>
        <w:rPr>
          <w:i/>
          <w:szCs w:val="24"/>
        </w:rPr>
      </w:pPr>
      <w:r w:rsidRPr="0062368D">
        <w:rPr>
          <w:i/>
          <w:szCs w:val="24"/>
        </w:rPr>
        <w:t>uzavírají tento</w:t>
      </w:r>
    </w:p>
    <w:p w14:paraId="18535D19" w14:textId="77777777" w:rsidR="004D7C96" w:rsidRPr="0097550D" w:rsidRDefault="004D7C96" w:rsidP="00560627">
      <w:pPr>
        <w:spacing w:line="252" w:lineRule="auto"/>
        <w:jc w:val="both"/>
        <w:rPr>
          <w:sz w:val="12"/>
          <w:szCs w:val="12"/>
        </w:rPr>
      </w:pPr>
    </w:p>
    <w:p w14:paraId="51275123" w14:textId="3FF11211" w:rsidR="004D7C96" w:rsidRPr="0062368D" w:rsidRDefault="00730244" w:rsidP="00560627">
      <w:pPr>
        <w:spacing w:line="252" w:lineRule="auto"/>
        <w:jc w:val="center"/>
        <w:rPr>
          <w:b/>
          <w:spacing w:val="20"/>
          <w:sz w:val="36"/>
          <w:szCs w:val="36"/>
        </w:rPr>
      </w:pPr>
      <w:r w:rsidRPr="0062368D">
        <w:rPr>
          <w:b/>
          <w:spacing w:val="20"/>
          <w:sz w:val="36"/>
          <w:szCs w:val="36"/>
        </w:rPr>
        <w:t>Dodat</w:t>
      </w:r>
      <w:r w:rsidR="004D7C96" w:rsidRPr="0062368D">
        <w:rPr>
          <w:b/>
          <w:spacing w:val="20"/>
          <w:sz w:val="36"/>
          <w:szCs w:val="36"/>
        </w:rPr>
        <w:t xml:space="preserve">ek č. </w:t>
      </w:r>
      <w:r w:rsidR="00516631" w:rsidRPr="0062368D">
        <w:rPr>
          <w:b/>
          <w:spacing w:val="20"/>
          <w:sz w:val="36"/>
          <w:szCs w:val="36"/>
        </w:rPr>
        <w:t>1</w:t>
      </w:r>
      <w:r w:rsidR="00A47EB6">
        <w:rPr>
          <w:b/>
          <w:spacing w:val="20"/>
          <w:sz w:val="36"/>
          <w:szCs w:val="36"/>
        </w:rPr>
        <w:t>5</w:t>
      </w:r>
    </w:p>
    <w:p w14:paraId="6C60895F" w14:textId="77777777" w:rsidR="004D7C96" w:rsidRPr="0097550D" w:rsidRDefault="004D7C96" w:rsidP="00560627">
      <w:pPr>
        <w:spacing w:line="252" w:lineRule="auto"/>
        <w:jc w:val="both"/>
        <w:rPr>
          <w:sz w:val="12"/>
          <w:szCs w:val="12"/>
        </w:rPr>
      </w:pPr>
    </w:p>
    <w:p w14:paraId="4E8303A9" w14:textId="77777777" w:rsidR="004D7C96" w:rsidRPr="0062368D" w:rsidRDefault="004D7C96" w:rsidP="00560627">
      <w:pPr>
        <w:spacing w:line="252" w:lineRule="auto"/>
        <w:jc w:val="center"/>
        <w:rPr>
          <w:i/>
          <w:szCs w:val="24"/>
        </w:rPr>
      </w:pPr>
      <w:r w:rsidRPr="0062368D">
        <w:rPr>
          <w:i/>
          <w:szCs w:val="24"/>
        </w:rPr>
        <w:t>ke</w:t>
      </w:r>
    </w:p>
    <w:p w14:paraId="133057DE" w14:textId="77777777" w:rsidR="004D7C96" w:rsidRPr="0097550D" w:rsidRDefault="004D7C96" w:rsidP="00560627">
      <w:pPr>
        <w:spacing w:line="252" w:lineRule="auto"/>
        <w:jc w:val="both"/>
        <w:rPr>
          <w:sz w:val="12"/>
          <w:szCs w:val="12"/>
        </w:rPr>
      </w:pPr>
    </w:p>
    <w:p w14:paraId="40A7A196" w14:textId="77777777" w:rsidR="004D7C96" w:rsidRPr="0062368D" w:rsidRDefault="002B0300" w:rsidP="00560627">
      <w:pPr>
        <w:pStyle w:val="Nadpis1"/>
        <w:spacing w:line="252" w:lineRule="auto"/>
        <w:rPr>
          <w:smallCaps/>
          <w:spacing w:val="20"/>
          <w:sz w:val="36"/>
          <w:szCs w:val="36"/>
        </w:rPr>
      </w:pPr>
      <w:r w:rsidRPr="0062368D">
        <w:rPr>
          <w:smallCaps/>
          <w:spacing w:val="20"/>
          <w:sz w:val="36"/>
          <w:szCs w:val="36"/>
        </w:rPr>
        <w:t>S</w:t>
      </w:r>
      <w:r w:rsidR="00783269" w:rsidRPr="0062368D">
        <w:rPr>
          <w:smallCaps/>
          <w:spacing w:val="20"/>
          <w:sz w:val="36"/>
          <w:szCs w:val="36"/>
        </w:rPr>
        <w:t>mlouvě</w:t>
      </w:r>
      <w:r w:rsidRPr="0062368D">
        <w:rPr>
          <w:smallCaps/>
          <w:spacing w:val="20"/>
          <w:sz w:val="36"/>
          <w:szCs w:val="36"/>
        </w:rPr>
        <w:t xml:space="preserve"> o nájmu</w:t>
      </w:r>
    </w:p>
    <w:p w14:paraId="79EECB55" w14:textId="77777777" w:rsidR="004D7C96" w:rsidRPr="0062368D" w:rsidRDefault="004D7C96" w:rsidP="00560627">
      <w:pPr>
        <w:spacing w:line="252" w:lineRule="auto"/>
        <w:jc w:val="center"/>
        <w:rPr>
          <w:b/>
          <w:szCs w:val="24"/>
        </w:rPr>
      </w:pPr>
      <w:r w:rsidRPr="0062368D">
        <w:rPr>
          <w:b/>
          <w:szCs w:val="24"/>
        </w:rPr>
        <w:t xml:space="preserve">uzavřené dne </w:t>
      </w:r>
      <w:r w:rsidR="00656C7E" w:rsidRPr="0062368D">
        <w:rPr>
          <w:b/>
          <w:szCs w:val="24"/>
        </w:rPr>
        <w:t>2</w:t>
      </w:r>
      <w:r w:rsidR="002B0300" w:rsidRPr="0062368D">
        <w:rPr>
          <w:b/>
          <w:szCs w:val="24"/>
        </w:rPr>
        <w:t>8</w:t>
      </w:r>
      <w:r w:rsidRPr="0062368D">
        <w:rPr>
          <w:b/>
          <w:szCs w:val="24"/>
        </w:rPr>
        <w:t xml:space="preserve">. </w:t>
      </w:r>
      <w:r w:rsidR="002B0300" w:rsidRPr="0062368D">
        <w:rPr>
          <w:b/>
          <w:szCs w:val="24"/>
        </w:rPr>
        <w:t>února</w:t>
      </w:r>
      <w:r w:rsidRPr="0062368D">
        <w:rPr>
          <w:b/>
          <w:szCs w:val="24"/>
        </w:rPr>
        <w:t xml:space="preserve"> 20</w:t>
      </w:r>
      <w:r w:rsidR="002B0300" w:rsidRPr="0062368D">
        <w:rPr>
          <w:b/>
          <w:szCs w:val="24"/>
        </w:rPr>
        <w:t>19</w:t>
      </w:r>
    </w:p>
    <w:p w14:paraId="06F5CFEA" w14:textId="2D959946" w:rsidR="00730244" w:rsidRPr="0062368D" w:rsidRDefault="00730244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sz w:val="24"/>
        </w:rPr>
      </w:pPr>
      <w:r w:rsidRPr="0062368D">
        <w:rPr>
          <w:rFonts w:ascii="Times New Roman" w:eastAsia="MS Mincho" w:hAnsi="Times New Roman" w:cs="Times New Roman"/>
          <w:sz w:val="24"/>
        </w:rPr>
        <w:t>(dále jen „</w:t>
      </w:r>
      <w:r w:rsidRPr="0062368D">
        <w:rPr>
          <w:rFonts w:ascii="Times New Roman" w:eastAsia="MS Mincho" w:hAnsi="Times New Roman" w:cs="Times New Roman"/>
          <w:b/>
          <w:i/>
          <w:sz w:val="24"/>
        </w:rPr>
        <w:t>Dodatek</w:t>
      </w:r>
      <w:r w:rsidRPr="0062368D">
        <w:rPr>
          <w:rFonts w:ascii="Times New Roman" w:eastAsia="MS Mincho" w:hAnsi="Times New Roman" w:cs="Times New Roman"/>
          <w:sz w:val="24"/>
        </w:rPr>
        <w:t>“)</w:t>
      </w:r>
    </w:p>
    <w:p w14:paraId="15E1A978" w14:textId="77777777" w:rsidR="00730244" w:rsidRPr="0097550D" w:rsidRDefault="00730244" w:rsidP="00560627">
      <w:pPr>
        <w:pStyle w:val="Prosttext"/>
        <w:spacing w:line="252" w:lineRule="auto"/>
        <w:rPr>
          <w:rFonts w:ascii="Times New Roman" w:eastAsia="MS Mincho" w:hAnsi="Times New Roman" w:cs="Times New Roman"/>
          <w:b/>
          <w:bCs/>
          <w:sz w:val="12"/>
          <w:szCs w:val="12"/>
        </w:rPr>
      </w:pPr>
    </w:p>
    <w:p w14:paraId="489D69C8" w14:textId="77777777" w:rsidR="004D7C96" w:rsidRPr="0062368D" w:rsidRDefault="004D7C96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bCs/>
          <w:sz w:val="24"/>
        </w:rPr>
      </w:pPr>
      <w:r w:rsidRPr="0062368D">
        <w:rPr>
          <w:rFonts w:ascii="Times New Roman" w:eastAsia="MS Mincho" w:hAnsi="Times New Roman" w:cs="Times New Roman"/>
          <w:b/>
          <w:bCs/>
          <w:sz w:val="24"/>
        </w:rPr>
        <w:t>Článek I.</w:t>
      </w:r>
    </w:p>
    <w:p w14:paraId="59EFEE5A" w14:textId="77777777" w:rsidR="004D7C96" w:rsidRPr="0062368D" w:rsidRDefault="004D7C96" w:rsidP="00560627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bCs/>
          <w:sz w:val="28"/>
        </w:rPr>
      </w:pPr>
      <w:r w:rsidRPr="0062368D">
        <w:rPr>
          <w:rFonts w:ascii="Times New Roman" w:eastAsia="MS Mincho" w:hAnsi="Times New Roman" w:cs="Times New Roman"/>
          <w:b/>
          <w:bCs/>
          <w:sz w:val="28"/>
        </w:rPr>
        <w:t>Konstatování právního stavu</w:t>
      </w:r>
    </w:p>
    <w:p w14:paraId="6497E496" w14:textId="255C3038" w:rsidR="003C326C" w:rsidRPr="0062368D" w:rsidRDefault="004D7C96" w:rsidP="00560627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 w:rsidRPr="0062368D">
        <w:rPr>
          <w:rStyle w:val="nowrap"/>
          <w:szCs w:val="24"/>
        </w:rPr>
        <w:t>Nájemce</w:t>
      </w:r>
      <w:r w:rsidRPr="0062368D">
        <w:rPr>
          <w:rFonts w:eastAsia="MS Mincho"/>
          <w:szCs w:val="24"/>
        </w:rPr>
        <w:t xml:space="preserve"> </w:t>
      </w:r>
      <w:r w:rsidR="00BF49B0" w:rsidRPr="0062368D">
        <w:rPr>
          <w:rFonts w:eastAsia="MS Mincho"/>
          <w:szCs w:val="24"/>
        </w:rPr>
        <w:t xml:space="preserve">je na základě </w:t>
      </w:r>
      <w:r w:rsidR="00973D8F">
        <w:rPr>
          <w:rFonts w:eastAsia="MS Mincho"/>
          <w:szCs w:val="24"/>
        </w:rPr>
        <w:t>S</w:t>
      </w:r>
      <w:r w:rsidR="00973D8F" w:rsidRPr="0062368D">
        <w:rPr>
          <w:rFonts w:eastAsia="MS Mincho"/>
          <w:szCs w:val="24"/>
        </w:rPr>
        <w:t xml:space="preserve">mlouvy </w:t>
      </w:r>
      <w:r w:rsidR="00BF49B0" w:rsidRPr="0062368D">
        <w:rPr>
          <w:rFonts w:eastAsia="MS Mincho"/>
          <w:szCs w:val="24"/>
        </w:rPr>
        <w:t xml:space="preserve">o nájmu </w:t>
      </w:r>
      <w:r w:rsidR="00973D8F">
        <w:rPr>
          <w:rFonts w:eastAsia="MS Mincho"/>
          <w:szCs w:val="24"/>
        </w:rPr>
        <w:t xml:space="preserve">č. </w:t>
      </w:r>
      <w:r w:rsidR="00464051">
        <w:rPr>
          <w:rFonts w:eastAsia="MS Mincho"/>
          <w:szCs w:val="24"/>
        </w:rPr>
        <w:t>33/19</w:t>
      </w:r>
      <w:r w:rsidR="00973D8F">
        <w:rPr>
          <w:rFonts w:eastAsia="MS Mincho"/>
          <w:szCs w:val="24"/>
        </w:rPr>
        <w:t xml:space="preserve"> </w:t>
      </w:r>
      <w:r w:rsidR="00BF49B0" w:rsidRPr="0062368D">
        <w:rPr>
          <w:rFonts w:eastAsia="MS Mincho"/>
          <w:szCs w:val="24"/>
        </w:rPr>
        <w:t>ze</w:t>
      </w:r>
      <w:r w:rsidRPr="0062368D">
        <w:rPr>
          <w:rFonts w:eastAsia="MS Mincho"/>
          <w:szCs w:val="24"/>
        </w:rPr>
        <w:t xml:space="preserve"> dne </w:t>
      </w:r>
      <w:r w:rsidR="00464051">
        <w:rPr>
          <w:szCs w:val="24"/>
        </w:rPr>
        <w:t>28</w:t>
      </w:r>
      <w:r w:rsidR="002B0300" w:rsidRPr="0062368D">
        <w:rPr>
          <w:szCs w:val="24"/>
        </w:rPr>
        <w:t>. února 2019</w:t>
      </w:r>
      <w:r w:rsidRPr="0062368D">
        <w:rPr>
          <w:szCs w:val="24"/>
        </w:rPr>
        <w:t xml:space="preserve"> </w:t>
      </w:r>
      <w:r w:rsidR="00BF49B0" w:rsidRPr="0062368D">
        <w:rPr>
          <w:rFonts w:eastAsia="MS Mincho"/>
          <w:iCs/>
          <w:szCs w:val="24"/>
        </w:rPr>
        <w:t>oprávněn užívat</w:t>
      </w:r>
      <w:r w:rsidR="002076E6" w:rsidRPr="0062368D">
        <w:rPr>
          <w:rFonts w:eastAsia="MS Mincho"/>
          <w:szCs w:val="24"/>
        </w:rPr>
        <w:t xml:space="preserve"> níže uveden</w:t>
      </w:r>
      <w:r w:rsidR="00BF49B0" w:rsidRPr="0062368D">
        <w:rPr>
          <w:rFonts w:eastAsia="MS Mincho"/>
          <w:szCs w:val="24"/>
        </w:rPr>
        <w:t>é</w:t>
      </w:r>
      <w:r w:rsidR="002076E6" w:rsidRPr="0062368D">
        <w:rPr>
          <w:rFonts w:eastAsia="MS Mincho"/>
          <w:szCs w:val="24"/>
        </w:rPr>
        <w:t xml:space="preserve"> kancelářsk</w:t>
      </w:r>
      <w:r w:rsidR="00BF49B0" w:rsidRPr="0062368D">
        <w:rPr>
          <w:rFonts w:eastAsia="MS Mincho"/>
          <w:szCs w:val="24"/>
        </w:rPr>
        <w:t>é</w:t>
      </w:r>
      <w:r w:rsidR="002076E6" w:rsidRPr="0062368D">
        <w:rPr>
          <w:rFonts w:eastAsia="MS Mincho"/>
          <w:szCs w:val="24"/>
        </w:rPr>
        <w:t xml:space="preserve"> a další prostor</w:t>
      </w:r>
      <w:r w:rsidR="00BF49B0" w:rsidRPr="0062368D">
        <w:rPr>
          <w:rFonts w:eastAsia="MS Mincho"/>
          <w:szCs w:val="24"/>
        </w:rPr>
        <w:t>y</w:t>
      </w:r>
      <w:r w:rsidR="002076E6" w:rsidRPr="0062368D">
        <w:rPr>
          <w:rFonts w:eastAsia="MS Mincho"/>
          <w:szCs w:val="24"/>
        </w:rPr>
        <w:t xml:space="preserve"> určen</w:t>
      </w:r>
      <w:r w:rsidR="00BF49B0" w:rsidRPr="0062368D">
        <w:rPr>
          <w:rFonts w:eastAsia="MS Mincho"/>
          <w:szCs w:val="24"/>
        </w:rPr>
        <w:t>é</w:t>
      </w:r>
      <w:r w:rsidR="002076E6" w:rsidRPr="0062368D">
        <w:rPr>
          <w:rFonts w:eastAsia="MS Mincho"/>
          <w:szCs w:val="24"/>
        </w:rPr>
        <w:t xml:space="preserve"> k podnikání a též vnitřní parkovací míst</w:t>
      </w:r>
      <w:r w:rsidR="00BF49B0" w:rsidRPr="0062368D">
        <w:rPr>
          <w:rFonts w:eastAsia="MS Mincho"/>
          <w:szCs w:val="24"/>
        </w:rPr>
        <w:t>a</w:t>
      </w:r>
      <w:r w:rsidR="002076E6" w:rsidRPr="0062368D">
        <w:rPr>
          <w:rFonts w:eastAsia="MS Mincho"/>
          <w:szCs w:val="24"/>
        </w:rPr>
        <w:t xml:space="preserve"> v podzemních garážích, to vše nacházející se v budově</w:t>
      </w:r>
      <w:r w:rsidR="002076E6" w:rsidRPr="0062368D">
        <w:rPr>
          <w:szCs w:val="24"/>
        </w:rPr>
        <w:t xml:space="preserve"> čp. 213, jiná stavba, v Praze 7, Holešovice, Dělnická ul., č. </w:t>
      </w:r>
      <w:proofErr w:type="spellStart"/>
      <w:r w:rsidR="002076E6" w:rsidRPr="0062368D">
        <w:rPr>
          <w:szCs w:val="24"/>
        </w:rPr>
        <w:t>or</w:t>
      </w:r>
      <w:proofErr w:type="spellEnd"/>
      <w:r w:rsidR="002076E6" w:rsidRPr="0062368D">
        <w:rPr>
          <w:szCs w:val="24"/>
        </w:rPr>
        <w:t>. 12 (dále jen „</w:t>
      </w:r>
      <w:r w:rsidR="002076E6" w:rsidRPr="0062368D">
        <w:rPr>
          <w:b/>
          <w:i/>
          <w:szCs w:val="24"/>
        </w:rPr>
        <w:t>Budova</w:t>
      </w:r>
      <w:r w:rsidR="002076E6" w:rsidRPr="0062368D">
        <w:rPr>
          <w:szCs w:val="24"/>
        </w:rPr>
        <w:t>“), stojící na pozemcích parc. č. 1075/4, zastavěná plocha a nádvoří, parc. č. 1075/6, zastavěná plocha a nádvoří, parc. č. 1075/9, zastavěná plocha a nádvoří, parc. č. 1075/15, zastavěná plocha a nádvoří, parc. č. 1090/3, zastavěná plocha a nádvoří, parc. č. 1090/6, zastavěná plocha a nádvoří, parc. č. 2312/3, zastavěná plocha a nádvoří, a parc. č. 2312/4, zastavěná plocha a nádvoří, zapsané v katastru nemovitostí na listu vlastnictví číslo 925, vedeném Katastrálním úřadem pro Hlavní město Prahu, Katastrální pracoviště Praha, pro okres Hlavní město Praha, obec Praha, část obce a katastrální území Holešovice</w:t>
      </w:r>
      <w:r w:rsidR="00730244" w:rsidRPr="0062368D">
        <w:rPr>
          <w:szCs w:val="24"/>
        </w:rPr>
        <w:t>.</w:t>
      </w:r>
    </w:p>
    <w:p w14:paraId="5A981DF1" w14:textId="4989E405" w:rsidR="002076E6" w:rsidRPr="0062368D" w:rsidRDefault="00F56AF0" w:rsidP="00560627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 w:rsidRPr="0062368D">
        <w:rPr>
          <w:szCs w:val="24"/>
        </w:rPr>
        <w:t>K</w:t>
      </w:r>
      <w:r w:rsidR="002076E6" w:rsidRPr="0062368D">
        <w:rPr>
          <w:szCs w:val="24"/>
        </w:rPr>
        <w:t xml:space="preserve">e shora uvedené </w:t>
      </w:r>
      <w:r w:rsidR="0083293C">
        <w:rPr>
          <w:szCs w:val="24"/>
        </w:rPr>
        <w:t>S</w:t>
      </w:r>
      <w:r w:rsidR="002076E6" w:rsidRPr="0062368D">
        <w:rPr>
          <w:szCs w:val="24"/>
        </w:rPr>
        <w:t xml:space="preserve">mlouvě o nájmu </w:t>
      </w:r>
      <w:r w:rsidRPr="0062368D">
        <w:rPr>
          <w:szCs w:val="24"/>
        </w:rPr>
        <w:t xml:space="preserve">byly uzavřeny </w:t>
      </w:r>
      <w:r w:rsidR="002076E6" w:rsidRPr="0062368D">
        <w:rPr>
          <w:szCs w:val="24"/>
        </w:rPr>
        <w:t xml:space="preserve">dodatky č. </w:t>
      </w:r>
      <w:smartTag w:uri="urn:schemas-microsoft-com:office:smarttags" w:element="metricconverter">
        <w:smartTagPr>
          <w:attr w:name="ProductID" w:val="1 a"/>
        </w:smartTagPr>
        <w:r w:rsidR="002076E6" w:rsidRPr="0062368D">
          <w:rPr>
            <w:szCs w:val="24"/>
          </w:rPr>
          <w:t>1 a</w:t>
        </w:r>
      </w:smartTag>
      <w:r w:rsidR="005908FD" w:rsidRPr="0062368D">
        <w:rPr>
          <w:szCs w:val="24"/>
        </w:rPr>
        <w:t>ž</w:t>
      </w:r>
      <w:r w:rsidR="002076E6" w:rsidRPr="0062368D">
        <w:rPr>
          <w:szCs w:val="24"/>
        </w:rPr>
        <w:t xml:space="preserve"> 1</w:t>
      </w:r>
      <w:r w:rsidR="00A47EB6">
        <w:rPr>
          <w:szCs w:val="24"/>
        </w:rPr>
        <w:t>4</w:t>
      </w:r>
      <w:r w:rsidR="002076E6" w:rsidRPr="0062368D">
        <w:rPr>
          <w:szCs w:val="24"/>
        </w:rPr>
        <w:t xml:space="preserve"> (shora uvedená smlouva o nájmu ve znění </w:t>
      </w:r>
      <w:r w:rsidR="00464051">
        <w:rPr>
          <w:szCs w:val="24"/>
        </w:rPr>
        <w:t>platných</w:t>
      </w:r>
      <w:r w:rsidR="00464051" w:rsidRPr="0062368D">
        <w:rPr>
          <w:szCs w:val="24"/>
        </w:rPr>
        <w:t xml:space="preserve"> </w:t>
      </w:r>
      <w:r w:rsidR="002076E6" w:rsidRPr="0062368D">
        <w:rPr>
          <w:szCs w:val="24"/>
        </w:rPr>
        <w:t xml:space="preserve">dodatků </w:t>
      </w:r>
      <w:r w:rsidR="002076E6" w:rsidRPr="0062368D">
        <w:rPr>
          <w:rFonts w:eastAsia="MS Mincho"/>
          <w:iCs/>
          <w:szCs w:val="24"/>
        </w:rPr>
        <w:t>dále souhrnně jen „</w:t>
      </w:r>
      <w:r w:rsidR="002076E6" w:rsidRPr="0062368D">
        <w:rPr>
          <w:rFonts w:eastAsia="MS Mincho"/>
          <w:b/>
          <w:i/>
          <w:iCs/>
          <w:szCs w:val="24"/>
        </w:rPr>
        <w:t>Smlouva</w:t>
      </w:r>
      <w:r w:rsidR="002076E6" w:rsidRPr="0062368D">
        <w:rPr>
          <w:rFonts w:eastAsia="MS Mincho"/>
          <w:iCs/>
          <w:szCs w:val="24"/>
        </w:rPr>
        <w:t>“)</w:t>
      </w:r>
      <w:r w:rsidR="002076E6" w:rsidRPr="0062368D">
        <w:rPr>
          <w:szCs w:val="24"/>
        </w:rPr>
        <w:t>.</w:t>
      </w:r>
    </w:p>
    <w:p w14:paraId="57568EA3" w14:textId="77777777" w:rsidR="002076E6" w:rsidRPr="0062368D" w:rsidRDefault="002076E6" w:rsidP="00560627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 w:rsidRPr="0062368D">
        <w:rPr>
          <w:rFonts w:eastAsia="MS Mincho"/>
          <w:szCs w:val="24"/>
        </w:rPr>
        <w:t>Nájemce je oprávněn užívat na základě Smlouvy ke dni uzavření tohoto Dodatku:</w:t>
      </w:r>
    </w:p>
    <w:p w14:paraId="56C0F419" w14:textId="77777777" w:rsidR="002076E6" w:rsidRPr="0062368D" w:rsidRDefault="002076E6" w:rsidP="00560627">
      <w:pPr>
        <w:pStyle w:val="Zkladntext"/>
        <w:numPr>
          <w:ilvl w:val="0"/>
          <w:numId w:val="42"/>
        </w:numPr>
        <w:spacing w:after="120" w:line="252" w:lineRule="auto"/>
        <w:ind w:left="1134" w:hanging="425"/>
        <w:rPr>
          <w:szCs w:val="24"/>
        </w:rPr>
      </w:pPr>
      <w:r w:rsidRPr="0062368D">
        <w:rPr>
          <w:rFonts w:eastAsia="MS Mincho"/>
          <w:szCs w:val="24"/>
        </w:rPr>
        <w:lastRenderedPageBreak/>
        <w:t>prostory nacházející se ve 4. nadzemním podlaží (ve 3. patře) Budovy, a to:</w:t>
      </w:r>
    </w:p>
    <w:p w14:paraId="43614577" w14:textId="77777777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szCs w:val="24"/>
        </w:rPr>
        <w:t xml:space="preserve">kancelářské prostory o čisté výměře 693,7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szCs w:val="24"/>
        </w:rPr>
        <w:t>add</w:t>
      </w:r>
      <w:proofErr w:type="spellEnd"/>
      <w:r w:rsidRPr="0062368D">
        <w:rPr>
          <w:szCs w:val="24"/>
        </w:rPr>
        <w:t xml:space="preserve">-on </w:t>
      </w:r>
      <w:proofErr w:type="spellStart"/>
      <w:r w:rsidRPr="0062368D">
        <w:rPr>
          <w:szCs w:val="24"/>
        </w:rPr>
        <w:t>factoru</w:t>
      </w:r>
      <w:proofErr w:type="spellEnd"/>
      <w:r w:rsidRPr="0062368D">
        <w:rPr>
          <w:szCs w:val="24"/>
        </w:rPr>
        <w:t xml:space="preserve">“ v rozsahu 10 % (slovy: deset procent) o výměře 763,07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 xml:space="preserve">, </w:t>
      </w:r>
    </w:p>
    <w:p w14:paraId="05B2ACAB" w14:textId="77777777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szCs w:val="24"/>
        </w:rPr>
        <w:t xml:space="preserve">kancelářské prostory o čisté výměře 67,8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szCs w:val="24"/>
        </w:rPr>
        <w:t>add</w:t>
      </w:r>
      <w:proofErr w:type="spellEnd"/>
      <w:r w:rsidRPr="0062368D">
        <w:rPr>
          <w:szCs w:val="24"/>
        </w:rPr>
        <w:t xml:space="preserve">-on </w:t>
      </w:r>
      <w:proofErr w:type="spellStart"/>
      <w:r w:rsidRPr="0062368D">
        <w:rPr>
          <w:szCs w:val="24"/>
        </w:rPr>
        <w:t>factoru</w:t>
      </w:r>
      <w:proofErr w:type="spellEnd"/>
      <w:r w:rsidRPr="0062368D">
        <w:rPr>
          <w:szCs w:val="24"/>
        </w:rPr>
        <w:t xml:space="preserve">“ v rozsahu 10 % (slovy: deset procent) o výměře 74,58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3296C5B5" w14:textId="58A6BDAD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szCs w:val="24"/>
        </w:rPr>
      </w:pPr>
      <w:r w:rsidRPr="0062368D">
        <w:rPr>
          <w:rFonts w:eastAsia="MS Mincho"/>
          <w:szCs w:val="24"/>
        </w:rPr>
        <w:t>kancelářské prostory</w:t>
      </w:r>
      <w:r w:rsidRPr="0062368D">
        <w:rPr>
          <w:szCs w:val="24"/>
        </w:rPr>
        <w:t xml:space="preserve"> číslo 340 o čisté výměře 22,45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szCs w:val="24"/>
        </w:rPr>
        <w:t>add</w:t>
      </w:r>
      <w:proofErr w:type="spellEnd"/>
      <w:r w:rsidRPr="0062368D">
        <w:rPr>
          <w:szCs w:val="24"/>
        </w:rPr>
        <w:t xml:space="preserve">-on </w:t>
      </w:r>
      <w:proofErr w:type="spellStart"/>
      <w:r w:rsidRPr="0062368D">
        <w:rPr>
          <w:szCs w:val="24"/>
        </w:rPr>
        <w:t>factoru</w:t>
      </w:r>
      <w:proofErr w:type="spellEnd"/>
      <w:r w:rsidRPr="0062368D">
        <w:rPr>
          <w:szCs w:val="24"/>
        </w:rPr>
        <w:t xml:space="preserve">“ v rozsahu 10 % (slovy: deset procent) o výměře 24,7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 xml:space="preserve"> o výměře 24,7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5D2B8353" w14:textId="77777777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szCs w:val="24"/>
        </w:rPr>
        <w:t xml:space="preserve">kancelářské prostory o čisté výměře 545,2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szCs w:val="24"/>
        </w:rPr>
        <w:t>add</w:t>
      </w:r>
      <w:proofErr w:type="spellEnd"/>
      <w:r w:rsidRPr="0062368D">
        <w:rPr>
          <w:szCs w:val="24"/>
        </w:rPr>
        <w:t xml:space="preserve">-on </w:t>
      </w:r>
      <w:proofErr w:type="spellStart"/>
      <w:r w:rsidRPr="0062368D">
        <w:rPr>
          <w:szCs w:val="24"/>
        </w:rPr>
        <w:t>factoru</w:t>
      </w:r>
      <w:proofErr w:type="spellEnd"/>
      <w:r w:rsidRPr="0062368D">
        <w:rPr>
          <w:szCs w:val="24"/>
        </w:rPr>
        <w:t xml:space="preserve">“ v rozsahu 10 % (slovy: deset procent) o výměře 599,72 </w:t>
      </w:r>
      <w:r w:rsidRPr="0062368D">
        <w:rPr>
          <w:rFonts w:eastAsia="MS Mincho"/>
          <w:szCs w:val="24"/>
        </w:rPr>
        <w:t>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6959E76F" w14:textId="0D1436A3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rFonts w:eastAsia="MS Mincho"/>
          <w:szCs w:val="24"/>
        </w:rPr>
        <w:t>kancelářské prostory číslo 302 a 303 o čisté výměře 45,07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rFonts w:eastAsia="MS Mincho"/>
          <w:szCs w:val="24"/>
        </w:rPr>
        <w:t>add</w:t>
      </w:r>
      <w:proofErr w:type="spellEnd"/>
      <w:r w:rsidRPr="0062368D">
        <w:rPr>
          <w:rFonts w:eastAsia="MS Mincho"/>
          <w:szCs w:val="24"/>
        </w:rPr>
        <w:t xml:space="preserve">-on </w:t>
      </w:r>
      <w:proofErr w:type="spellStart"/>
      <w:r w:rsidRPr="0062368D">
        <w:rPr>
          <w:rFonts w:eastAsia="MS Mincho"/>
          <w:szCs w:val="24"/>
        </w:rPr>
        <w:t>factoru</w:t>
      </w:r>
      <w:proofErr w:type="spellEnd"/>
      <w:r w:rsidRPr="0062368D">
        <w:rPr>
          <w:rFonts w:eastAsia="MS Mincho"/>
          <w:szCs w:val="24"/>
        </w:rPr>
        <w:t>“</w:t>
      </w:r>
      <w:r w:rsidRPr="0062368D">
        <w:rPr>
          <w:szCs w:val="24"/>
        </w:rPr>
        <w:t xml:space="preserve"> v rozsahu 10 % (slovy: deset procent) o výměře </w:t>
      </w:r>
      <w:r w:rsidRPr="0062368D">
        <w:rPr>
          <w:rFonts w:eastAsia="MS Mincho"/>
          <w:szCs w:val="24"/>
        </w:rPr>
        <w:t>49,58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69214F71" w14:textId="5775B5C4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rFonts w:eastAsia="MS Mincho"/>
          <w:szCs w:val="24"/>
        </w:rPr>
        <w:t>kancelářské prostory o čisté výměře 438,02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rFonts w:eastAsia="MS Mincho"/>
          <w:szCs w:val="24"/>
        </w:rPr>
        <w:t>add</w:t>
      </w:r>
      <w:proofErr w:type="spellEnd"/>
      <w:r w:rsidRPr="0062368D">
        <w:rPr>
          <w:rFonts w:eastAsia="MS Mincho"/>
          <w:szCs w:val="24"/>
        </w:rPr>
        <w:t xml:space="preserve">-on </w:t>
      </w:r>
      <w:proofErr w:type="spellStart"/>
      <w:r w:rsidRPr="0062368D">
        <w:rPr>
          <w:rFonts w:eastAsia="MS Mincho"/>
          <w:szCs w:val="24"/>
        </w:rPr>
        <w:t>factoru</w:t>
      </w:r>
      <w:proofErr w:type="spellEnd"/>
      <w:r w:rsidRPr="0062368D">
        <w:rPr>
          <w:rFonts w:eastAsia="MS Mincho"/>
          <w:szCs w:val="24"/>
        </w:rPr>
        <w:t>“</w:t>
      </w:r>
      <w:r w:rsidRPr="0062368D">
        <w:rPr>
          <w:szCs w:val="24"/>
        </w:rPr>
        <w:t xml:space="preserve"> v rozsahu 10 % (slovy: deset procent) o výměře </w:t>
      </w:r>
      <w:r w:rsidRPr="0062368D">
        <w:rPr>
          <w:rFonts w:eastAsia="MS Mincho"/>
          <w:szCs w:val="24"/>
        </w:rPr>
        <w:t>481,82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47AB4CE7" w14:textId="719E9B3B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62368D">
        <w:rPr>
          <w:rFonts w:eastAsia="MS Mincho"/>
          <w:szCs w:val="24"/>
        </w:rPr>
        <w:t>kancelářské prostory číslo 331 o čisté výměře 9,89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rFonts w:eastAsia="MS Mincho"/>
          <w:szCs w:val="24"/>
        </w:rPr>
        <w:t>add</w:t>
      </w:r>
      <w:proofErr w:type="spellEnd"/>
      <w:r w:rsidRPr="0062368D">
        <w:rPr>
          <w:rFonts w:eastAsia="MS Mincho"/>
          <w:szCs w:val="24"/>
        </w:rPr>
        <w:t xml:space="preserve">-on </w:t>
      </w:r>
      <w:proofErr w:type="spellStart"/>
      <w:r w:rsidRPr="0062368D">
        <w:rPr>
          <w:rFonts w:eastAsia="MS Mincho"/>
          <w:szCs w:val="24"/>
        </w:rPr>
        <w:t>factoru</w:t>
      </w:r>
      <w:proofErr w:type="spellEnd"/>
      <w:r w:rsidRPr="0062368D">
        <w:rPr>
          <w:rFonts w:eastAsia="MS Mincho"/>
          <w:szCs w:val="24"/>
        </w:rPr>
        <w:t>“</w:t>
      </w:r>
      <w:r w:rsidRPr="0062368D">
        <w:rPr>
          <w:szCs w:val="24"/>
        </w:rPr>
        <w:t xml:space="preserve"> v rozsahu 10 % (slovy: deset procent) o výměře </w:t>
      </w:r>
      <w:r w:rsidR="00BA2F18" w:rsidRPr="0062368D">
        <w:rPr>
          <w:rFonts w:eastAsia="MS Mincho"/>
          <w:szCs w:val="24"/>
        </w:rPr>
        <w:t>10,8</w:t>
      </w:r>
      <w:r w:rsidRPr="0062368D">
        <w:rPr>
          <w:rFonts w:eastAsia="MS Mincho"/>
          <w:szCs w:val="24"/>
        </w:rPr>
        <w:t>8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szCs w:val="24"/>
        </w:rPr>
        <w:t>,</w:t>
      </w:r>
    </w:p>
    <w:p w14:paraId="54E24370" w14:textId="07420106" w:rsidR="00065A60" w:rsidRPr="0062368D" w:rsidRDefault="00065A60" w:rsidP="00560627">
      <w:pPr>
        <w:pStyle w:val="Zkladntext"/>
        <w:spacing w:after="120" w:line="252" w:lineRule="auto"/>
        <w:ind w:left="1854"/>
        <w:rPr>
          <w:rFonts w:eastAsia="MS Mincho"/>
          <w:szCs w:val="24"/>
        </w:rPr>
      </w:pPr>
      <w:r w:rsidRPr="0062368D">
        <w:rPr>
          <w:szCs w:val="24"/>
        </w:rPr>
        <w:t>a</w:t>
      </w:r>
    </w:p>
    <w:p w14:paraId="0D2FF71D" w14:textId="764134B2" w:rsidR="00065A60" w:rsidRPr="0062368D" w:rsidRDefault="00065A60" w:rsidP="00560627">
      <w:pPr>
        <w:pStyle w:val="Zkladntext"/>
        <w:numPr>
          <w:ilvl w:val="0"/>
          <w:numId w:val="43"/>
        </w:numPr>
        <w:spacing w:after="120" w:line="252" w:lineRule="auto"/>
        <w:ind w:hanging="436"/>
        <w:rPr>
          <w:rFonts w:eastAsia="MS Mincho"/>
          <w:szCs w:val="24"/>
        </w:rPr>
      </w:pPr>
      <w:r w:rsidRPr="008535D5">
        <w:rPr>
          <w:rFonts w:eastAsia="MS Mincho"/>
          <w:szCs w:val="24"/>
        </w:rPr>
        <w:t>kancelářské</w:t>
      </w:r>
      <w:r w:rsidRPr="0062368D">
        <w:rPr>
          <w:rFonts w:eastAsia="MS Mincho"/>
          <w:szCs w:val="24"/>
        </w:rPr>
        <w:t xml:space="preserve"> prostory </w:t>
      </w:r>
      <w:r w:rsidRPr="008535D5">
        <w:rPr>
          <w:rFonts w:eastAsia="MS Mincho"/>
          <w:szCs w:val="24"/>
        </w:rPr>
        <w:t>číslo 304 až 317</w:t>
      </w:r>
      <w:r w:rsidRPr="0062368D">
        <w:rPr>
          <w:rFonts w:eastAsia="MS Mincho"/>
          <w:szCs w:val="24"/>
        </w:rPr>
        <w:t xml:space="preserve"> a 335</w:t>
      </w:r>
      <w:r w:rsidRPr="0062368D">
        <w:rPr>
          <w:szCs w:val="24"/>
        </w:rPr>
        <w:t xml:space="preserve"> </w:t>
      </w:r>
      <w:r w:rsidRPr="0062368D">
        <w:rPr>
          <w:rFonts w:eastAsia="MS Mincho"/>
          <w:szCs w:val="24"/>
        </w:rPr>
        <w:t>o čisté výměře 440,52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 xml:space="preserve"> a pro účely výpočtu Nájemného a Poplatku za služby podle Smlouvy včetně tzv. „</w:t>
      </w:r>
      <w:proofErr w:type="spellStart"/>
      <w:r w:rsidRPr="0062368D">
        <w:rPr>
          <w:rFonts w:eastAsia="MS Mincho"/>
          <w:szCs w:val="24"/>
        </w:rPr>
        <w:t>add</w:t>
      </w:r>
      <w:proofErr w:type="spellEnd"/>
      <w:r w:rsidRPr="0062368D">
        <w:rPr>
          <w:rFonts w:eastAsia="MS Mincho"/>
          <w:szCs w:val="24"/>
        </w:rPr>
        <w:t xml:space="preserve">-on </w:t>
      </w:r>
      <w:proofErr w:type="spellStart"/>
      <w:r w:rsidRPr="0062368D">
        <w:rPr>
          <w:rFonts w:eastAsia="MS Mincho"/>
          <w:szCs w:val="24"/>
        </w:rPr>
        <w:t>factoru</w:t>
      </w:r>
      <w:proofErr w:type="spellEnd"/>
      <w:r w:rsidRPr="0062368D">
        <w:rPr>
          <w:rFonts w:eastAsia="MS Mincho"/>
          <w:szCs w:val="24"/>
        </w:rPr>
        <w:t>“</w:t>
      </w:r>
      <w:r w:rsidRPr="0062368D">
        <w:rPr>
          <w:szCs w:val="24"/>
        </w:rPr>
        <w:t xml:space="preserve"> v rozsahu 10 % (slovy: deset procent) o výměře 484</w:t>
      </w:r>
      <w:r w:rsidRPr="0062368D">
        <w:rPr>
          <w:rFonts w:eastAsia="MS Mincho"/>
          <w:szCs w:val="24"/>
        </w:rPr>
        <w:t>,57 m</w:t>
      </w:r>
      <w:r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11B20201" w14:textId="77777777" w:rsidR="002076E6" w:rsidRPr="0062368D" w:rsidRDefault="002076E6" w:rsidP="00560627">
      <w:pPr>
        <w:pStyle w:val="Zkladntext"/>
        <w:spacing w:after="120" w:line="252" w:lineRule="auto"/>
        <w:ind w:left="1854"/>
        <w:rPr>
          <w:szCs w:val="24"/>
        </w:rPr>
      </w:pPr>
      <w:r w:rsidRPr="0062368D">
        <w:rPr>
          <w:szCs w:val="24"/>
        </w:rPr>
        <w:t>a</w:t>
      </w:r>
    </w:p>
    <w:p w14:paraId="750389CC" w14:textId="490D7F50" w:rsidR="002076E6" w:rsidRPr="0062368D" w:rsidRDefault="002076E6" w:rsidP="00560627">
      <w:pPr>
        <w:pStyle w:val="Zkladntext"/>
        <w:spacing w:after="120" w:line="252" w:lineRule="auto"/>
        <w:ind w:left="1134"/>
        <w:rPr>
          <w:rFonts w:eastAsia="MS Mincho"/>
          <w:szCs w:val="24"/>
        </w:rPr>
      </w:pPr>
      <w:r w:rsidRPr="0062368D">
        <w:rPr>
          <w:rFonts w:eastAsia="MS Mincho"/>
          <w:szCs w:val="24"/>
        </w:rPr>
        <w:t>prostory nacházející se v</w:t>
      </w:r>
      <w:r w:rsidR="00A47EB6">
        <w:rPr>
          <w:rFonts w:eastAsia="MS Mincho"/>
          <w:szCs w:val="24"/>
        </w:rPr>
        <w:t>e</w:t>
      </w:r>
      <w:r w:rsidRPr="0062368D">
        <w:rPr>
          <w:rFonts w:eastAsia="MS Mincho"/>
          <w:szCs w:val="24"/>
        </w:rPr>
        <w:t> </w:t>
      </w:r>
      <w:r w:rsidR="00A47EB6">
        <w:rPr>
          <w:rFonts w:eastAsia="MS Mincho"/>
          <w:szCs w:val="24"/>
        </w:rPr>
        <w:t>3</w:t>
      </w:r>
      <w:r w:rsidRPr="0062368D">
        <w:rPr>
          <w:rFonts w:eastAsia="MS Mincho"/>
          <w:szCs w:val="24"/>
        </w:rPr>
        <w:t xml:space="preserve">. nadzemním podlaží (ve </w:t>
      </w:r>
      <w:r w:rsidR="00A47EB6">
        <w:rPr>
          <w:rFonts w:eastAsia="MS Mincho"/>
          <w:szCs w:val="24"/>
        </w:rPr>
        <w:t>2</w:t>
      </w:r>
      <w:r w:rsidRPr="0062368D">
        <w:rPr>
          <w:rFonts w:eastAsia="MS Mincho"/>
          <w:szCs w:val="24"/>
        </w:rPr>
        <w:t>. patře) Budovy, a to:</w:t>
      </w:r>
    </w:p>
    <w:p w14:paraId="23CA421C" w14:textId="5E81D6A6" w:rsidR="002076E6" w:rsidRPr="0062368D" w:rsidRDefault="002076E6" w:rsidP="00560627">
      <w:pPr>
        <w:pStyle w:val="Zkladntext"/>
        <w:numPr>
          <w:ilvl w:val="0"/>
          <w:numId w:val="43"/>
        </w:numPr>
        <w:spacing w:after="120" w:line="252" w:lineRule="auto"/>
        <w:ind w:left="1843" w:hanging="425"/>
        <w:rPr>
          <w:szCs w:val="24"/>
        </w:rPr>
      </w:pPr>
      <w:r w:rsidRPr="0062368D">
        <w:rPr>
          <w:rFonts w:eastAsia="MS Mincho"/>
          <w:szCs w:val="24"/>
        </w:rPr>
        <w:t xml:space="preserve">kancelářské prostory </w:t>
      </w:r>
      <w:r w:rsidR="00A47EB6" w:rsidRPr="0062368D">
        <w:rPr>
          <w:szCs w:val="24"/>
        </w:rPr>
        <w:t xml:space="preserve">o celkové </w:t>
      </w:r>
      <w:r w:rsidR="00A47EB6">
        <w:rPr>
          <w:szCs w:val="24"/>
        </w:rPr>
        <w:t xml:space="preserve">čisté </w:t>
      </w:r>
      <w:r w:rsidR="00A47EB6" w:rsidRPr="0062368D">
        <w:rPr>
          <w:szCs w:val="24"/>
        </w:rPr>
        <w:t xml:space="preserve">výměře </w:t>
      </w:r>
      <w:r w:rsidR="00A47EB6">
        <w:rPr>
          <w:szCs w:val="24"/>
        </w:rPr>
        <w:t>836,49</w:t>
      </w:r>
      <w:r w:rsidR="00A47EB6" w:rsidRPr="0062368D">
        <w:rPr>
          <w:szCs w:val="24"/>
        </w:rPr>
        <w:t xml:space="preserve"> </w:t>
      </w:r>
      <w:r w:rsidR="00A47EB6" w:rsidRPr="0062368D">
        <w:rPr>
          <w:rFonts w:eastAsia="MS Mincho"/>
          <w:szCs w:val="24"/>
        </w:rPr>
        <w:t>m</w:t>
      </w:r>
      <w:r w:rsidR="00A47EB6" w:rsidRPr="0062368D">
        <w:rPr>
          <w:rFonts w:eastAsia="MS Mincho"/>
          <w:szCs w:val="24"/>
          <w:vertAlign w:val="superscript"/>
        </w:rPr>
        <w:t>2</w:t>
      </w:r>
      <w:r w:rsidR="00A47EB6" w:rsidRPr="0062368D">
        <w:rPr>
          <w:szCs w:val="24"/>
        </w:rPr>
        <w:t xml:space="preserve"> </w:t>
      </w:r>
      <w:r w:rsidR="00A47EB6" w:rsidRPr="0062368D">
        <w:rPr>
          <w:rFonts w:eastAsia="MS Mincho"/>
          <w:szCs w:val="24"/>
        </w:rPr>
        <w:t>a pro účely výpočtu Nájemného a Poplatku za služby podle Smlouvy včetně tzv. „</w:t>
      </w:r>
      <w:proofErr w:type="spellStart"/>
      <w:r w:rsidR="00A47EB6" w:rsidRPr="0062368D">
        <w:rPr>
          <w:rFonts w:eastAsia="MS Mincho"/>
          <w:szCs w:val="24"/>
        </w:rPr>
        <w:t>add</w:t>
      </w:r>
      <w:proofErr w:type="spellEnd"/>
      <w:r w:rsidR="00A47EB6" w:rsidRPr="0062368D">
        <w:rPr>
          <w:rFonts w:eastAsia="MS Mincho"/>
          <w:szCs w:val="24"/>
        </w:rPr>
        <w:t xml:space="preserve">-on </w:t>
      </w:r>
      <w:proofErr w:type="spellStart"/>
      <w:r w:rsidR="00A47EB6" w:rsidRPr="0062368D">
        <w:rPr>
          <w:rFonts w:eastAsia="MS Mincho"/>
          <w:szCs w:val="24"/>
        </w:rPr>
        <w:t>factoru</w:t>
      </w:r>
      <w:proofErr w:type="spellEnd"/>
      <w:r w:rsidR="00A47EB6" w:rsidRPr="0062368D">
        <w:rPr>
          <w:rFonts w:eastAsia="MS Mincho"/>
          <w:szCs w:val="24"/>
        </w:rPr>
        <w:t>“</w:t>
      </w:r>
      <w:r w:rsidR="00A47EB6" w:rsidRPr="0062368D">
        <w:rPr>
          <w:szCs w:val="24"/>
        </w:rPr>
        <w:t xml:space="preserve"> v rozsahu 10 % (slovy: deset procent) o </w:t>
      </w:r>
      <w:r w:rsidR="00A47EB6">
        <w:rPr>
          <w:szCs w:val="24"/>
        </w:rPr>
        <w:t xml:space="preserve">celkové </w:t>
      </w:r>
      <w:r w:rsidR="00A47EB6" w:rsidRPr="0062368D">
        <w:rPr>
          <w:szCs w:val="24"/>
        </w:rPr>
        <w:t xml:space="preserve">výměře </w:t>
      </w:r>
      <w:r w:rsidR="00A47EB6">
        <w:rPr>
          <w:szCs w:val="24"/>
        </w:rPr>
        <w:t>920,14</w:t>
      </w:r>
      <w:r w:rsidR="00A47EB6" w:rsidRPr="0062368D">
        <w:rPr>
          <w:szCs w:val="24"/>
        </w:rPr>
        <w:t xml:space="preserve"> </w:t>
      </w:r>
      <w:r w:rsidR="00A47EB6" w:rsidRPr="0062368D">
        <w:rPr>
          <w:rFonts w:eastAsia="MS Mincho"/>
          <w:szCs w:val="24"/>
        </w:rPr>
        <w:t>m</w:t>
      </w:r>
      <w:r w:rsidR="00A47EB6" w:rsidRPr="0062368D">
        <w:rPr>
          <w:rFonts w:eastAsia="MS Mincho"/>
          <w:szCs w:val="24"/>
          <w:vertAlign w:val="superscript"/>
        </w:rPr>
        <w:t>2</w:t>
      </w:r>
      <w:r w:rsidRPr="0062368D">
        <w:rPr>
          <w:rFonts w:eastAsia="MS Mincho"/>
          <w:szCs w:val="24"/>
        </w:rPr>
        <w:t>,</w:t>
      </w:r>
    </w:p>
    <w:p w14:paraId="2156EE56" w14:textId="24E4C17E" w:rsidR="002076E6" w:rsidRPr="0062368D" w:rsidRDefault="002076E6" w:rsidP="00560627">
      <w:pPr>
        <w:pStyle w:val="Zkladntext"/>
        <w:spacing w:after="120" w:line="252" w:lineRule="auto"/>
        <w:ind w:left="425" w:firstLine="709"/>
        <w:rPr>
          <w:szCs w:val="24"/>
        </w:rPr>
      </w:pPr>
      <w:r w:rsidRPr="0062368D">
        <w:rPr>
          <w:szCs w:val="24"/>
        </w:rPr>
        <w:t>(všechny shora uvedené prostory dále jen „</w:t>
      </w:r>
      <w:r w:rsidR="00BA2F18" w:rsidRPr="0062368D">
        <w:rPr>
          <w:b/>
          <w:i/>
          <w:szCs w:val="24"/>
        </w:rPr>
        <w:t>P</w:t>
      </w:r>
      <w:r w:rsidRPr="0062368D">
        <w:rPr>
          <w:b/>
          <w:i/>
          <w:szCs w:val="24"/>
        </w:rPr>
        <w:t>rostory</w:t>
      </w:r>
      <w:r w:rsidRPr="0062368D">
        <w:rPr>
          <w:szCs w:val="24"/>
        </w:rPr>
        <w:t>“),</w:t>
      </w:r>
    </w:p>
    <w:p w14:paraId="1F021BA2" w14:textId="77777777" w:rsidR="002076E6" w:rsidRPr="0062368D" w:rsidRDefault="002076E6" w:rsidP="00560627">
      <w:pPr>
        <w:pStyle w:val="Zkladntext"/>
        <w:spacing w:after="120" w:line="252" w:lineRule="auto"/>
        <w:ind w:left="1134"/>
        <w:rPr>
          <w:szCs w:val="24"/>
        </w:rPr>
      </w:pPr>
      <w:r w:rsidRPr="0062368D">
        <w:rPr>
          <w:rFonts w:eastAsia="MS Mincho"/>
          <w:szCs w:val="24"/>
        </w:rPr>
        <w:t>a též</w:t>
      </w:r>
    </w:p>
    <w:p w14:paraId="2EEAC6C8" w14:textId="01117FFF" w:rsidR="002076E6" w:rsidRPr="0062368D" w:rsidRDefault="002076E6" w:rsidP="00560627">
      <w:pPr>
        <w:pStyle w:val="Zkladntext"/>
        <w:numPr>
          <w:ilvl w:val="0"/>
          <w:numId w:val="42"/>
        </w:numPr>
        <w:spacing w:after="120" w:line="252" w:lineRule="auto"/>
        <w:ind w:left="1134" w:hanging="425"/>
        <w:rPr>
          <w:szCs w:val="24"/>
        </w:rPr>
      </w:pPr>
      <w:r w:rsidRPr="0062368D">
        <w:rPr>
          <w:szCs w:val="24"/>
        </w:rPr>
        <w:t>1</w:t>
      </w:r>
      <w:r w:rsidR="00A47EB6">
        <w:rPr>
          <w:szCs w:val="24"/>
        </w:rPr>
        <w:t>2</w:t>
      </w:r>
      <w:r w:rsidRPr="0062368D">
        <w:rPr>
          <w:szCs w:val="24"/>
        </w:rPr>
        <w:t xml:space="preserve"> (slovy: </w:t>
      </w:r>
      <w:r w:rsidR="00A47EB6">
        <w:rPr>
          <w:szCs w:val="24"/>
        </w:rPr>
        <w:t>dvanáct</w:t>
      </w:r>
      <w:r w:rsidRPr="0062368D">
        <w:rPr>
          <w:szCs w:val="24"/>
        </w:rPr>
        <w:t xml:space="preserve">) parkovacích </w:t>
      </w:r>
      <w:r w:rsidR="00A22C0E" w:rsidRPr="0062368D">
        <w:rPr>
          <w:szCs w:val="24"/>
        </w:rPr>
        <w:t>míst</w:t>
      </w:r>
      <w:r w:rsidRPr="0062368D">
        <w:rPr>
          <w:szCs w:val="24"/>
        </w:rPr>
        <w:t xml:space="preserve"> (dále </w:t>
      </w:r>
      <w:r w:rsidR="002A3819" w:rsidRPr="0062368D">
        <w:rPr>
          <w:szCs w:val="24"/>
        </w:rPr>
        <w:t xml:space="preserve">jednotlivě </w:t>
      </w:r>
      <w:r w:rsidRPr="0062368D">
        <w:rPr>
          <w:szCs w:val="24"/>
        </w:rPr>
        <w:t>jen „</w:t>
      </w:r>
      <w:r w:rsidRPr="0062368D">
        <w:rPr>
          <w:b/>
          <w:i/>
          <w:szCs w:val="24"/>
        </w:rPr>
        <w:t xml:space="preserve">Parkovací </w:t>
      </w:r>
      <w:r w:rsidR="002A3819" w:rsidRPr="0062368D">
        <w:rPr>
          <w:b/>
          <w:i/>
          <w:szCs w:val="24"/>
        </w:rPr>
        <w:t>místo</w:t>
      </w:r>
      <w:r w:rsidRPr="0062368D">
        <w:rPr>
          <w:szCs w:val="24"/>
        </w:rPr>
        <w:t>“</w:t>
      </w:r>
      <w:r w:rsidR="002A3819" w:rsidRPr="0062368D">
        <w:rPr>
          <w:szCs w:val="24"/>
        </w:rPr>
        <w:t xml:space="preserve"> a v souhrnu „</w:t>
      </w:r>
      <w:r w:rsidR="002A3819" w:rsidRPr="0062368D">
        <w:rPr>
          <w:b/>
          <w:bCs/>
          <w:i/>
          <w:iCs/>
          <w:szCs w:val="24"/>
        </w:rPr>
        <w:t>Parkovací místa</w:t>
      </w:r>
      <w:r w:rsidR="002A3819" w:rsidRPr="0062368D">
        <w:rPr>
          <w:szCs w:val="24"/>
        </w:rPr>
        <w:t>“)</w:t>
      </w:r>
      <w:r w:rsidRPr="0062368D">
        <w:rPr>
          <w:szCs w:val="24"/>
        </w:rPr>
        <w:t>, umístěných v podzemní garáži v Budově</w:t>
      </w:r>
    </w:p>
    <w:p w14:paraId="7FD8B195" w14:textId="6E29F16C" w:rsidR="002076E6" w:rsidRPr="0062368D" w:rsidRDefault="002076E6" w:rsidP="00560627">
      <w:pPr>
        <w:pStyle w:val="Zkladntext"/>
        <w:spacing w:after="120" w:line="252" w:lineRule="auto"/>
        <w:ind w:left="426"/>
        <w:rPr>
          <w:rFonts w:eastAsia="MS Mincho"/>
          <w:szCs w:val="24"/>
        </w:rPr>
      </w:pPr>
      <w:r w:rsidRPr="0062368D">
        <w:rPr>
          <w:szCs w:val="24"/>
        </w:rPr>
        <w:t>(</w:t>
      </w:r>
      <w:r w:rsidR="00BA2F18" w:rsidRPr="0062368D">
        <w:rPr>
          <w:rFonts w:eastAsia="MS Mincho"/>
          <w:szCs w:val="24"/>
        </w:rPr>
        <w:t>P</w:t>
      </w:r>
      <w:r w:rsidRPr="0062368D">
        <w:rPr>
          <w:rFonts w:eastAsia="MS Mincho"/>
          <w:szCs w:val="24"/>
        </w:rPr>
        <w:t xml:space="preserve">rostory a Parkovací </w:t>
      </w:r>
      <w:r w:rsidR="0072080E" w:rsidRPr="0062368D">
        <w:rPr>
          <w:rFonts w:eastAsia="MS Mincho"/>
          <w:szCs w:val="24"/>
        </w:rPr>
        <w:t>místa</w:t>
      </w:r>
      <w:r w:rsidRPr="0062368D">
        <w:rPr>
          <w:rFonts w:eastAsia="MS Mincho"/>
          <w:szCs w:val="24"/>
        </w:rPr>
        <w:t xml:space="preserve"> dohromady dále jen „</w:t>
      </w:r>
      <w:r w:rsidR="00BA2F18" w:rsidRPr="0062368D">
        <w:rPr>
          <w:rFonts w:eastAsia="MS Mincho"/>
          <w:b/>
          <w:i/>
          <w:szCs w:val="24"/>
        </w:rPr>
        <w:t>P</w:t>
      </w:r>
      <w:r w:rsidRPr="0062368D">
        <w:rPr>
          <w:rFonts w:eastAsia="MS Mincho"/>
          <w:b/>
          <w:i/>
          <w:szCs w:val="24"/>
        </w:rPr>
        <w:t>ředmět nájmu</w:t>
      </w:r>
      <w:r w:rsidRPr="0062368D">
        <w:rPr>
          <w:rFonts w:eastAsia="MS Mincho"/>
          <w:szCs w:val="24"/>
        </w:rPr>
        <w:t>“),</w:t>
      </w:r>
    </w:p>
    <w:p w14:paraId="3FBD0079" w14:textId="700D9ADC" w:rsidR="00DF72B9" w:rsidRPr="0062368D" w:rsidRDefault="004C61B1" w:rsidP="00560627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 w:rsidRPr="0062368D">
        <w:rPr>
          <w:szCs w:val="24"/>
        </w:rPr>
        <w:t>Pronajímatel a Nájemce se dohodli</w:t>
      </w:r>
      <w:r w:rsidR="00DF72B9" w:rsidRPr="0062368D">
        <w:rPr>
          <w:szCs w:val="24"/>
        </w:rPr>
        <w:t>:</w:t>
      </w:r>
    </w:p>
    <w:p w14:paraId="3CCC42FE" w14:textId="42D49D5A" w:rsidR="00247F96" w:rsidRPr="0062368D" w:rsidRDefault="00746A75" w:rsidP="00560627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szCs w:val="24"/>
        </w:rPr>
      </w:pPr>
      <w:r w:rsidRPr="0062368D">
        <w:rPr>
          <w:szCs w:val="24"/>
        </w:rPr>
        <w:t xml:space="preserve">na sjednání </w:t>
      </w:r>
      <w:r w:rsidR="00061782">
        <w:rPr>
          <w:szCs w:val="24"/>
        </w:rPr>
        <w:t>rozšíření</w:t>
      </w:r>
      <w:r w:rsidRPr="0062368D">
        <w:rPr>
          <w:szCs w:val="24"/>
        </w:rPr>
        <w:t xml:space="preserve"> Prostor, které je Nájemce oprávněn užívat podle Smlouvy</w:t>
      </w:r>
      <w:r w:rsidR="00342DC8" w:rsidRPr="0062368D">
        <w:rPr>
          <w:szCs w:val="24"/>
        </w:rPr>
        <w:t>,</w:t>
      </w:r>
    </w:p>
    <w:p w14:paraId="61285E5C" w14:textId="77777777" w:rsidR="000C77EF" w:rsidRPr="0062368D" w:rsidRDefault="000C77EF" w:rsidP="00560627">
      <w:pPr>
        <w:pStyle w:val="Zkladntext"/>
        <w:spacing w:after="120" w:line="252" w:lineRule="auto"/>
        <w:ind w:left="1134"/>
        <w:rPr>
          <w:szCs w:val="24"/>
        </w:rPr>
      </w:pPr>
      <w:r w:rsidRPr="0062368D">
        <w:rPr>
          <w:szCs w:val="24"/>
        </w:rPr>
        <w:t>a</w:t>
      </w:r>
    </w:p>
    <w:p w14:paraId="7414F5E2" w14:textId="2BEBB8A0" w:rsidR="000D62B3" w:rsidRPr="0062368D" w:rsidRDefault="000C77EF" w:rsidP="00560627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szCs w:val="24"/>
        </w:rPr>
      </w:pPr>
      <w:r w:rsidRPr="0062368D">
        <w:rPr>
          <w:szCs w:val="24"/>
        </w:rPr>
        <w:t>na některých dalších ujednáních souvisejících se změnami podle tohoto Dodatku</w:t>
      </w:r>
      <w:r w:rsidR="000D62B3" w:rsidRPr="0062368D">
        <w:rPr>
          <w:szCs w:val="24"/>
        </w:rPr>
        <w:t>.</w:t>
      </w:r>
    </w:p>
    <w:p w14:paraId="3C1BCC5A" w14:textId="20F04400" w:rsidR="005C5B6A" w:rsidRPr="0062368D" w:rsidRDefault="005C5B6A" w:rsidP="00560627">
      <w:pPr>
        <w:pStyle w:val="Zkladntext"/>
        <w:numPr>
          <w:ilvl w:val="0"/>
          <w:numId w:val="36"/>
        </w:numPr>
        <w:spacing w:line="252" w:lineRule="auto"/>
        <w:ind w:left="426" w:hanging="426"/>
        <w:rPr>
          <w:szCs w:val="24"/>
        </w:rPr>
      </w:pPr>
      <w:r w:rsidRPr="0062368D">
        <w:rPr>
          <w:szCs w:val="24"/>
        </w:rPr>
        <w:lastRenderedPageBreak/>
        <w:t xml:space="preserve">Za účelem změn uvedených v ustanovení odstavce 4. tohoto článku </w:t>
      </w:r>
      <w:r w:rsidR="009C2AF1" w:rsidRPr="0062368D">
        <w:rPr>
          <w:szCs w:val="24"/>
        </w:rPr>
        <w:t xml:space="preserve">Dodatku </w:t>
      </w:r>
      <w:r w:rsidRPr="0062368D">
        <w:rPr>
          <w:szCs w:val="24"/>
        </w:rPr>
        <w:t xml:space="preserve">uzavírají Pronajímatel a Nájemce tento Dodatek č. </w:t>
      </w:r>
      <w:r w:rsidR="00A47EB6">
        <w:rPr>
          <w:szCs w:val="24"/>
        </w:rPr>
        <w:t>15</w:t>
      </w:r>
      <w:r w:rsidRPr="0062368D">
        <w:rPr>
          <w:szCs w:val="24"/>
        </w:rPr>
        <w:t xml:space="preserve"> ke Smlouvě.</w:t>
      </w:r>
    </w:p>
    <w:p w14:paraId="64CE05DC" w14:textId="77777777" w:rsidR="0097550D" w:rsidRDefault="0097550D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sz w:val="24"/>
        </w:rPr>
      </w:pPr>
    </w:p>
    <w:p w14:paraId="1CB80C13" w14:textId="4EC3B9FD" w:rsidR="004D7C96" w:rsidRPr="0062368D" w:rsidRDefault="004D7C96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sz w:val="24"/>
        </w:rPr>
      </w:pPr>
      <w:r w:rsidRPr="0062368D">
        <w:rPr>
          <w:rFonts w:ascii="Times New Roman" w:eastAsia="MS Mincho" w:hAnsi="Times New Roman" w:cs="Times New Roman"/>
          <w:b/>
          <w:sz w:val="24"/>
        </w:rPr>
        <w:t>Článek II.</w:t>
      </w:r>
    </w:p>
    <w:p w14:paraId="5BB3ED79" w14:textId="083F4965" w:rsidR="004D7C96" w:rsidRPr="0062368D" w:rsidRDefault="004D7C96" w:rsidP="00560627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2368D">
        <w:rPr>
          <w:rFonts w:ascii="Times New Roman" w:hAnsi="Times New Roman" w:cs="Times New Roman"/>
          <w:b/>
          <w:sz w:val="28"/>
          <w:szCs w:val="28"/>
        </w:rPr>
        <w:t xml:space="preserve">Změny </w:t>
      </w:r>
      <w:r w:rsidR="00730244" w:rsidRPr="0062368D">
        <w:rPr>
          <w:rFonts w:ascii="Times New Roman" w:hAnsi="Times New Roman" w:cs="Times New Roman"/>
          <w:b/>
          <w:sz w:val="28"/>
          <w:szCs w:val="28"/>
        </w:rPr>
        <w:t>ve Smlouvě</w:t>
      </w:r>
    </w:p>
    <w:p w14:paraId="26FEDA93" w14:textId="69D33732" w:rsidR="00A22C0E" w:rsidRPr="00A47EB6" w:rsidRDefault="0079309C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2368D">
        <w:rPr>
          <w:rFonts w:ascii="Times New Roman" w:eastAsia="MS Mincho" w:hAnsi="Times New Roman" w:cs="Times New Roman"/>
          <w:sz w:val="24"/>
          <w:szCs w:val="24"/>
        </w:rPr>
        <w:t>Pronajímatel a Nájemce se dohodli na tom, že se s účinností od</w:t>
      </w:r>
      <w:r w:rsidR="00263228" w:rsidRPr="006236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47EB6" w:rsidRPr="00A47EB6">
        <w:rPr>
          <w:rFonts w:ascii="Times New Roman" w:eastAsia="MS Mincho" w:hAnsi="Times New Roman" w:cs="Times New Roman"/>
          <w:sz w:val="24"/>
          <w:szCs w:val="24"/>
        </w:rPr>
        <w:t>1. (slovy: první</w:t>
      </w:r>
      <w:r w:rsidR="00A47EB6">
        <w:rPr>
          <w:rFonts w:ascii="Times New Roman" w:eastAsia="MS Mincho" w:hAnsi="Times New Roman" w:cs="Times New Roman"/>
          <w:sz w:val="24"/>
          <w:szCs w:val="24"/>
        </w:rPr>
        <w:t>ho</w:t>
      </w:r>
      <w:r w:rsidR="00A47EB6" w:rsidRPr="00A47EB6">
        <w:rPr>
          <w:rFonts w:ascii="Times New Roman" w:eastAsia="MS Mincho" w:hAnsi="Times New Roman" w:cs="Times New Roman"/>
          <w:sz w:val="24"/>
          <w:szCs w:val="24"/>
        </w:rPr>
        <w:t>) dne</w:t>
      </w:r>
      <w:r w:rsidR="00A47EB6">
        <w:rPr>
          <w:rFonts w:ascii="Times New Roman" w:eastAsia="MS Mincho" w:hAnsi="Times New Roman" w:cs="Times New Roman"/>
          <w:sz w:val="24"/>
          <w:szCs w:val="24"/>
        </w:rPr>
        <w:t xml:space="preserve"> následujícího</w:t>
      </w:r>
      <w:r w:rsidR="00A47EB6" w:rsidRPr="00A47EB6">
        <w:rPr>
          <w:rFonts w:ascii="Times New Roman" w:eastAsia="MS Mincho" w:hAnsi="Times New Roman" w:cs="Times New Roman"/>
          <w:sz w:val="24"/>
          <w:szCs w:val="24"/>
        </w:rPr>
        <w:t xml:space="preserve"> po </w:t>
      </w:r>
      <w:r w:rsidR="00A47EB6">
        <w:rPr>
          <w:rFonts w:ascii="Times New Roman" w:eastAsia="MS Mincho" w:hAnsi="Times New Roman" w:cs="Times New Roman"/>
          <w:sz w:val="24"/>
          <w:szCs w:val="24"/>
        </w:rPr>
        <w:t>dni</w:t>
      </w:r>
      <w:r w:rsidR="00263228" w:rsidRPr="0062368D">
        <w:rPr>
          <w:rFonts w:ascii="Times New Roman" w:eastAsia="MS Mincho" w:hAnsi="Times New Roman" w:cs="Times New Roman"/>
          <w:sz w:val="24"/>
          <w:szCs w:val="24"/>
        </w:rPr>
        <w:t xml:space="preserve">, ve kterém budou dokončeny Úpravy podle ustanovení článku III. tohoto Dodatku </w:t>
      </w:r>
      <w:r w:rsidR="00864ECE" w:rsidRPr="0062368D">
        <w:rPr>
          <w:rFonts w:ascii="Times New Roman" w:eastAsia="MS Mincho" w:hAnsi="Times New Roman" w:cs="Times New Roman"/>
          <w:sz w:val="24"/>
          <w:szCs w:val="24"/>
        </w:rPr>
        <w:t>(dále jen</w:t>
      </w:r>
      <w:r w:rsidRPr="0062368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64ECE" w:rsidRPr="0062368D">
        <w:rPr>
          <w:rFonts w:ascii="Times New Roman" w:eastAsia="MS Mincho" w:hAnsi="Times New Roman" w:cs="Times New Roman"/>
          <w:sz w:val="24"/>
          <w:szCs w:val="24"/>
        </w:rPr>
        <w:t>„</w:t>
      </w:r>
      <w:r w:rsidRPr="0062368D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De</w:t>
      </w:r>
      <w:r w:rsidR="00864ECE" w:rsidRPr="0062368D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n</w:t>
      </w:r>
      <w:r w:rsidRPr="0062368D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změny</w:t>
      </w:r>
      <w:r w:rsidR="00864ECE" w:rsidRPr="0062368D">
        <w:rPr>
          <w:rFonts w:ascii="Times New Roman" w:eastAsia="MS Mincho" w:hAnsi="Times New Roman" w:cs="Times New Roman"/>
          <w:sz w:val="24"/>
          <w:szCs w:val="24"/>
        </w:rPr>
        <w:t>“),</w:t>
      </w:r>
      <w:r w:rsidR="00746A75" w:rsidRPr="0062368D">
        <w:rPr>
          <w:rFonts w:ascii="Times New Roman" w:eastAsia="MS Mincho" w:hAnsi="Times New Roman" w:cs="Times New Roman"/>
          <w:sz w:val="24"/>
          <w:szCs w:val="24"/>
        </w:rPr>
        <w:t xml:space="preserve"> mění vymezení části Prostor tvořících součást Předmětu nájmu podle Smlouvy, a to tak, že</w:t>
      </w:r>
      <w:r w:rsidR="00A47EB6">
        <w:rPr>
          <w:rFonts w:ascii="Times New Roman" w:eastAsia="MS Mincho" w:hAnsi="Times New Roman" w:cs="Times New Roman"/>
          <w:sz w:val="24"/>
          <w:szCs w:val="24"/>
        </w:rPr>
        <w:t xml:space="preserve"> se 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 xml:space="preserve">součástí Předmětu </w:t>
      </w:r>
      <w:r w:rsidR="00D83A6B" w:rsidRPr="00A47EB6">
        <w:rPr>
          <w:rFonts w:ascii="Times New Roman" w:eastAsia="MS Mincho" w:hAnsi="Times New Roman" w:cs="Times New Roman"/>
          <w:sz w:val="24"/>
          <w:szCs w:val="24"/>
        </w:rPr>
        <w:t xml:space="preserve">nájmu, resp. Prostor 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>se stávají</w:t>
      </w:r>
      <w:r w:rsidR="00D83A6B" w:rsidRPr="00A47EB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22C0E" w:rsidRPr="00A47EB6">
        <w:rPr>
          <w:rFonts w:ascii="Times New Roman" w:eastAsia="MS Mincho" w:hAnsi="Times New Roman" w:cs="Times New Roman"/>
          <w:sz w:val="24"/>
          <w:szCs w:val="24"/>
        </w:rPr>
        <w:t xml:space="preserve">počínaje 1. (slovy: prvním) dnem následujícím po Dni změny 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 xml:space="preserve">prostory </w:t>
      </w:r>
      <w:r w:rsidR="00746A75" w:rsidRPr="00A47EB6">
        <w:rPr>
          <w:rFonts w:ascii="Times New Roman" w:hAnsi="Times New Roman" w:cs="Times New Roman"/>
          <w:sz w:val="24"/>
          <w:szCs w:val="24"/>
        </w:rPr>
        <w:t>umístěné v</w:t>
      </w:r>
      <w:r w:rsidR="00D83A6B" w:rsidRPr="00A47EB6">
        <w:rPr>
          <w:rFonts w:ascii="Times New Roman" w:hAnsi="Times New Roman" w:cs="Times New Roman"/>
          <w:sz w:val="24"/>
          <w:szCs w:val="24"/>
        </w:rPr>
        <w:t>e</w:t>
      </w:r>
      <w:r w:rsidR="00746A75" w:rsidRPr="00A47EB6">
        <w:rPr>
          <w:rFonts w:ascii="Times New Roman" w:hAnsi="Times New Roman" w:cs="Times New Roman"/>
          <w:sz w:val="24"/>
          <w:szCs w:val="24"/>
        </w:rPr>
        <w:t xml:space="preserve"> </w:t>
      </w:r>
      <w:r w:rsidR="00D83A6B" w:rsidRPr="00A47EB6">
        <w:rPr>
          <w:rFonts w:ascii="Times New Roman" w:hAnsi="Times New Roman" w:cs="Times New Roman"/>
          <w:sz w:val="24"/>
          <w:szCs w:val="24"/>
        </w:rPr>
        <w:t>2</w:t>
      </w:r>
      <w:r w:rsidR="00746A75" w:rsidRPr="00A47EB6">
        <w:rPr>
          <w:rFonts w:ascii="Times New Roman" w:hAnsi="Times New Roman" w:cs="Times New Roman"/>
          <w:sz w:val="24"/>
          <w:szCs w:val="24"/>
        </w:rPr>
        <w:t>. patře (</w:t>
      </w:r>
      <w:r w:rsidR="00D83A6B" w:rsidRPr="00A47EB6">
        <w:rPr>
          <w:rFonts w:ascii="Times New Roman" w:hAnsi="Times New Roman" w:cs="Times New Roman"/>
          <w:sz w:val="24"/>
          <w:szCs w:val="24"/>
        </w:rPr>
        <w:t>3</w:t>
      </w:r>
      <w:r w:rsidR="00746A75" w:rsidRPr="00A47EB6">
        <w:rPr>
          <w:rFonts w:ascii="Times New Roman" w:hAnsi="Times New Roman" w:cs="Times New Roman"/>
          <w:sz w:val="24"/>
          <w:szCs w:val="24"/>
        </w:rPr>
        <w:t>. nadzemním podlaží) Budovy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746A75" w:rsidRPr="00A47EB6">
        <w:rPr>
          <w:rFonts w:ascii="Times New Roman" w:hAnsi="Times New Roman" w:cs="Times New Roman"/>
          <w:sz w:val="24"/>
          <w:szCs w:val="24"/>
        </w:rPr>
        <w:t xml:space="preserve">o celkové výměře </w:t>
      </w:r>
      <w:r w:rsidR="00A47EB6">
        <w:rPr>
          <w:rFonts w:ascii="Times New Roman" w:hAnsi="Times New Roman" w:cs="Times New Roman"/>
          <w:sz w:val="24"/>
          <w:szCs w:val="24"/>
        </w:rPr>
        <w:t>182</w:t>
      </w:r>
      <w:r w:rsidR="0076109A" w:rsidRPr="00A47EB6">
        <w:rPr>
          <w:rFonts w:ascii="Times New Roman" w:hAnsi="Times New Roman" w:cs="Times New Roman"/>
          <w:sz w:val="24"/>
          <w:szCs w:val="24"/>
        </w:rPr>
        <w:t>,</w:t>
      </w:r>
      <w:r w:rsidR="00A47EB6">
        <w:rPr>
          <w:rFonts w:ascii="Times New Roman" w:hAnsi="Times New Roman" w:cs="Times New Roman"/>
          <w:sz w:val="24"/>
          <w:szCs w:val="24"/>
        </w:rPr>
        <w:t>71</w:t>
      </w:r>
      <w:r w:rsidR="00746A75" w:rsidRPr="00A47EB6">
        <w:rPr>
          <w:rFonts w:ascii="Times New Roman" w:hAnsi="Times New Roman" w:cs="Times New Roman"/>
          <w:sz w:val="24"/>
          <w:szCs w:val="24"/>
        </w:rPr>
        <w:t xml:space="preserve"> 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>m</w:t>
      </w:r>
      <w:r w:rsidR="00746A75" w:rsidRPr="00A47EB6"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  <w:r w:rsidR="00746A75" w:rsidRPr="00A47EB6">
        <w:rPr>
          <w:rFonts w:ascii="Times New Roman" w:hAnsi="Times New Roman" w:cs="Times New Roman"/>
          <w:sz w:val="24"/>
          <w:szCs w:val="24"/>
        </w:rPr>
        <w:t xml:space="preserve"> se zvýšením pro účely výpočtu Nájemného a Poplatku za služby podle Smlouvy o „</w:t>
      </w:r>
      <w:proofErr w:type="spellStart"/>
      <w:r w:rsidR="00746A75" w:rsidRPr="00A47EB6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="00746A75" w:rsidRPr="00A47EB6">
        <w:rPr>
          <w:rFonts w:ascii="Times New Roman" w:hAnsi="Times New Roman" w:cs="Times New Roman"/>
          <w:sz w:val="24"/>
          <w:szCs w:val="24"/>
        </w:rPr>
        <w:t xml:space="preserve">-on </w:t>
      </w:r>
      <w:proofErr w:type="spellStart"/>
      <w:r w:rsidR="00746A75" w:rsidRPr="00A47EB6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746A75" w:rsidRPr="00A47EB6">
        <w:rPr>
          <w:rFonts w:ascii="Times New Roman" w:hAnsi="Times New Roman" w:cs="Times New Roman"/>
          <w:sz w:val="24"/>
          <w:szCs w:val="24"/>
        </w:rPr>
        <w:t xml:space="preserve">“ v rozsahu 10 % (slovy: deset procent) na celkovou výměru </w:t>
      </w:r>
      <w:r w:rsidR="00A47EB6">
        <w:rPr>
          <w:rFonts w:ascii="Times New Roman" w:hAnsi="Times New Roman" w:cs="Times New Roman"/>
          <w:sz w:val="24"/>
          <w:szCs w:val="24"/>
        </w:rPr>
        <w:t>200</w:t>
      </w:r>
      <w:r w:rsidR="0076109A" w:rsidRPr="00A47EB6">
        <w:rPr>
          <w:rFonts w:ascii="Times New Roman" w:hAnsi="Times New Roman" w:cs="Times New Roman"/>
          <w:sz w:val="24"/>
          <w:szCs w:val="24"/>
        </w:rPr>
        <w:t>,</w:t>
      </w:r>
      <w:r w:rsidR="00A47EB6">
        <w:rPr>
          <w:rFonts w:ascii="Times New Roman" w:hAnsi="Times New Roman" w:cs="Times New Roman"/>
          <w:sz w:val="24"/>
          <w:szCs w:val="24"/>
        </w:rPr>
        <w:t>98</w:t>
      </w:r>
      <w:r w:rsidR="008E41C7" w:rsidRPr="00A47EB6">
        <w:rPr>
          <w:rFonts w:ascii="Times New Roman" w:hAnsi="Times New Roman" w:cs="Times New Roman"/>
          <w:sz w:val="24"/>
          <w:szCs w:val="24"/>
        </w:rPr>
        <w:t xml:space="preserve"> 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>m</w:t>
      </w:r>
      <w:r w:rsidR="00746A75" w:rsidRPr="00A47EB6"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 xml:space="preserve"> (dále jen „</w:t>
      </w:r>
      <w:r w:rsidR="008E41C7" w:rsidRPr="00A47EB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Další prostory</w:t>
      </w:r>
      <w:r w:rsidR="00746A75" w:rsidRPr="00A47EB6">
        <w:rPr>
          <w:rFonts w:ascii="Times New Roman" w:eastAsia="MS Mincho" w:hAnsi="Times New Roman" w:cs="Times New Roman"/>
          <w:sz w:val="24"/>
          <w:szCs w:val="24"/>
        </w:rPr>
        <w:t>“).</w:t>
      </w:r>
      <w:r w:rsidR="00A47EB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01577" w:rsidRPr="00A47EB6">
        <w:rPr>
          <w:rStyle w:val="preformatted"/>
          <w:rFonts w:ascii="Times New Roman" w:hAnsi="Times New Roman" w:cs="Times New Roman"/>
          <w:sz w:val="24"/>
          <w:szCs w:val="24"/>
        </w:rPr>
        <w:t>P</w:t>
      </w:r>
      <w:r w:rsidR="00301577" w:rsidRPr="00A47EB6">
        <w:rPr>
          <w:rFonts w:ascii="Times New Roman" w:hAnsi="Times New Roman" w:cs="Times New Roman"/>
          <w:sz w:val="24"/>
          <w:szCs w:val="24"/>
        </w:rPr>
        <w:t xml:space="preserve">ůdorysný plán podlaží Budovy s vyznačením Dalších prostor tvoří přílohu č. </w:t>
      </w:r>
      <w:r w:rsidR="00EB7473" w:rsidRPr="00A47EB6">
        <w:rPr>
          <w:rFonts w:ascii="Times New Roman" w:hAnsi="Times New Roman" w:cs="Times New Roman"/>
          <w:sz w:val="24"/>
          <w:szCs w:val="24"/>
        </w:rPr>
        <w:t>1</w:t>
      </w:r>
      <w:r w:rsidR="00301577" w:rsidRPr="00A47EB6">
        <w:rPr>
          <w:rFonts w:ascii="Times New Roman" w:hAnsi="Times New Roman" w:cs="Times New Roman"/>
          <w:sz w:val="24"/>
          <w:szCs w:val="24"/>
        </w:rPr>
        <w:t xml:space="preserve"> tohoto Dodatku.</w:t>
      </w:r>
      <w:r w:rsidR="00A47EB6">
        <w:rPr>
          <w:rFonts w:ascii="Times New Roman" w:eastAsia="MS Mincho" w:hAnsi="Times New Roman" w:cs="Times New Roman"/>
          <w:sz w:val="24"/>
          <w:szCs w:val="24"/>
        </w:rPr>
        <w:t xml:space="preserve"> Předpokládaný Den změny je dne </w:t>
      </w:r>
      <w:r w:rsidR="00A22C0E" w:rsidRPr="00A47EB6"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r w:rsidR="00A47EB6">
        <w:rPr>
          <w:rFonts w:ascii="Times New Roman" w:eastAsia="MS Mincho" w:hAnsi="Times New Roman" w:cs="Times New Roman"/>
          <w:sz w:val="24"/>
          <w:szCs w:val="24"/>
        </w:rPr>
        <w:t>prosince</w:t>
      </w:r>
      <w:r w:rsidR="00A22C0E" w:rsidRPr="00A47EB6">
        <w:rPr>
          <w:rFonts w:ascii="Times New Roman" w:eastAsia="MS Mincho" w:hAnsi="Times New Roman" w:cs="Times New Roman"/>
          <w:sz w:val="24"/>
          <w:szCs w:val="24"/>
        </w:rPr>
        <w:t xml:space="preserve"> 2024.</w:t>
      </w:r>
    </w:p>
    <w:p w14:paraId="51F11009" w14:textId="49FD6A6F" w:rsidR="00342DC8" w:rsidRPr="0062368D" w:rsidRDefault="00342DC8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2368D">
        <w:rPr>
          <w:rFonts w:ascii="Times New Roman" w:eastAsia="MS Mincho" w:hAnsi="Times New Roman" w:cs="Times New Roman"/>
          <w:sz w:val="24"/>
          <w:szCs w:val="24"/>
        </w:rPr>
        <w:t>Náje</w:t>
      </w:r>
      <w:r w:rsidR="00A47EB6">
        <w:rPr>
          <w:rFonts w:ascii="Times New Roman" w:eastAsia="MS Mincho" w:hAnsi="Times New Roman" w:cs="Times New Roman"/>
          <w:sz w:val="24"/>
          <w:szCs w:val="24"/>
        </w:rPr>
        <w:t xml:space="preserve">m Dalších prostor je sjednán ode </w:t>
      </w:r>
      <w:r w:rsidR="0062368D" w:rsidRPr="0062368D">
        <w:rPr>
          <w:rFonts w:ascii="Times New Roman" w:eastAsia="MS Mincho" w:hAnsi="Times New Roman" w:cs="Times New Roman"/>
          <w:sz w:val="24"/>
          <w:szCs w:val="24"/>
        </w:rPr>
        <w:t>Dn</w:t>
      </w:r>
      <w:r w:rsidR="00A47EB6">
        <w:rPr>
          <w:rFonts w:ascii="Times New Roman" w:eastAsia="MS Mincho" w:hAnsi="Times New Roman" w:cs="Times New Roman"/>
          <w:sz w:val="24"/>
          <w:szCs w:val="24"/>
        </w:rPr>
        <w:t>e</w:t>
      </w:r>
      <w:r w:rsidRPr="0062368D">
        <w:rPr>
          <w:rFonts w:ascii="Times New Roman" w:eastAsia="MS Mincho" w:hAnsi="Times New Roman" w:cs="Times New Roman"/>
          <w:sz w:val="24"/>
          <w:szCs w:val="24"/>
        </w:rPr>
        <w:t xml:space="preserve"> změny do uplynutí sjednané doby </w:t>
      </w:r>
      <w:r w:rsidRPr="0062368D">
        <w:rPr>
          <w:rFonts w:ascii="Times New Roman" w:hAnsi="Times New Roman" w:cs="Times New Roman"/>
          <w:sz w:val="24"/>
          <w:szCs w:val="24"/>
        </w:rPr>
        <w:t xml:space="preserve">nájmu Předmětu nájmu podle ustanovení článku III., odst. 1. Smlouvy </w:t>
      </w:r>
      <w:r w:rsidR="00464051">
        <w:rPr>
          <w:rFonts w:ascii="Times New Roman" w:hAnsi="Times New Roman" w:cs="Times New Roman"/>
          <w:sz w:val="24"/>
          <w:szCs w:val="24"/>
        </w:rPr>
        <w:t>ve znění</w:t>
      </w:r>
      <w:r w:rsidR="00464051" w:rsidRPr="0062368D">
        <w:rPr>
          <w:rFonts w:ascii="Times New Roman" w:hAnsi="Times New Roman" w:cs="Times New Roman"/>
          <w:sz w:val="24"/>
          <w:szCs w:val="24"/>
        </w:rPr>
        <w:t xml:space="preserve"> </w:t>
      </w:r>
      <w:r w:rsidRPr="0062368D">
        <w:rPr>
          <w:rFonts w:ascii="Times New Roman" w:hAnsi="Times New Roman" w:cs="Times New Roman"/>
          <w:sz w:val="24"/>
          <w:szCs w:val="24"/>
        </w:rPr>
        <w:t xml:space="preserve">pozdějších změn, tj. do dne 31. </w:t>
      </w:r>
      <w:r w:rsidR="00901B2D">
        <w:rPr>
          <w:rFonts w:ascii="Times New Roman" w:hAnsi="Times New Roman" w:cs="Times New Roman"/>
          <w:sz w:val="24"/>
          <w:szCs w:val="24"/>
        </w:rPr>
        <w:t>p</w:t>
      </w:r>
      <w:r w:rsidRPr="0062368D">
        <w:rPr>
          <w:rFonts w:ascii="Times New Roman" w:hAnsi="Times New Roman" w:cs="Times New Roman"/>
          <w:sz w:val="24"/>
          <w:szCs w:val="24"/>
        </w:rPr>
        <w:t>r</w:t>
      </w:r>
      <w:r w:rsidR="00901B2D">
        <w:rPr>
          <w:rFonts w:ascii="Times New Roman" w:hAnsi="Times New Roman" w:cs="Times New Roman"/>
          <w:sz w:val="24"/>
          <w:szCs w:val="24"/>
        </w:rPr>
        <w:t>osi</w:t>
      </w:r>
      <w:r w:rsidRPr="0062368D">
        <w:rPr>
          <w:rFonts w:ascii="Times New Roman" w:hAnsi="Times New Roman" w:cs="Times New Roman"/>
          <w:sz w:val="24"/>
          <w:szCs w:val="24"/>
        </w:rPr>
        <w:t>nce 20</w:t>
      </w:r>
      <w:r w:rsidR="00A47EB6">
        <w:rPr>
          <w:rFonts w:ascii="Times New Roman" w:hAnsi="Times New Roman" w:cs="Times New Roman"/>
          <w:sz w:val="24"/>
          <w:szCs w:val="24"/>
        </w:rPr>
        <w:t>29</w:t>
      </w:r>
      <w:r w:rsidRPr="0062368D">
        <w:rPr>
          <w:rFonts w:ascii="Times New Roman" w:hAnsi="Times New Roman" w:cs="Times New Roman"/>
          <w:sz w:val="24"/>
          <w:szCs w:val="24"/>
        </w:rPr>
        <w:t>.</w:t>
      </w:r>
    </w:p>
    <w:p w14:paraId="79027247" w14:textId="0FCDA1E5" w:rsidR="009D24E8" w:rsidRPr="0097550D" w:rsidRDefault="009D24E8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2368D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tom, že výše Nájemného za nájem Dalších prostor podle ustanovení článku IV. Smlouvy činí </w:t>
      </w:r>
      <w:proofErr w:type="spellStart"/>
      <w:r w:rsidR="00752955">
        <w:rPr>
          <w:rFonts w:ascii="Times New Roman" w:eastAsia="MS Mincho" w:hAnsi="Times New Roman" w:cs="Times New Roman"/>
          <w:sz w:val="24"/>
          <w:szCs w:val="24"/>
        </w:rPr>
        <w:t>xxx</w:t>
      </w:r>
      <w:proofErr w:type="spellEnd"/>
      <w:r w:rsidRPr="0097550D">
        <w:rPr>
          <w:rFonts w:ascii="Times New Roman" w:hAnsi="Times New Roman" w:cs="Times New Roman"/>
          <w:sz w:val="24"/>
          <w:szCs w:val="24"/>
        </w:rPr>
        <w:t xml:space="preserve"> Kč (slovy: </w:t>
      </w:r>
      <w:proofErr w:type="spellStart"/>
      <w:r w:rsidR="00752955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97550D">
        <w:rPr>
          <w:rFonts w:ascii="Times New Roman" w:hAnsi="Times New Roman" w:cs="Times New Roman"/>
          <w:sz w:val="24"/>
          <w:szCs w:val="24"/>
        </w:rPr>
        <w:t>) bez daně z přidané hodnoty (dále jen „</w:t>
      </w:r>
      <w:r w:rsidRPr="009755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DPH</w:t>
      </w:r>
      <w:r w:rsidRPr="0097550D">
        <w:rPr>
          <w:rFonts w:ascii="Times New Roman" w:hAnsi="Times New Roman" w:cs="Times New Roman"/>
          <w:sz w:val="24"/>
          <w:szCs w:val="24"/>
        </w:rPr>
        <w:t>“) podle zákona č. 235/2004 Sb., o dani z přidané hodnoty, ve znění pozdějších předpisů, za každý m</w:t>
      </w:r>
      <w:r w:rsidRPr="009755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50D">
        <w:rPr>
          <w:rFonts w:ascii="Times New Roman" w:hAnsi="Times New Roman" w:cs="Times New Roman"/>
          <w:sz w:val="24"/>
          <w:szCs w:val="24"/>
        </w:rPr>
        <w:t xml:space="preserve"> (slovy: metr čtvereční) výměry Dalších prostor (včetně tzv. </w:t>
      </w:r>
      <w:proofErr w:type="spellStart"/>
      <w:r w:rsidRPr="0097550D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97550D">
        <w:rPr>
          <w:rFonts w:ascii="Times New Roman" w:hAnsi="Times New Roman" w:cs="Times New Roman"/>
          <w:sz w:val="24"/>
          <w:szCs w:val="24"/>
        </w:rPr>
        <w:t xml:space="preserve">-on </w:t>
      </w:r>
      <w:proofErr w:type="spellStart"/>
      <w:r w:rsidRPr="0097550D">
        <w:rPr>
          <w:rFonts w:ascii="Times New Roman" w:hAnsi="Times New Roman" w:cs="Times New Roman"/>
          <w:sz w:val="24"/>
          <w:szCs w:val="24"/>
        </w:rPr>
        <w:t>factoru</w:t>
      </w:r>
      <w:proofErr w:type="spellEnd"/>
      <w:r w:rsidRPr="0097550D">
        <w:rPr>
          <w:rFonts w:ascii="Times New Roman" w:hAnsi="Times New Roman" w:cs="Times New Roman"/>
          <w:sz w:val="24"/>
          <w:szCs w:val="24"/>
        </w:rPr>
        <w:t>) měsíčně.</w:t>
      </w:r>
    </w:p>
    <w:p w14:paraId="39754312" w14:textId="03F6425C" w:rsidR="009D24E8" w:rsidRPr="0062368D" w:rsidRDefault="009D24E8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7550D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tom, že výše Poplatku za služby vztahujícího se k Dalším prostorům podle ustanovení článku V. Smlouvy činí </w:t>
      </w:r>
      <w:proofErr w:type="spellStart"/>
      <w:proofErr w:type="gramStart"/>
      <w:r w:rsidR="00752955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97550D">
        <w:rPr>
          <w:rFonts w:ascii="Times New Roman" w:hAnsi="Times New Roman" w:cs="Times New Roman"/>
          <w:sz w:val="24"/>
          <w:szCs w:val="24"/>
        </w:rPr>
        <w:t>- Kč</w:t>
      </w:r>
      <w:proofErr w:type="gramEnd"/>
      <w:r w:rsidRPr="0097550D">
        <w:rPr>
          <w:rFonts w:ascii="Times New Roman" w:hAnsi="Times New Roman" w:cs="Times New Roman"/>
          <w:sz w:val="24"/>
          <w:szCs w:val="24"/>
        </w:rPr>
        <w:t xml:space="preserve"> (slovy: </w:t>
      </w:r>
      <w:proofErr w:type="spellStart"/>
      <w:r w:rsidR="00752955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62368D">
        <w:rPr>
          <w:rFonts w:ascii="Times New Roman" w:hAnsi="Times New Roman" w:cs="Times New Roman"/>
          <w:sz w:val="24"/>
          <w:szCs w:val="24"/>
        </w:rPr>
        <w:t>) bez DPH za každý m</w:t>
      </w:r>
      <w:r w:rsidRPr="006236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368D">
        <w:rPr>
          <w:rFonts w:ascii="Times New Roman" w:hAnsi="Times New Roman" w:cs="Times New Roman"/>
          <w:sz w:val="24"/>
          <w:szCs w:val="24"/>
        </w:rPr>
        <w:t xml:space="preserve"> (slovy: metr čtvereční) výměry Dalších prostor (včetně tzv. </w:t>
      </w:r>
      <w:proofErr w:type="spellStart"/>
      <w:r w:rsidRPr="0062368D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62368D">
        <w:rPr>
          <w:rFonts w:ascii="Times New Roman" w:hAnsi="Times New Roman" w:cs="Times New Roman"/>
          <w:sz w:val="24"/>
          <w:szCs w:val="24"/>
        </w:rPr>
        <w:t xml:space="preserve">-on </w:t>
      </w:r>
      <w:proofErr w:type="spellStart"/>
      <w:r w:rsidRPr="0062368D">
        <w:rPr>
          <w:rFonts w:ascii="Times New Roman" w:hAnsi="Times New Roman" w:cs="Times New Roman"/>
          <w:sz w:val="24"/>
          <w:szCs w:val="24"/>
        </w:rPr>
        <w:t>factoru</w:t>
      </w:r>
      <w:proofErr w:type="spellEnd"/>
      <w:r w:rsidRPr="0062368D">
        <w:rPr>
          <w:rFonts w:ascii="Times New Roman" w:hAnsi="Times New Roman" w:cs="Times New Roman"/>
          <w:sz w:val="24"/>
          <w:szCs w:val="24"/>
        </w:rPr>
        <w:t>) měsíčně.</w:t>
      </w:r>
    </w:p>
    <w:p w14:paraId="5BE44A11" w14:textId="08400226" w:rsidR="009D24E8" w:rsidRPr="009E03C0" w:rsidRDefault="009D24E8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2368D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tom, že Nájemné za nájem Dalších prostor bude podle </w:t>
      </w:r>
      <w:r w:rsidRPr="0062368D">
        <w:rPr>
          <w:rFonts w:ascii="Times New Roman" w:hAnsi="Times New Roman" w:cs="Times New Roman"/>
          <w:sz w:val="24"/>
          <w:szCs w:val="24"/>
        </w:rPr>
        <w:t xml:space="preserve">ustanovení článku IV., odst. 6. Smlouvy zvyšováno vždy ke dni 1. ledna </w:t>
      </w:r>
      <w:r w:rsidR="00301577" w:rsidRPr="0062368D">
        <w:rPr>
          <w:rFonts w:ascii="Times New Roman" w:hAnsi="Times New Roman" w:cs="Times New Roman"/>
          <w:sz w:val="24"/>
          <w:szCs w:val="24"/>
        </w:rPr>
        <w:t xml:space="preserve">příslušného kalendářního </w:t>
      </w:r>
      <w:r w:rsidR="00301577" w:rsidRPr="0076109A">
        <w:rPr>
          <w:rFonts w:ascii="Times New Roman" w:hAnsi="Times New Roman" w:cs="Times New Roman"/>
          <w:sz w:val="24"/>
          <w:szCs w:val="24"/>
        </w:rPr>
        <w:t xml:space="preserve">roku </w:t>
      </w:r>
      <w:r w:rsidRPr="0076109A">
        <w:rPr>
          <w:rFonts w:ascii="Times New Roman" w:hAnsi="Times New Roman" w:cs="Times New Roman"/>
          <w:sz w:val="24"/>
          <w:szCs w:val="24"/>
        </w:rPr>
        <w:t>podle nárůstu indexu spotřebitelských cen (míry inflace) vyhlášeného Českým statistickým úřadem za předchozí kalendářní rok, maximálně však vždy o 2 % (slovy: dvě procenta) ročně.</w:t>
      </w:r>
    </w:p>
    <w:p w14:paraId="077D5717" w14:textId="5FBACDBC" w:rsidR="009D24E8" w:rsidRDefault="009D24E8" w:rsidP="00560627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2368D">
        <w:rPr>
          <w:rFonts w:ascii="Times New Roman" w:eastAsia="MS Mincho" w:hAnsi="Times New Roman" w:cs="Times New Roman"/>
          <w:sz w:val="24"/>
          <w:szCs w:val="24"/>
        </w:rPr>
        <w:t>Nájemce je povinen hradit počínaje Dnem změny v souladu s ustanovením článku V., odst. 7. Smlouvy veškeré náklady spojené s dodávkami elektrické energie do Dalších prostor.</w:t>
      </w:r>
    </w:p>
    <w:p w14:paraId="496376F4" w14:textId="77777777" w:rsidR="0097550D" w:rsidRPr="0097550D" w:rsidRDefault="0097550D" w:rsidP="0097550D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7550D">
        <w:rPr>
          <w:rFonts w:ascii="Times New Roman" w:hAnsi="Times New Roman" w:cs="Times New Roman"/>
        </w:rPr>
        <w:t>„</w:t>
      </w:r>
      <w:r w:rsidRPr="0097550D">
        <w:rPr>
          <w:rFonts w:ascii="Times New Roman" w:eastAsia="MS Mincho" w:hAnsi="Times New Roman" w:cs="Times New Roman"/>
          <w:sz w:val="24"/>
          <w:szCs w:val="24"/>
        </w:rPr>
        <w:t>S ohledem na dosavadní vzájemnou bezproblémovou spolupráci Pronajímatel nepožaduje na Nájemci složení dalších finančních prostředků jako jistoty poskytované v souladu s ustanovením článku VI. Smlouvy (dále jen „</w:t>
      </w:r>
      <w:r w:rsidRPr="0097550D">
        <w:rPr>
          <w:rFonts w:ascii="Times New Roman" w:eastAsia="MS Mincho" w:hAnsi="Times New Roman" w:cs="Times New Roman"/>
          <w:b/>
          <w:bCs/>
          <w:sz w:val="24"/>
          <w:szCs w:val="24"/>
        </w:rPr>
        <w:t>Jistota</w:t>
      </w:r>
      <w:r w:rsidRPr="0097550D">
        <w:rPr>
          <w:rFonts w:ascii="Times New Roman" w:eastAsia="MS Mincho" w:hAnsi="Times New Roman" w:cs="Times New Roman"/>
          <w:sz w:val="24"/>
          <w:szCs w:val="24"/>
        </w:rPr>
        <w:t>“) spojené s rozšířením Předmětu nájmu o Další prostory. Tímto ujednáním není jakkoli dotčeno právo Pronajímatele kdykoli požadovat při jakékoli další změně v předmětu nájmu či při jakémkoli porušení povinnosti Nájemce podle Smlouvy, aby Nájemce poskytl Pronajímateli Jistotu v plné výši určené výpočtem podle ustanovením článku VI., odst. 1. Smlouvy.“</w:t>
      </w:r>
    </w:p>
    <w:p w14:paraId="651B4FAF" w14:textId="77777777" w:rsidR="00075E62" w:rsidRPr="0097550D" w:rsidRDefault="00075E62" w:rsidP="00560627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4EB640D5" w14:textId="77777777" w:rsidR="00263228" w:rsidRPr="0062368D" w:rsidRDefault="00263228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2368D">
        <w:rPr>
          <w:rFonts w:ascii="Times New Roman" w:hAnsi="Times New Roman" w:cs="Times New Roman"/>
          <w:b/>
          <w:sz w:val="24"/>
          <w:szCs w:val="24"/>
        </w:rPr>
        <w:t>Článek III</w:t>
      </w:r>
      <w:r w:rsidRPr="0062368D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40E2067E" w14:textId="5468BAE3" w:rsidR="00263228" w:rsidRPr="0062368D" w:rsidRDefault="00263228" w:rsidP="00560627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62368D">
        <w:rPr>
          <w:rFonts w:ascii="Times New Roman" w:eastAsia="MS Mincho" w:hAnsi="Times New Roman" w:cs="Times New Roman"/>
          <w:b/>
          <w:bCs/>
          <w:sz w:val="28"/>
          <w:szCs w:val="28"/>
        </w:rPr>
        <w:t>Úpravy Dalších prostor</w:t>
      </w:r>
      <w:r w:rsidR="00CD4198" w:rsidRPr="0062368D">
        <w:rPr>
          <w:rFonts w:ascii="Times New Roman" w:eastAsia="MS Mincho" w:hAnsi="Times New Roman" w:cs="Times New Roman"/>
          <w:b/>
          <w:bCs/>
          <w:sz w:val="28"/>
          <w:szCs w:val="28"/>
        </w:rPr>
        <w:t>. Pře</w:t>
      </w:r>
      <w:r w:rsidR="00061782">
        <w:rPr>
          <w:rFonts w:ascii="Times New Roman" w:eastAsia="MS Mincho" w:hAnsi="Times New Roman" w:cs="Times New Roman"/>
          <w:b/>
          <w:bCs/>
          <w:sz w:val="28"/>
          <w:szCs w:val="28"/>
        </w:rPr>
        <w:t>dání a převzetí Dalších prostor</w:t>
      </w:r>
    </w:p>
    <w:p w14:paraId="0758201F" w14:textId="47CF4D5A" w:rsidR="00F56AF0" w:rsidRPr="0062368D" w:rsidRDefault="00F56AF0" w:rsidP="00560627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hAnsi="Times New Roman"/>
          <w:color w:val="auto"/>
          <w:szCs w:val="24"/>
        </w:rPr>
        <w:t>Pronajímatel a Nájemce se dohodli na tom, že Pronajímatel zajistí před Dnem změny provedení úprav Dalších prostor (dále a též shora jen „</w:t>
      </w:r>
      <w:r w:rsidRPr="0062368D">
        <w:rPr>
          <w:rFonts w:ascii="Times New Roman" w:hAnsi="Times New Roman"/>
          <w:b/>
          <w:i/>
          <w:color w:val="auto"/>
          <w:szCs w:val="24"/>
        </w:rPr>
        <w:t>Úpravy</w:t>
      </w:r>
      <w:r w:rsidRPr="0062368D">
        <w:rPr>
          <w:rFonts w:ascii="Times New Roman" w:hAnsi="Times New Roman"/>
          <w:color w:val="auto"/>
          <w:szCs w:val="24"/>
        </w:rPr>
        <w:t xml:space="preserve">“), to vše za podmínek uvedených níže </w:t>
      </w:r>
      <w:r w:rsidRPr="0062368D">
        <w:rPr>
          <w:rFonts w:ascii="Times New Roman" w:hAnsi="Times New Roman"/>
          <w:color w:val="auto"/>
          <w:szCs w:val="24"/>
        </w:rPr>
        <w:lastRenderedPageBreak/>
        <w:t xml:space="preserve">v ustanoveních tohoto článku Dodatku, přičemž specifikace Úprav tvoří přílohu č. </w:t>
      </w:r>
      <w:r w:rsidR="00061782">
        <w:rPr>
          <w:rFonts w:ascii="Times New Roman" w:hAnsi="Times New Roman"/>
          <w:color w:val="auto"/>
          <w:szCs w:val="24"/>
        </w:rPr>
        <w:t>2</w:t>
      </w:r>
      <w:r w:rsidRPr="0062368D">
        <w:rPr>
          <w:rFonts w:ascii="Times New Roman" w:hAnsi="Times New Roman"/>
          <w:color w:val="auto"/>
          <w:szCs w:val="24"/>
        </w:rPr>
        <w:t xml:space="preserve"> tohoto Dodatku.</w:t>
      </w:r>
    </w:p>
    <w:p w14:paraId="5AD4FD88" w14:textId="488FDF03" w:rsidR="00F56AF0" w:rsidRPr="0062368D" w:rsidRDefault="00F56AF0" w:rsidP="00560627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hAnsi="Times New Roman"/>
          <w:color w:val="auto"/>
          <w:szCs w:val="24"/>
        </w:rPr>
        <w:t xml:space="preserve">Nájemce se zavazuje k tomu, že na své náklady zajistí a Pronajímateli předá do dne </w:t>
      </w:r>
      <w:r w:rsidR="002E236C" w:rsidRPr="0062368D">
        <w:rPr>
          <w:rFonts w:ascii="Times New Roman" w:hAnsi="Times New Roman"/>
          <w:color w:val="auto"/>
          <w:szCs w:val="24"/>
        </w:rPr>
        <w:t xml:space="preserve">31. </w:t>
      </w:r>
      <w:r w:rsidR="00EF5DCC">
        <w:rPr>
          <w:rFonts w:ascii="Times New Roman" w:hAnsi="Times New Roman"/>
          <w:color w:val="auto"/>
          <w:szCs w:val="24"/>
        </w:rPr>
        <w:t>srpna</w:t>
      </w:r>
      <w:r w:rsidR="002E236C" w:rsidRPr="0062368D">
        <w:rPr>
          <w:rFonts w:ascii="Times New Roman" w:hAnsi="Times New Roman"/>
          <w:color w:val="auto"/>
          <w:szCs w:val="24"/>
        </w:rPr>
        <w:t xml:space="preserve"> 2024</w:t>
      </w:r>
      <w:r w:rsidRPr="0062368D">
        <w:rPr>
          <w:rFonts w:ascii="Times New Roman" w:hAnsi="Times New Roman"/>
          <w:color w:val="auto"/>
          <w:szCs w:val="24"/>
        </w:rPr>
        <w:t xml:space="preserve"> </w:t>
      </w:r>
      <w:r w:rsidRPr="0062368D">
        <w:rPr>
          <w:rFonts w:ascii="Times New Roman" w:eastAsia="MS Mincho" w:hAnsi="Times New Roman"/>
          <w:color w:val="auto"/>
          <w:szCs w:val="24"/>
        </w:rPr>
        <w:t xml:space="preserve">kompletní zjednodušený </w:t>
      </w:r>
      <w:r w:rsidR="00560627">
        <w:rPr>
          <w:rFonts w:ascii="Times New Roman" w:eastAsia="MS Mincho" w:hAnsi="Times New Roman"/>
          <w:color w:val="auto"/>
          <w:szCs w:val="24"/>
        </w:rPr>
        <w:t>p</w:t>
      </w:r>
      <w:r w:rsidRPr="0062368D">
        <w:rPr>
          <w:rFonts w:ascii="Times New Roman" w:eastAsia="MS Mincho" w:hAnsi="Times New Roman"/>
          <w:color w:val="auto"/>
          <w:szCs w:val="24"/>
        </w:rPr>
        <w:t>rojekt Úprav (dále jen „</w:t>
      </w:r>
      <w:r w:rsidRPr="0062368D">
        <w:rPr>
          <w:rFonts w:ascii="Times New Roman" w:eastAsia="MS Mincho" w:hAnsi="Times New Roman"/>
          <w:b/>
          <w:bCs/>
          <w:i/>
          <w:iCs/>
          <w:color w:val="auto"/>
          <w:szCs w:val="24"/>
        </w:rPr>
        <w:t>Projekt Úprav</w:t>
      </w:r>
      <w:r w:rsidRPr="0062368D">
        <w:rPr>
          <w:rFonts w:ascii="Times New Roman" w:eastAsia="MS Mincho" w:hAnsi="Times New Roman"/>
          <w:color w:val="auto"/>
          <w:szCs w:val="24"/>
        </w:rPr>
        <w:t xml:space="preserve">“), a to s takovým obsahem a v takovém rozsahu a formě, aby bylo možné Úpravy s přihlédnutím k objektivním okolnostem dokončit do </w:t>
      </w:r>
      <w:r w:rsidR="00600435" w:rsidRPr="0097550D">
        <w:rPr>
          <w:rFonts w:ascii="Times New Roman" w:eastAsia="MS Mincho" w:hAnsi="Times New Roman"/>
          <w:color w:val="auto"/>
          <w:szCs w:val="24"/>
        </w:rPr>
        <w:t>dne 3</w:t>
      </w:r>
      <w:r w:rsidR="00EF5DCC" w:rsidRPr="0097550D">
        <w:rPr>
          <w:rFonts w:ascii="Times New Roman" w:eastAsia="MS Mincho" w:hAnsi="Times New Roman"/>
          <w:color w:val="auto"/>
          <w:szCs w:val="24"/>
        </w:rPr>
        <w:t>0</w:t>
      </w:r>
      <w:r w:rsidR="00600435" w:rsidRPr="0097550D">
        <w:rPr>
          <w:rFonts w:ascii="Times New Roman" w:eastAsia="MS Mincho" w:hAnsi="Times New Roman"/>
          <w:color w:val="auto"/>
          <w:szCs w:val="24"/>
        </w:rPr>
        <w:t xml:space="preserve">. </w:t>
      </w:r>
      <w:r w:rsidR="00EF5DCC" w:rsidRPr="0097550D">
        <w:rPr>
          <w:rFonts w:ascii="Times New Roman" w:eastAsia="MS Mincho" w:hAnsi="Times New Roman"/>
          <w:color w:val="auto"/>
          <w:szCs w:val="24"/>
        </w:rPr>
        <w:t>listopadu</w:t>
      </w:r>
      <w:r w:rsidR="00600435" w:rsidRPr="0097550D">
        <w:rPr>
          <w:rFonts w:ascii="Times New Roman" w:eastAsia="MS Mincho" w:hAnsi="Times New Roman"/>
          <w:color w:val="auto"/>
          <w:szCs w:val="24"/>
        </w:rPr>
        <w:t xml:space="preserve"> 2024</w:t>
      </w:r>
      <w:r w:rsidR="00EB7473" w:rsidRPr="0097550D">
        <w:rPr>
          <w:rFonts w:ascii="Times New Roman" w:eastAsia="MS Mincho" w:hAnsi="Times New Roman"/>
          <w:color w:val="auto"/>
          <w:szCs w:val="24"/>
        </w:rPr>
        <w:t>, to</w:t>
      </w:r>
      <w:r w:rsidR="00EB7473" w:rsidRPr="0062368D">
        <w:rPr>
          <w:rFonts w:ascii="Times New Roman" w:eastAsia="MS Mincho" w:hAnsi="Times New Roman"/>
          <w:color w:val="auto"/>
          <w:szCs w:val="24"/>
        </w:rPr>
        <w:t xml:space="preserve"> vše tak, aby byl Projekt Úprav zcela v souladu se </w:t>
      </w:r>
      <w:r w:rsidR="00EB7473" w:rsidRPr="0062368D">
        <w:rPr>
          <w:rFonts w:ascii="Times New Roman" w:hAnsi="Times New Roman"/>
          <w:color w:val="auto"/>
          <w:szCs w:val="24"/>
        </w:rPr>
        <w:t xml:space="preserve">specifikací Úprav obsaženou v příloze č. </w:t>
      </w:r>
      <w:r w:rsidR="00EF5DCC">
        <w:rPr>
          <w:rFonts w:ascii="Times New Roman" w:hAnsi="Times New Roman"/>
          <w:color w:val="auto"/>
          <w:szCs w:val="24"/>
        </w:rPr>
        <w:t xml:space="preserve">2 </w:t>
      </w:r>
      <w:r w:rsidR="00EB7473" w:rsidRPr="0062368D">
        <w:rPr>
          <w:rFonts w:ascii="Times New Roman" w:hAnsi="Times New Roman"/>
          <w:color w:val="auto"/>
          <w:szCs w:val="24"/>
        </w:rPr>
        <w:t>tohoto</w:t>
      </w:r>
      <w:r w:rsidR="00600435" w:rsidRPr="0062368D">
        <w:rPr>
          <w:rFonts w:ascii="Times New Roman" w:hAnsi="Times New Roman"/>
          <w:color w:val="auto"/>
          <w:szCs w:val="24"/>
        </w:rPr>
        <w:t xml:space="preserve"> </w:t>
      </w:r>
      <w:r w:rsidR="00EB7473" w:rsidRPr="0062368D">
        <w:rPr>
          <w:rFonts w:ascii="Times New Roman" w:hAnsi="Times New Roman"/>
          <w:color w:val="auto"/>
          <w:szCs w:val="24"/>
        </w:rPr>
        <w:t>Dodatku a s obsahem ustanovení tohoto článku Dodatku</w:t>
      </w:r>
      <w:r w:rsidRPr="0076109A">
        <w:rPr>
          <w:rFonts w:ascii="Times New Roman" w:eastAsia="MS Mincho" w:hAnsi="Times New Roman"/>
          <w:color w:val="auto"/>
          <w:szCs w:val="24"/>
        </w:rPr>
        <w:t xml:space="preserve">. </w:t>
      </w:r>
      <w:r w:rsidRPr="0076109A">
        <w:rPr>
          <w:rFonts w:ascii="Times New Roman" w:hAnsi="Times New Roman"/>
          <w:color w:val="auto"/>
          <w:szCs w:val="24"/>
        </w:rPr>
        <w:t>Úpravy budou provedeny dodavatelem (dále jen „</w:t>
      </w:r>
      <w:r w:rsidRPr="0076109A">
        <w:rPr>
          <w:rFonts w:ascii="Times New Roman" w:hAnsi="Times New Roman"/>
          <w:b/>
          <w:bCs/>
          <w:i/>
          <w:iCs/>
          <w:color w:val="auto"/>
          <w:szCs w:val="24"/>
        </w:rPr>
        <w:t>Dodavatel</w:t>
      </w:r>
      <w:r w:rsidRPr="0076109A">
        <w:rPr>
          <w:rFonts w:ascii="Times New Roman" w:hAnsi="Times New Roman"/>
          <w:color w:val="auto"/>
          <w:szCs w:val="24"/>
        </w:rPr>
        <w:t>“), na němž se Pronajímatel a Nájemce shodnou, vybraným v rámci řízení organizovaného Pronajímatelem. Pokud nedojde mezi Pronajímatelem a Nájemce ke shodě o výběru Dodavatele, určí Pronajímatel takového Dodavatele Úprav, jehož nabídka na provedení Úprav bude obsahovat po cenové, věcné a termínové stránce podle úvahy Pronajímatele nejvhodnější parametry. Nájemce je povinen poskytnout Pronajímateli bezodkladně veškerou součinnost</w:t>
      </w:r>
      <w:r w:rsidRPr="0062368D">
        <w:rPr>
          <w:rFonts w:ascii="Times New Roman" w:hAnsi="Times New Roman"/>
          <w:color w:val="auto"/>
          <w:szCs w:val="24"/>
        </w:rPr>
        <w:t xml:space="preserve"> nezbytnou k provedení Úprav.</w:t>
      </w:r>
    </w:p>
    <w:p w14:paraId="3A4CDB45" w14:textId="12CC44F4" w:rsidR="00F56AF0" w:rsidRPr="0076109A" w:rsidRDefault="00F56AF0" w:rsidP="00560627">
      <w:pPr>
        <w:pStyle w:val="Zkladntext2"/>
        <w:numPr>
          <w:ilvl w:val="0"/>
          <w:numId w:val="49"/>
        </w:numPr>
        <w:tabs>
          <w:tab w:val="clear" w:pos="720"/>
        </w:tabs>
        <w:spacing w:after="120"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hAnsi="Times New Roman"/>
          <w:color w:val="auto"/>
          <w:szCs w:val="24"/>
        </w:rPr>
        <w:t xml:space="preserve">Pronajímatel ponese náklady spojené s provedením Úprav až do částky </w:t>
      </w:r>
      <w:proofErr w:type="spellStart"/>
      <w:r w:rsidR="00752955">
        <w:rPr>
          <w:rFonts w:ascii="Times New Roman" w:hAnsi="Times New Roman"/>
          <w:color w:val="auto"/>
          <w:szCs w:val="24"/>
        </w:rPr>
        <w:t>xxx</w:t>
      </w:r>
      <w:proofErr w:type="spellEnd"/>
      <w:r w:rsidRPr="0062368D">
        <w:rPr>
          <w:rFonts w:ascii="Times New Roman" w:hAnsi="Times New Roman"/>
          <w:color w:val="auto"/>
          <w:szCs w:val="24"/>
        </w:rPr>
        <w:t>- EUR (</w:t>
      </w:r>
      <w:r w:rsidR="00752955">
        <w:rPr>
          <w:rFonts w:ascii="Times New Roman" w:hAnsi="Times New Roman"/>
          <w:color w:val="auto"/>
          <w:szCs w:val="24"/>
        </w:rPr>
        <w:t>xxx)</w:t>
      </w:r>
      <w:r w:rsidRPr="0062368D">
        <w:rPr>
          <w:rFonts w:ascii="Times New Roman" w:hAnsi="Times New Roman"/>
          <w:color w:val="auto"/>
          <w:szCs w:val="24"/>
        </w:rPr>
        <w:t xml:space="preserve"> bez DPH za každý 1 m</w:t>
      </w:r>
      <w:r w:rsidRPr="0062368D">
        <w:rPr>
          <w:rFonts w:ascii="Times New Roman" w:hAnsi="Times New Roman"/>
          <w:color w:val="auto"/>
          <w:szCs w:val="24"/>
          <w:vertAlign w:val="superscript"/>
        </w:rPr>
        <w:t>2</w:t>
      </w:r>
      <w:r w:rsidRPr="0062368D">
        <w:rPr>
          <w:rFonts w:ascii="Times New Roman" w:hAnsi="Times New Roman"/>
          <w:color w:val="auto"/>
          <w:szCs w:val="24"/>
        </w:rPr>
        <w:t xml:space="preserve"> (slovy: jeden metr čtvereční) </w:t>
      </w:r>
      <w:r w:rsidR="0062368D" w:rsidRPr="0062368D">
        <w:rPr>
          <w:rFonts w:ascii="Times New Roman" w:hAnsi="Times New Roman"/>
          <w:color w:val="auto"/>
          <w:szCs w:val="24"/>
        </w:rPr>
        <w:t xml:space="preserve">čisté </w:t>
      </w:r>
      <w:r w:rsidRPr="0062368D">
        <w:rPr>
          <w:rFonts w:ascii="Times New Roman" w:hAnsi="Times New Roman"/>
          <w:color w:val="auto"/>
          <w:szCs w:val="24"/>
        </w:rPr>
        <w:t>výměry Dalších prostor, které budou přímo dotčeny provedením Úprav</w:t>
      </w:r>
      <w:r w:rsidR="0062368D" w:rsidRPr="0062368D">
        <w:rPr>
          <w:rFonts w:ascii="Times New Roman" w:hAnsi="Times New Roman"/>
          <w:color w:val="auto"/>
          <w:szCs w:val="24"/>
        </w:rPr>
        <w:t xml:space="preserve"> (bez tzv. „</w:t>
      </w:r>
      <w:proofErr w:type="spellStart"/>
      <w:r w:rsidR="0062368D" w:rsidRPr="0062368D">
        <w:rPr>
          <w:rFonts w:ascii="Times New Roman" w:hAnsi="Times New Roman"/>
          <w:color w:val="auto"/>
          <w:szCs w:val="24"/>
        </w:rPr>
        <w:t>add</w:t>
      </w:r>
      <w:proofErr w:type="spellEnd"/>
      <w:r w:rsidR="0062368D" w:rsidRPr="0062368D">
        <w:rPr>
          <w:rFonts w:ascii="Times New Roman" w:hAnsi="Times New Roman"/>
          <w:color w:val="auto"/>
          <w:szCs w:val="24"/>
        </w:rPr>
        <w:t xml:space="preserve">-on </w:t>
      </w:r>
      <w:proofErr w:type="spellStart"/>
      <w:r w:rsidR="0062368D" w:rsidRPr="0062368D">
        <w:rPr>
          <w:rFonts w:ascii="Times New Roman" w:hAnsi="Times New Roman"/>
          <w:color w:val="auto"/>
          <w:szCs w:val="24"/>
        </w:rPr>
        <w:t>factoru</w:t>
      </w:r>
      <w:proofErr w:type="spellEnd"/>
      <w:r w:rsidR="0062368D" w:rsidRPr="0062368D">
        <w:rPr>
          <w:rFonts w:ascii="Times New Roman" w:hAnsi="Times New Roman"/>
          <w:color w:val="auto"/>
          <w:szCs w:val="24"/>
        </w:rPr>
        <w:t>“)</w:t>
      </w:r>
      <w:r w:rsidRPr="0062368D">
        <w:rPr>
          <w:rFonts w:ascii="Times New Roman" w:hAnsi="Times New Roman"/>
          <w:color w:val="auto"/>
          <w:szCs w:val="24"/>
        </w:rPr>
        <w:t xml:space="preserve">. Pokud budou náklady (ceny) za provedení Úprav účtovány Pronajímateli ze strany jejich dodavatelů v měně Kč (slovy: koruny české), tak bude pro přepočet těchto nákladů na měnu EUR (slovy: eur) použit devizový kurz měn Kč (slovy: koruny české) a EUR (slovy: eur) stanovený Českou národní </w:t>
      </w:r>
      <w:r w:rsidRPr="0076109A">
        <w:rPr>
          <w:rFonts w:ascii="Times New Roman" w:hAnsi="Times New Roman"/>
          <w:color w:val="auto"/>
          <w:szCs w:val="24"/>
        </w:rPr>
        <w:t xml:space="preserve">bankou ke dni uzavření </w:t>
      </w:r>
      <w:r w:rsidR="00FD2C5A" w:rsidRPr="0076109A">
        <w:rPr>
          <w:rFonts w:ascii="Times New Roman" w:hAnsi="Times New Roman"/>
          <w:color w:val="auto"/>
          <w:szCs w:val="24"/>
        </w:rPr>
        <w:t>tohoto Dodatku</w:t>
      </w:r>
      <w:r w:rsidRPr="0076109A">
        <w:rPr>
          <w:rFonts w:ascii="Times New Roman" w:hAnsi="Times New Roman"/>
          <w:color w:val="auto"/>
          <w:szCs w:val="24"/>
        </w:rPr>
        <w:t xml:space="preserve">. Veškeré další náklady převyšující </w:t>
      </w:r>
      <w:r w:rsidR="00EB7473" w:rsidRPr="0076109A">
        <w:rPr>
          <w:rFonts w:ascii="Times New Roman" w:hAnsi="Times New Roman"/>
          <w:color w:val="auto"/>
          <w:szCs w:val="24"/>
        </w:rPr>
        <w:t>shora uvedenou</w:t>
      </w:r>
      <w:r w:rsidRPr="0076109A">
        <w:rPr>
          <w:rFonts w:ascii="Times New Roman" w:hAnsi="Times New Roman"/>
          <w:color w:val="auto"/>
          <w:szCs w:val="24"/>
        </w:rPr>
        <w:t xml:space="preserve"> částku spojené s Úpravami ponese v plném rozsahu Nájemce s tím, že je Nájemce uhradí ve prospěch Pronajímatele po dokončení Úprav podle vyúčtování provedeného Pronajímatelem, a to </w:t>
      </w:r>
      <w:r w:rsidR="00FD2C5A" w:rsidRPr="0076109A">
        <w:rPr>
          <w:rFonts w:ascii="Times New Roman" w:hAnsi="Times New Roman"/>
          <w:color w:val="auto"/>
          <w:szCs w:val="24"/>
        </w:rPr>
        <w:t xml:space="preserve">v měně Kč (slovy: koruna česká) </w:t>
      </w:r>
      <w:r w:rsidRPr="0076109A">
        <w:rPr>
          <w:rFonts w:ascii="Times New Roman" w:hAnsi="Times New Roman"/>
          <w:color w:val="auto"/>
          <w:szCs w:val="24"/>
        </w:rPr>
        <w:t>na základě faktury – daňového dokladu vystavené Pronajímatelem Nájemci se splatností 30 (slovy: třicet) dní ode dne jejího vystavení.</w:t>
      </w:r>
    </w:p>
    <w:p w14:paraId="7D4D3B20" w14:textId="577792DC" w:rsidR="00263228" w:rsidRPr="0062368D" w:rsidRDefault="00263228" w:rsidP="00560627">
      <w:pPr>
        <w:pStyle w:val="Zkladntext2"/>
        <w:numPr>
          <w:ilvl w:val="0"/>
          <w:numId w:val="49"/>
        </w:numPr>
        <w:spacing w:after="120" w:line="252" w:lineRule="auto"/>
        <w:ind w:left="425" w:hanging="425"/>
        <w:rPr>
          <w:rFonts w:ascii="Times New Roman" w:hAnsi="Times New Roman"/>
          <w:color w:val="auto"/>
          <w:szCs w:val="24"/>
        </w:rPr>
      </w:pPr>
      <w:r w:rsidRPr="0076109A">
        <w:rPr>
          <w:rFonts w:ascii="Times New Roman" w:hAnsi="Times New Roman"/>
          <w:color w:val="auto"/>
          <w:szCs w:val="24"/>
        </w:rPr>
        <w:t>Právní vztahy Pronajímatele a Nájemce týkající se Úprav se budou</w:t>
      </w:r>
      <w:r w:rsidRPr="0062368D">
        <w:rPr>
          <w:rFonts w:ascii="Times New Roman" w:hAnsi="Times New Roman"/>
          <w:color w:val="auto"/>
          <w:szCs w:val="24"/>
        </w:rPr>
        <w:t xml:space="preserve"> přiměřeně řídit příslušnými ustanoveními </w:t>
      </w:r>
      <w:r w:rsidR="00301577" w:rsidRPr="0062368D">
        <w:rPr>
          <w:rFonts w:ascii="Times New Roman" w:hAnsi="Times New Roman"/>
          <w:color w:val="auto"/>
          <w:szCs w:val="24"/>
        </w:rPr>
        <w:t xml:space="preserve">článku VII. Smlouvy a </w:t>
      </w:r>
      <w:r w:rsidRPr="0062368D">
        <w:rPr>
          <w:rFonts w:ascii="Times New Roman" w:hAnsi="Times New Roman"/>
          <w:color w:val="auto"/>
          <w:szCs w:val="24"/>
        </w:rPr>
        <w:t>dodatku č. 1 ke Smlouvě ze dne 12. srpna 2019, a to ustanoveními článku II., odst. 7., článku V., odst. 3. a článku VI. dodatku č. 1 ke Smlouvě</w:t>
      </w:r>
      <w:r w:rsidR="00301577" w:rsidRPr="0062368D">
        <w:rPr>
          <w:rFonts w:ascii="Times New Roman" w:hAnsi="Times New Roman"/>
          <w:color w:val="auto"/>
          <w:szCs w:val="24"/>
        </w:rPr>
        <w:t>, to vše s tím, že</w:t>
      </w:r>
      <w:r w:rsidR="00FD2C5A" w:rsidRPr="0062368D">
        <w:rPr>
          <w:rFonts w:ascii="Times New Roman" w:hAnsi="Times New Roman"/>
          <w:color w:val="auto"/>
          <w:szCs w:val="24"/>
        </w:rPr>
        <w:t xml:space="preserve"> </w:t>
      </w:r>
      <w:r w:rsidR="00301577" w:rsidRPr="0062368D">
        <w:rPr>
          <w:rFonts w:ascii="Times New Roman" w:hAnsi="Times New Roman"/>
          <w:color w:val="auto"/>
          <w:szCs w:val="24"/>
        </w:rPr>
        <w:t>pokud Pronajímatel Nájemci oznámí, aby byly provedené Úpravy u Dalších prostor Nájemcem při skončení nájmu podle Smlouvy ponechány, tak Nájemce provedené Úpravy u Dalších prostor ponechá.</w:t>
      </w:r>
    </w:p>
    <w:p w14:paraId="55669CEA" w14:textId="4814F7CE" w:rsidR="00CD4198" w:rsidRPr="0062368D" w:rsidRDefault="00CD4198" w:rsidP="00560627">
      <w:pPr>
        <w:pStyle w:val="Zkladntext2"/>
        <w:numPr>
          <w:ilvl w:val="0"/>
          <w:numId w:val="49"/>
        </w:numPr>
        <w:spacing w:after="120" w:line="252" w:lineRule="auto"/>
        <w:ind w:left="425" w:hanging="425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eastAsia="MS Mincho" w:hAnsi="Times New Roman"/>
          <w:color w:val="auto"/>
          <w:szCs w:val="24"/>
        </w:rPr>
        <w:t>Pronajímatel se zavazuje k tomu, že Další prostory po provedení Úprav předá Nájemci k užívání jako součást Předmětu nájmu do Dne změny a Nájemce se zavazuje k tomu, že od Pronajímatele Další prostory po provedení Úprav v této lhůtě převezme.</w:t>
      </w:r>
      <w:r w:rsidR="00A9328F" w:rsidRPr="0062368D">
        <w:rPr>
          <w:rFonts w:ascii="Times New Roman" w:eastAsia="MS Mincho" w:hAnsi="Times New Roman"/>
          <w:color w:val="auto"/>
          <w:szCs w:val="24"/>
        </w:rPr>
        <w:t xml:space="preserve"> </w:t>
      </w:r>
      <w:r w:rsidR="0062368D" w:rsidRPr="0062368D">
        <w:rPr>
          <w:rFonts w:ascii="Times New Roman" w:eastAsia="MS Mincho" w:hAnsi="Times New Roman"/>
          <w:color w:val="auto"/>
          <w:szCs w:val="24"/>
        </w:rPr>
        <w:t xml:space="preserve">O předání Dalších prostor ze strany Pronajímatele a o jejich převzetí Nájemcem bude mezi Pronajímatelem, na straně předávající, a Nájemcem, na straně přebírající, sepsán a podepsán písemný protokol. </w:t>
      </w:r>
      <w:r w:rsidR="0062368D" w:rsidRPr="0062368D">
        <w:rPr>
          <w:rFonts w:ascii="Times New Roman" w:hAnsi="Times New Roman"/>
          <w:color w:val="auto"/>
          <w:szCs w:val="24"/>
        </w:rPr>
        <w:t xml:space="preserve">Nájemce prohlašuje, že se pečlivě seznámil s aktuálním stavem </w:t>
      </w:r>
      <w:r w:rsidR="0062368D" w:rsidRPr="0062368D">
        <w:rPr>
          <w:rFonts w:ascii="Times New Roman" w:eastAsia="MS Mincho" w:hAnsi="Times New Roman"/>
          <w:color w:val="auto"/>
          <w:szCs w:val="24"/>
        </w:rPr>
        <w:t>Dalších prostor</w:t>
      </w:r>
      <w:r w:rsidR="0062368D" w:rsidRPr="0062368D">
        <w:rPr>
          <w:rFonts w:ascii="Times New Roman" w:hAnsi="Times New Roman"/>
          <w:color w:val="auto"/>
          <w:szCs w:val="24"/>
        </w:rPr>
        <w:t>, že Další prostory budou po provedení Úprav zcela způsobilé pro řádné užívání pro sjednaný účel nájmu a že mu není známa žádná skutečnost nebo okolnost, která by bránila užívání Dalších prostor pro sjednaný účel nájmu.</w:t>
      </w:r>
    </w:p>
    <w:p w14:paraId="2817B9EE" w14:textId="322AFE50" w:rsidR="00CD4198" w:rsidRDefault="00CD4198" w:rsidP="00560627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hAnsi="Times New Roman"/>
          <w:color w:val="auto"/>
          <w:szCs w:val="24"/>
        </w:rPr>
        <w:t xml:space="preserve">Lhůta pro dokončení Úprav a lhůta pro splnění povinností Pronajímatele předat Další prostory Nájemci podle ustanovení odstavce 5. tohoto článku </w:t>
      </w:r>
      <w:r w:rsidR="00A9328F" w:rsidRPr="0062368D">
        <w:rPr>
          <w:rFonts w:ascii="Times New Roman" w:hAnsi="Times New Roman"/>
          <w:color w:val="auto"/>
          <w:szCs w:val="24"/>
        </w:rPr>
        <w:t>Dodatku</w:t>
      </w:r>
      <w:r w:rsidRPr="0062368D">
        <w:rPr>
          <w:rFonts w:ascii="Times New Roman" w:hAnsi="Times New Roman"/>
          <w:color w:val="auto"/>
          <w:szCs w:val="24"/>
        </w:rPr>
        <w:t xml:space="preserve"> se prodlužují o dobu </w:t>
      </w:r>
      <w:r w:rsidR="00945A94">
        <w:rPr>
          <w:rFonts w:ascii="Times New Roman" w:hAnsi="Times New Roman"/>
          <w:color w:val="auto"/>
          <w:szCs w:val="24"/>
        </w:rPr>
        <w:t xml:space="preserve">případného </w:t>
      </w:r>
      <w:r w:rsidRPr="0062368D">
        <w:rPr>
          <w:rFonts w:ascii="Times New Roman" w:hAnsi="Times New Roman"/>
          <w:color w:val="auto"/>
          <w:szCs w:val="24"/>
        </w:rPr>
        <w:t>prodlení Nájemce s předáním Projektu Úprav Pronajímateli podle ustanovení odstavce 2. tohoto článku Dodatku a/nebo se splněním jakékoli jiné povinnosti Nájemce podle ustanovení odstavce 2. tohoto článku Dodatku.</w:t>
      </w:r>
    </w:p>
    <w:p w14:paraId="18BA3BD1" w14:textId="369CBE36" w:rsidR="00CD4198" w:rsidRPr="0097550D" w:rsidRDefault="00CD4198" w:rsidP="0097550D">
      <w:pPr>
        <w:pStyle w:val="Zkladntext2"/>
        <w:numPr>
          <w:ilvl w:val="0"/>
          <w:numId w:val="49"/>
        </w:numPr>
        <w:tabs>
          <w:tab w:val="clear" w:pos="720"/>
          <w:tab w:val="num" w:pos="426"/>
        </w:tabs>
        <w:spacing w:after="120"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97550D">
        <w:rPr>
          <w:rFonts w:ascii="Times New Roman" w:eastAsia="MS Mincho" w:hAnsi="Times New Roman"/>
          <w:color w:val="auto"/>
          <w:szCs w:val="24"/>
        </w:rPr>
        <w:t xml:space="preserve">Nájemce zajistí zcela na své náklady a nebezpečí </w:t>
      </w:r>
      <w:r w:rsidR="00061782" w:rsidRPr="0097550D">
        <w:rPr>
          <w:rFonts w:ascii="Times New Roman" w:eastAsia="MS Mincho" w:hAnsi="Times New Roman"/>
          <w:color w:val="auto"/>
          <w:szCs w:val="24"/>
        </w:rPr>
        <w:t>umístění</w:t>
      </w:r>
      <w:r w:rsidRPr="0097550D">
        <w:rPr>
          <w:rFonts w:ascii="Times New Roman" w:eastAsia="MS Mincho" w:hAnsi="Times New Roman"/>
          <w:color w:val="auto"/>
          <w:szCs w:val="24"/>
        </w:rPr>
        <w:t xml:space="preserve"> veškerých movitých věcí</w:t>
      </w:r>
      <w:r w:rsidR="0062368D" w:rsidRPr="0097550D">
        <w:rPr>
          <w:rFonts w:ascii="Times New Roman" w:eastAsia="MS Mincho" w:hAnsi="Times New Roman"/>
          <w:color w:val="auto"/>
          <w:szCs w:val="24"/>
        </w:rPr>
        <w:t xml:space="preserve"> Nájemce, tj. zejména nábytku, </w:t>
      </w:r>
      <w:r w:rsidRPr="0097550D">
        <w:rPr>
          <w:rFonts w:ascii="Times New Roman" w:eastAsia="MS Mincho" w:hAnsi="Times New Roman"/>
          <w:color w:val="auto"/>
          <w:szCs w:val="24"/>
        </w:rPr>
        <w:t>kancelářské techniky</w:t>
      </w:r>
      <w:r w:rsidR="0062368D" w:rsidRPr="0097550D">
        <w:rPr>
          <w:rFonts w:ascii="Times New Roman" w:eastAsia="MS Mincho" w:hAnsi="Times New Roman"/>
          <w:color w:val="auto"/>
          <w:szCs w:val="24"/>
        </w:rPr>
        <w:t xml:space="preserve"> a dalších zařízení Nájemce</w:t>
      </w:r>
      <w:r w:rsidRPr="0097550D">
        <w:rPr>
          <w:rFonts w:ascii="Times New Roman" w:eastAsia="MS Mincho" w:hAnsi="Times New Roman"/>
          <w:color w:val="auto"/>
          <w:szCs w:val="24"/>
        </w:rPr>
        <w:t xml:space="preserve">, do </w:t>
      </w:r>
      <w:r w:rsidR="00A9328F" w:rsidRPr="0097550D">
        <w:rPr>
          <w:rFonts w:ascii="Times New Roman" w:eastAsia="MS Mincho" w:hAnsi="Times New Roman"/>
          <w:color w:val="auto"/>
          <w:szCs w:val="24"/>
        </w:rPr>
        <w:t>Dalších p</w:t>
      </w:r>
      <w:r w:rsidRPr="0097550D">
        <w:rPr>
          <w:rFonts w:ascii="Times New Roman" w:eastAsia="MS Mincho" w:hAnsi="Times New Roman"/>
          <w:color w:val="auto"/>
          <w:szCs w:val="24"/>
        </w:rPr>
        <w:t xml:space="preserve">rostor, a též </w:t>
      </w:r>
      <w:r w:rsidRPr="0097550D">
        <w:rPr>
          <w:rFonts w:ascii="Times New Roman" w:eastAsia="MS Mincho" w:hAnsi="Times New Roman"/>
          <w:color w:val="auto"/>
          <w:szCs w:val="24"/>
        </w:rPr>
        <w:lastRenderedPageBreak/>
        <w:t xml:space="preserve">veškeré související změny týkající se uvedení kancelářské techniky </w:t>
      </w:r>
      <w:r w:rsidR="0062368D" w:rsidRPr="0097550D">
        <w:rPr>
          <w:rFonts w:ascii="Times New Roman" w:eastAsia="MS Mincho" w:hAnsi="Times New Roman"/>
          <w:color w:val="auto"/>
          <w:szCs w:val="24"/>
        </w:rPr>
        <w:t xml:space="preserve">a dalších zařízení </w:t>
      </w:r>
      <w:r w:rsidRPr="0097550D">
        <w:rPr>
          <w:rFonts w:ascii="Times New Roman" w:eastAsia="MS Mincho" w:hAnsi="Times New Roman"/>
          <w:color w:val="auto"/>
          <w:szCs w:val="24"/>
        </w:rPr>
        <w:t>Nájemce v</w:t>
      </w:r>
      <w:r w:rsidR="00A9328F" w:rsidRPr="0097550D">
        <w:rPr>
          <w:rFonts w:ascii="Times New Roman" w:eastAsia="MS Mincho" w:hAnsi="Times New Roman"/>
          <w:color w:val="auto"/>
          <w:szCs w:val="24"/>
        </w:rPr>
        <w:t> Dalších p</w:t>
      </w:r>
      <w:r w:rsidRPr="0097550D">
        <w:rPr>
          <w:rFonts w:ascii="Times New Roman" w:eastAsia="MS Mincho" w:hAnsi="Times New Roman"/>
          <w:color w:val="auto"/>
          <w:szCs w:val="24"/>
        </w:rPr>
        <w:t>rostorách do provozu.</w:t>
      </w:r>
    </w:p>
    <w:p w14:paraId="7357F99F" w14:textId="77777777" w:rsidR="00A6482A" w:rsidRPr="0062368D" w:rsidRDefault="00A6482A" w:rsidP="00560627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4EF0E6DE" w14:textId="3EAE6BA0" w:rsidR="00F56023" w:rsidRPr="0062368D" w:rsidRDefault="00F56023" w:rsidP="00560627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2368D">
        <w:rPr>
          <w:rFonts w:ascii="Times New Roman" w:hAnsi="Times New Roman" w:cs="Times New Roman"/>
          <w:b/>
          <w:sz w:val="24"/>
          <w:szCs w:val="24"/>
        </w:rPr>
        <w:t>Článek I</w:t>
      </w:r>
      <w:r w:rsidR="00263228" w:rsidRPr="0062368D">
        <w:rPr>
          <w:rFonts w:ascii="Times New Roman" w:hAnsi="Times New Roman" w:cs="Times New Roman"/>
          <w:b/>
          <w:sz w:val="24"/>
          <w:szCs w:val="24"/>
        </w:rPr>
        <w:t>V</w:t>
      </w:r>
      <w:r w:rsidRPr="0062368D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0AD5A5E6" w14:textId="77777777" w:rsidR="00F56023" w:rsidRPr="0062368D" w:rsidRDefault="00F56023" w:rsidP="00560627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62368D">
        <w:rPr>
          <w:rFonts w:ascii="Times New Roman" w:eastAsia="MS Mincho" w:hAnsi="Times New Roman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62368D" w:rsidRDefault="00F56023" w:rsidP="00560627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rPr>
          <w:szCs w:val="24"/>
        </w:rPr>
      </w:pPr>
      <w:r w:rsidRPr="0062368D">
        <w:rPr>
          <w:szCs w:val="24"/>
        </w:rPr>
        <w:t>Všechna zbývající ustanovení Smlouvy, která jsou tímto Dodatkem nedotčena, jsou i nadále platná a účinná a zůstávají pro obě smluvní strany v plném rozsahu závazná.</w:t>
      </w:r>
    </w:p>
    <w:p w14:paraId="51FFDDA4" w14:textId="77777777" w:rsidR="00F56023" w:rsidRPr="0062368D" w:rsidRDefault="00F56023" w:rsidP="00560627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62368D">
        <w:rPr>
          <w:szCs w:val="24"/>
        </w:rPr>
        <w:t>Pojmy a slovní spojení používané v tomto Dodatku, pokud z tohoto Dodatku nevyplývá něco jiného, mají smysl a jsou vykládány tak, jako pojmy a slovní spojení obsažené ve Smlouvě.</w:t>
      </w:r>
    </w:p>
    <w:p w14:paraId="5FE6B032" w14:textId="77777777" w:rsidR="00F56023" w:rsidRPr="0062368D" w:rsidRDefault="00F56023" w:rsidP="00560627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52" w:lineRule="auto"/>
        <w:ind w:left="426" w:hanging="426"/>
        <w:rPr>
          <w:szCs w:val="24"/>
        </w:rPr>
      </w:pPr>
      <w:r w:rsidRPr="0062368D">
        <w:rPr>
          <w:bCs/>
          <w:iCs/>
          <w:szCs w:val="24"/>
        </w:rPr>
        <w:t>Pokud se jakékoliv ustanovení tohoto Dodatku stane nebo bude určeno jako neplatné nebo nevynutitelné, pak taková neplatnost nebo nevynutitelnost neovlivní platnost nebo vynutitelnost zbylých ustanovení tohoto Dodatku. V takovém případě se účastníci tohoto Dodatku dohodli,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34F0ACF1" w:rsidR="00F56023" w:rsidRPr="0062368D" w:rsidRDefault="00F56023" w:rsidP="00560627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62368D">
        <w:rPr>
          <w:szCs w:val="24"/>
        </w:rPr>
        <w:t>Tento Dodatek nabývá platnosti dnem jeho podpisu oběma smluvními stranami, resp. osobami oprávněnými smluvní strany zastupovat</w:t>
      </w:r>
      <w:r w:rsidR="008F65DC" w:rsidRPr="0062368D">
        <w:rPr>
          <w:szCs w:val="24"/>
        </w:rPr>
        <w:t xml:space="preserve"> a účinnosti dnem uveřejním Dodatku v registru smluv </w:t>
      </w:r>
      <w:r w:rsidR="008F65DC" w:rsidRPr="0062368D">
        <w:t xml:space="preserve">podle zákona č. 340/2015 Sb., o zvláštních podmínkách účinnosti některých smluv, uveřejňováním těchto smluv a registru smluv (zákon o registru smluv), </w:t>
      </w:r>
      <w:r w:rsidR="008F65DC" w:rsidRPr="0062368D">
        <w:rPr>
          <w:szCs w:val="24"/>
        </w:rPr>
        <w:t>ve znění pozdějších předpisů</w:t>
      </w:r>
      <w:r w:rsidRPr="0062368D">
        <w:rPr>
          <w:szCs w:val="24"/>
        </w:rPr>
        <w:t xml:space="preserve">. </w:t>
      </w:r>
    </w:p>
    <w:p w14:paraId="66A770F5" w14:textId="77777777" w:rsidR="00F56023" w:rsidRPr="0062368D" w:rsidRDefault="00F56023" w:rsidP="00560627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62368D">
        <w:rPr>
          <w:szCs w:val="24"/>
        </w:rPr>
        <w:t>Tento Dodatek je sepsán a podepsán ve 2 (slovy: dvou) vyhotoveních s platností originálu, 1 (slovy: jedno) vyhotovení obdrží Pronajímatel a 1 (slovy: jedno) vyhotovení obdrží Nájemce.</w:t>
      </w:r>
    </w:p>
    <w:p w14:paraId="40A562DC" w14:textId="77777777" w:rsidR="00F56023" w:rsidRPr="0062368D" w:rsidRDefault="00F56023" w:rsidP="00560627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spacing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62368D">
        <w:rPr>
          <w:rFonts w:ascii="Times New Roman" w:hAnsi="Times New Roman"/>
          <w:color w:val="auto"/>
          <w:szCs w:val="24"/>
        </w:rPr>
        <w:t>Obě smluvní strany prohlašují, že si tento Dodatek před jeho podpisem řádně a pečlivě přečetly, že byl uzavřen podle jejich pravé a svobodné vůle, určitě, vážně a srozumitelně, nikoli v tísni ani za nápadně nevýhodných podmínek. Na důkaz toho připojují smluvní strany, resp. osobami oprávněnými smluvní strany zastupovat pod vlastní text Dodatku své vlastnoruční podpisy.</w:t>
      </w:r>
    </w:p>
    <w:p w14:paraId="2F92B0CA" w14:textId="77777777" w:rsidR="00945A94" w:rsidRDefault="00945A94" w:rsidP="00BC19FB">
      <w:pPr>
        <w:pStyle w:val="Odstavecseseznamem"/>
        <w:spacing w:after="120" w:line="252" w:lineRule="auto"/>
        <w:ind w:left="1572"/>
        <w:jc w:val="both"/>
        <w:rPr>
          <w:b/>
          <w:szCs w:val="24"/>
        </w:rPr>
      </w:pPr>
    </w:p>
    <w:p w14:paraId="34989A05" w14:textId="00C8B9F6" w:rsidR="00945A94" w:rsidRPr="00BC19FB" w:rsidRDefault="00945A94" w:rsidP="00BC19FB">
      <w:pPr>
        <w:pStyle w:val="Odstavecseseznamem"/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b/>
          <w:szCs w:val="24"/>
        </w:rPr>
      </w:pPr>
      <w:r w:rsidRPr="00BC19FB">
        <w:rPr>
          <w:b/>
          <w:szCs w:val="24"/>
        </w:rPr>
        <w:t>Nedílnou součástí této Smlouvy jsou i Přílohy:</w:t>
      </w:r>
    </w:p>
    <w:p w14:paraId="5D59824A" w14:textId="582BE2C3" w:rsidR="00945A94" w:rsidRPr="00945A94" w:rsidRDefault="00945A94" w:rsidP="00BC19FB">
      <w:pPr>
        <w:pStyle w:val="Odstavecseseznamem"/>
        <w:spacing w:line="252" w:lineRule="auto"/>
        <w:ind w:left="1572"/>
        <w:jc w:val="both"/>
        <w:rPr>
          <w:szCs w:val="24"/>
        </w:rPr>
      </w:pPr>
      <w:r>
        <w:rPr>
          <w:rStyle w:val="preformatted"/>
          <w:b/>
        </w:rPr>
        <w:t xml:space="preserve">Příloha </w:t>
      </w:r>
      <w:r w:rsidRPr="00945A94">
        <w:rPr>
          <w:rStyle w:val="preformatted"/>
          <w:b/>
        </w:rPr>
        <w:t>č. 1</w:t>
      </w:r>
      <w:r w:rsidRPr="0062368D">
        <w:rPr>
          <w:rStyle w:val="preformatted"/>
        </w:rPr>
        <w:tab/>
        <w:t>P</w:t>
      </w:r>
      <w:r w:rsidRPr="00945A94">
        <w:rPr>
          <w:szCs w:val="24"/>
        </w:rPr>
        <w:t>ůdorysný plán podlaží Budovy s vyznačením Dalších prostor</w:t>
      </w:r>
    </w:p>
    <w:p w14:paraId="4DE82DDE" w14:textId="183B89E9" w:rsidR="00945A94" w:rsidRPr="0062368D" w:rsidRDefault="00945A94" w:rsidP="00BC19FB">
      <w:pPr>
        <w:pStyle w:val="Odstavecseseznamem"/>
        <w:spacing w:line="252" w:lineRule="auto"/>
        <w:ind w:left="1572"/>
        <w:jc w:val="both"/>
      </w:pPr>
      <w:r>
        <w:rPr>
          <w:b/>
          <w:szCs w:val="24"/>
        </w:rPr>
        <w:t xml:space="preserve">Příloha </w:t>
      </w:r>
      <w:r w:rsidRPr="00945A94">
        <w:rPr>
          <w:b/>
          <w:szCs w:val="24"/>
        </w:rPr>
        <w:t>č. 2</w:t>
      </w:r>
      <w:r w:rsidRPr="00945A94">
        <w:rPr>
          <w:szCs w:val="24"/>
        </w:rPr>
        <w:t xml:space="preserve"> </w:t>
      </w:r>
      <w:r w:rsidRPr="00945A94">
        <w:rPr>
          <w:szCs w:val="24"/>
        </w:rPr>
        <w:tab/>
        <w:t>Specifikace Úprav</w:t>
      </w:r>
    </w:p>
    <w:p w14:paraId="435FDC88" w14:textId="77777777" w:rsidR="0097550D" w:rsidRPr="0062368D" w:rsidRDefault="0097550D" w:rsidP="00560627">
      <w:pPr>
        <w:pStyle w:val="Zkladntext"/>
        <w:spacing w:line="252" w:lineRule="auto"/>
        <w:rPr>
          <w:szCs w:val="24"/>
        </w:rPr>
      </w:pPr>
    </w:p>
    <w:p w14:paraId="0E6867FE" w14:textId="77777777" w:rsidR="00945A94" w:rsidRDefault="00945A94" w:rsidP="00560627">
      <w:pPr>
        <w:spacing w:line="252" w:lineRule="auto"/>
        <w:jc w:val="both"/>
        <w:rPr>
          <w:szCs w:val="24"/>
        </w:rPr>
      </w:pPr>
    </w:p>
    <w:p w14:paraId="6921CA90" w14:textId="54B71333" w:rsidR="004D7C96" w:rsidRPr="0062368D" w:rsidRDefault="004D7C96" w:rsidP="00560627">
      <w:pPr>
        <w:spacing w:line="252" w:lineRule="auto"/>
        <w:jc w:val="both"/>
        <w:rPr>
          <w:b/>
          <w:szCs w:val="24"/>
        </w:rPr>
      </w:pPr>
      <w:r w:rsidRPr="0062368D">
        <w:rPr>
          <w:szCs w:val="24"/>
        </w:rPr>
        <w:t>V Praze dne ________________</w:t>
      </w:r>
    </w:p>
    <w:p w14:paraId="5064EB33" w14:textId="77777777" w:rsidR="004D7C96" w:rsidRPr="0062368D" w:rsidRDefault="004D7C96" w:rsidP="00560627">
      <w:pPr>
        <w:spacing w:line="252" w:lineRule="auto"/>
        <w:jc w:val="both"/>
        <w:rPr>
          <w:b/>
          <w:szCs w:val="24"/>
        </w:rPr>
      </w:pPr>
    </w:p>
    <w:p w14:paraId="4A9FEB27" w14:textId="3A5C3C58" w:rsidR="005D417A" w:rsidRPr="0062368D" w:rsidRDefault="004D7C96" w:rsidP="00560627">
      <w:pPr>
        <w:spacing w:line="252" w:lineRule="auto"/>
        <w:ind w:left="2127"/>
        <w:jc w:val="both"/>
        <w:rPr>
          <w:szCs w:val="24"/>
        </w:rPr>
      </w:pPr>
      <w:r w:rsidRPr="0062368D">
        <w:rPr>
          <w:szCs w:val="24"/>
        </w:rPr>
        <w:t>Pronajímatel:</w:t>
      </w:r>
      <w:r w:rsidR="00F603A4" w:rsidRPr="0062368D">
        <w:rPr>
          <w:szCs w:val="24"/>
        </w:rPr>
        <w:tab/>
      </w:r>
      <w:r w:rsidR="00F603A4" w:rsidRPr="0062368D">
        <w:rPr>
          <w:szCs w:val="24"/>
        </w:rPr>
        <w:tab/>
      </w:r>
    </w:p>
    <w:p w14:paraId="740D1905" w14:textId="102760F6" w:rsidR="004D7C96" w:rsidRPr="0062368D" w:rsidRDefault="00301577" w:rsidP="00560627">
      <w:pPr>
        <w:spacing w:line="252" w:lineRule="auto"/>
        <w:ind w:left="2127"/>
        <w:jc w:val="both"/>
        <w:rPr>
          <w:szCs w:val="24"/>
        </w:rPr>
      </w:pPr>
      <w:r w:rsidRPr="0062368D">
        <w:rPr>
          <w:szCs w:val="24"/>
        </w:rPr>
        <w:tab/>
      </w:r>
      <w:r w:rsidRPr="0062368D">
        <w:rPr>
          <w:szCs w:val="24"/>
        </w:rPr>
        <w:tab/>
      </w:r>
      <w:r w:rsidRPr="0062368D">
        <w:rPr>
          <w:szCs w:val="24"/>
        </w:rPr>
        <w:tab/>
      </w:r>
      <w:r w:rsidR="004D7C96" w:rsidRPr="0062368D">
        <w:rPr>
          <w:szCs w:val="24"/>
        </w:rPr>
        <w:t>________________________</w:t>
      </w:r>
      <w:r w:rsidR="004D7C96" w:rsidRPr="0062368D">
        <w:rPr>
          <w:szCs w:val="24"/>
        </w:rPr>
        <w:tab/>
      </w:r>
    </w:p>
    <w:p w14:paraId="3585DD90" w14:textId="6FA69AA9" w:rsidR="004D7C96" w:rsidRPr="0062368D" w:rsidRDefault="004D7C96" w:rsidP="00560627">
      <w:pPr>
        <w:pStyle w:val="Zkladntext"/>
        <w:spacing w:line="252" w:lineRule="auto"/>
        <w:ind w:left="3545" w:firstLine="709"/>
        <w:rPr>
          <w:b/>
          <w:szCs w:val="24"/>
        </w:rPr>
      </w:pPr>
      <w:r w:rsidRPr="0062368D">
        <w:rPr>
          <w:rStyle w:val="preformatted"/>
          <w:b/>
          <w:szCs w:val="24"/>
        </w:rPr>
        <w:t>CIF A</w:t>
      </w:r>
      <w:r w:rsidR="00BF49B0" w:rsidRPr="0062368D">
        <w:rPr>
          <w:rStyle w:val="preformatted"/>
          <w:b/>
          <w:szCs w:val="24"/>
        </w:rPr>
        <w:t>lf</w:t>
      </w:r>
      <w:r w:rsidRPr="0062368D">
        <w:rPr>
          <w:rStyle w:val="preformatted"/>
          <w:b/>
          <w:szCs w:val="24"/>
        </w:rPr>
        <w:t>a</w:t>
      </w:r>
      <w:r w:rsidR="00BF49B0" w:rsidRPr="0062368D">
        <w:rPr>
          <w:rStyle w:val="preformatted"/>
          <w:b/>
          <w:szCs w:val="24"/>
        </w:rPr>
        <w:t xml:space="preserve"> </w:t>
      </w:r>
      <w:r w:rsidRPr="0062368D">
        <w:rPr>
          <w:rStyle w:val="preformatted"/>
          <w:b/>
          <w:szCs w:val="24"/>
        </w:rPr>
        <w:t>s.</w:t>
      </w:r>
      <w:r w:rsidR="00BF49B0" w:rsidRPr="0062368D">
        <w:rPr>
          <w:rStyle w:val="preformatted"/>
          <w:b/>
          <w:szCs w:val="24"/>
        </w:rPr>
        <w:t>r.o.</w:t>
      </w:r>
    </w:p>
    <w:p w14:paraId="6E3F2FEB" w14:textId="1F985606" w:rsidR="00301577" w:rsidRPr="0062368D" w:rsidRDefault="004D7C96" w:rsidP="00560627">
      <w:pPr>
        <w:spacing w:line="252" w:lineRule="auto"/>
        <w:ind w:left="3545" w:firstLine="709"/>
        <w:jc w:val="both"/>
        <w:rPr>
          <w:rStyle w:val="nowrap"/>
        </w:rPr>
      </w:pPr>
      <w:r w:rsidRPr="0062368D">
        <w:rPr>
          <w:rStyle w:val="nowrap"/>
        </w:rPr>
        <w:t xml:space="preserve">Ing. Radek Váša, </w:t>
      </w:r>
      <w:r w:rsidR="00EB7473" w:rsidRPr="0062368D">
        <w:rPr>
          <w:rStyle w:val="nowrap"/>
        </w:rPr>
        <w:t>j</w:t>
      </w:r>
      <w:r w:rsidRPr="0062368D">
        <w:rPr>
          <w:rStyle w:val="nowrap"/>
        </w:rPr>
        <w:t>e</w:t>
      </w:r>
      <w:r w:rsidR="00EB7473" w:rsidRPr="0062368D">
        <w:rPr>
          <w:rStyle w:val="nowrap"/>
        </w:rPr>
        <w:t>d</w:t>
      </w:r>
      <w:r w:rsidRPr="0062368D">
        <w:rPr>
          <w:rStyle w:val="nowrap"/>
        </w:rPr>
        <w:t>na</w:t>
      </w:r>
      <w:r w:rsidR="00EB7473" w:rsidRPr="0062368D">
        <w:rPr>
          <w:rStyle w:val="nowrap"/>
        </w:rPr>
        <w:t>t</w:t>
      </w:r>
      <w:r w:rsidRPr="0062368D">
        <w:rPr>
          <w:rStyle w:val="nowrap"/>
        </w:rPr>
        <w:t>e</w:t>
      </w:r>
      <w:r w:rsidR="00EB7473" w:rsidRPr="0062368D">
        <w:rPr>
          <w:rStyle w:val="nowrap"/>
        </w:rPr>
        <w:t>l</w:t>
      </w:r>
    </w:p>
    <w:p w14:paraId="6C104488" w14:textId="77777777" w:rsidR="00743BB2" w:rsidRDefault="00743BB2" w:rsidP="00560627">
      <w:pPr>
        <w:spacing w:line="252" w:lineRule="auto"/>
        <w:jc w:val="both"/>
        <w:rPr>
          <w:szCs w:val="24"/>
        </w:rPr>
      </w:pPr>
    </w:p>
    <w:p w14:paraId="05427957" w14:textId="77777777" w:rsidR="004D7C96" w:rsidRPr="0062368D" w:rsidRDefault="004D7C96" w:rsidP="00560627">
      <w:pPr>
        <w:spacing w:line="252" w:lineRule="auto"/>
        <w:jc w:val="both"/>
        <w:rPr>
          <w:b/>
          <w:szCs w:val="24"/>
        </w:rPr>
      </w:pPr>
      <w:r w:rsidRPr="0062368D">
        <w:rPr>
          <w:szCs w:val="24"/>
        </w:rPr>
        <w:t>V Praze dne ________________</w:t>
      </w:r>
    </w:p>
    <w:p w14:paraId="6235BA3F" w14:textId="77777777" w:rsidR="004D7C96" w:rsidRPr="0062368D" w:rsidRDefault="004D7C96" w:rsidP="00560627">
      <w:pPr>
        <w:spacing w:line="252" w:lineRule="auto"/>
        <w:jc w:val="both"/>
        <w:rPr>
          <w:b/>
          <w:szCs w:val="24"/>
        </w:rPr>
      </w:pPr>
    </w:p>
    <w:p w14:paraId="616764AE" w14:textId="77777777" w:rsidR="00301577" w:rsidRDefault="004D7C96" w:rsidP="00560627">
      <w:pPr>
        <w:spacing w:line="252" w:lineRule="auto"/>
        <w:ind w:left="2127"/>
        <w:jc w:val="both"/>
        <w:rPr>
          <w:szCs w:val="24"/>
        </w:rPr>
      </w:pPr>
      <w:r w:rsidRPr="0062368D">
        <w:rPr>
          <w:szCs w:val="24"/>
        </w:rPr>
        <w:t>Nájemce:</w:t>
      </w:r>
    </w:p>
    <w:p w14:paraId="0049E045" w14:textId="77777777" w:rsidR="0097550D" w:rsidRPr="0062368D" w:rsidRDefault="0097550D" w:rsidP="00560627">
      <w:pPr>
        <w:spacing w:line="252" w:lineRule="auto"/>
        <w:ind w:left="2127"/>
        <w:jc w:val="both"/>
        <w:rPr>
          <w:szCs w:val="24"/>
        </w:rPr>
      </w:pPr>
    </w:p>
    <w:p w14:paraId="511CF672" w14:textId="51BF74D0" w:rsidR="004D7C96" w:rsidRPr="0062368D" w:rsidRDefault="00301577" w:rsidP="00560627">
      <w:pPr>
        <w:spacing w:line="252" w:lineRule="auto"/>
        <w:ind w:left="2127"/>
        <w:jc w:val="both"/>
        <w:rPr>
          <w:szCs w:val="24"/>
        </w:rPr>
      </w:pPr>
      <w:r w:rsidRPr="0062368D">
        <w:rPr>
          <w:szCs w:val="24"/>
        </w:rPr>
        <w:tab/>
      </w:r>
      <w:r w:rsidR="004D7C96" w:rsidRPr="0062368D">
        <w:rPr>
          <w:szCs w:val="24"/>
        </w:rPr>
        <w:tab/>
      </w:r>
      <w:r w:rsidR="00F603A4" w:rsidRPr="0062368D">
        <w:rPr>
          <w:szCs w:val="24"/>
        </w:rPr>
        <w:tab/>
      </w:r>
      <w:r w:rsidR="004D7C96" w:rsidRPr="0062368D">
        <w:rPr>
          <w:szCs w:val="24"/>
        </w:rPr>
        <w:t>________________________</w:t>
      </w:r>
    </w:p>
    <w:p w14:paraId="5F27441C" w14:textId="77777777" w:rsidR="002C33E1" w:rsidRPr="0062368D" w:rsidRDefault="005D417A" w:rsidP="00560627">
      <w:pPr>
        <w:spacing w:line="252" w:lineRule="auto"/>
        <w:ind w:left="3545" w:firstLine="709"/>
        <w:jc w:val="both"/>
        <w:rPr>
          <w:rStyle w:val="preformatted"/>
          <w:b/>
          <w:szCs w:val="24"/>
        </w:rPr>
      </w:pPr>
      <w:r w:rsidRPr="0062368D">
        <w:rPr>
          <w:rStyle w:val="preformatted"/>
          <w:rFonts w:eastAsiaTheme="majorEastAsia"/>
          <w:b/>
          <w:szCs w:val="24"/>
        </w:rPr>
        <w:t>Technologie hlavního města Prahy, a.s</w:t>
      </w:r>
      <w:r w:rsidR="002C33E1" w:rsidRPr="0062368D">
        <w:rPr>
          <w:rStyle w:val="preformatted"/>
          <w:b/>
          <w:szCs w:val="24"/>
        </w:rPr>
        <w:t xml:space="preserve">. </w:t>
      </w:r>
    </w:p>
    <w:p w14:paraId="006CD811" w14:textId="42CE9F65" w:rsidR="002C33E1" w:rsidRPr="0076109A" w:rsidRDefault="00A10136" w:rsidP="00560627">
      <w:pPr>
        <w:spacing w:line="252" w:lineRule="auto"/>
        <w:ind w:left="4254"/>
        <w:jc w:val="both"/>
        <w:rPr>
          <w:szCs w:val="24"/>
        </w:rPr>
      </w:pPr>
      <w:r w:rsidRPr="0076109A">
        <w:rPr>
          <w:szCs w:val="24"/>
        </w:rPr>
        <w:t xml:space="preserve">Tomáš Jílek, předseda </w:t>
      </w:r>
      <w:r w:rsidR="005D417A" w:rsidRPr="0076109A">
        <w:rPr>
          <w:szCs w:val="24"/>
        </w:rPr>
        <w:t>představenstva</w:t>
      </w:r>
    </w:p>
    <w:p w14:paraId="6AA9BB3F" w14:textId="0295CBB9" w:rsidR="00BF77BA" w:rsidRPr="0062368D" w:rsidRDefault="00A10136" w:rsidP="00560627">
      <w:pPr>
        <w:spacing w:line="252" w:lineRule="auto"/>
        <w:ind w:left="3545" w:firstLine="709"/>
        <w:jc w:val="both"/>
        <w:rPr>
          <w:szCs w:val="24"/>
        </w:rPr>
      </w:pPr>
      <w:r w:rsidRPr="0076109A">
        <w:rPr>
          <w:szCs w:val="24"/>
        </w:rPr>
        <w:lastRenderedPageBreak/>
        <w:t xml:space="preserve">Tomáš Novotný, místopředseda </w:t>
      </w:r>
      <w:r w:rsidR="005D417A" w:rsidRPr="0076109A">
        <w:rPr>
          <w:szCs w:val="24"/>
        </w:rPr>
        <w:t>představenstva</w:t>
      </w:r>
    </w:p>
    <w:p w14:paraId="4722177B" w14:textId="77777777" w:rsidR="00743BB2" w:rsidRPr="0062368D" w:rsidRDefault="00743BB2" w:rsidP="00560627">
      <w:pPr>
        <w:spacing w:line="252" w:lineRule="auto"/>
        <w:jc w:val="both"/>
        <w:rPr>
          <w:szCs w:val="24"/>
        </w:rPr>
      </w:pPr>
    </w:p>
    <w:p w14:paraId="573E7FD3" w14:textId="44501D41" w:rsidR="007E00F8" w:rsidRPr="0062368D" w:rsidRDefault="007E00F8" w:rsidP="00560627">
      <w:pPr>
        <w:spacing w:line="252" w:lineRule="auto"/>
        <w:ind w:left="567" w:hanging="567"/>
        <w:jc w:val="both"/>
      </w:pPr>
    </w:p>
    <w:sectPr w:rsidR="007E00F8" w:rsidRPr="0062368D" w:rsidSect="004E57F6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D76E" w14:textId="77777777" w:rsidR="00F56C7A" w:rsidRDefault="00F56C7A">
      <w:r>
        <w:separator/>
      </w:r>
    </w:p>
  </w:endnote>
  <w:endnote w:type="continuationSeparator" w:id="0">
    <w:p w14:paraId="3AC3D9E3" w14:textId="77777777" w:rsidR="00F56C7A" w:rsidRDefault="00F5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77777777" w:rsidR="004D7C96" w:rsidRPr="00165F89" w:rsidRDefault="004D7C96" w:rsidP="00423FC7">
    <w:pPr>
      <w:pStyle w:val="Zpat"/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</w:p>
  <w:p w14:paraId="41ECF2AA" w14:textId="2930784E" w:rsidR="004D7C96" w:rsidRPr="00482ADC" w:rsidRDefault="002D2AA6" w:rsidP="00A47EB6">
    <w:pPr>
      <w:pStyle w:val="Zpat"/>
      <w:tabs>
        <w:tab w:val="clear" w:pos="9072"/>
        <w:tab w:val="right" w:pos="9498"/>
      </w:tabs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>Praha 7, Holešovice, Dělnická ul., čp. 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>–</w:t>
    </w:r>
    <w:r w:rsidR="00061782">
      <w:rPr>
        <w:sz w:val="16"/>
        <w:szCs w:val="16"/>
      </w:rPr>
      <w:t>2. a</w:t>
    </w:r>
    <w:r w:rsidR="005D417A">
      <w:rPr>
        <w:sz w:val="16"/>
        <w:szCs w:val="16"/>
      </w:rPr>
      <w:t xml:space="preserve"> </w:t>
    </w:r>
    <w:r w:rsidR="00B37BBD">
      <w:rPr>
        <w:sz w:val="16"/>
        <w:szCs w:val="16"/>
      </w:rPr>
      <w:t>3</w:t>
    </w:r>
    <w:r w:rsidR="007D029C">
      <w:rPr>
        <w:sz w:val="16"/>
        <w:szCs w:val="16"/>
      </w:rPr>
      <w:t xml:space="preserve">. </w:t>
    </w:r>
    <w:r w:rsidR="005D417A">
      <w:rPr>
        <w:sz w:val="16"/>
        <w:szCs w:val="16"/>
      </w:rPr>
      <w:t xml:space="preserve">patro </w:t>
    </w:r>
    <w:r w:rsidR="004D7C96">
      <w:rPr>
        <w:sz w:val="16"/>
        <w:szCs w:val="16"/>
      </w:rPr>
      <w:t xml:space="preserve">– dodatek č. </w:t>
    </w:r>
    <w:r w:rsidR="00065A60">
      <w:rPr>
        <w:sz w:val="16"/>
        <w:szCs w:val="16"/>
      </w:rPr>
      <w:t>1</w:t>
    </w:r>
    <w:r w:rsidR="00A47EB6">
      <w:rPr>
        <w:sz w:val="16"/>
        <w:szCs w:val="16"/>
      </w:rPr>
      <w:t>5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F02FA6">
      <w:rPr>
        <w:rStyle w:val="slostrnky"/>
        <w:noProof/>
        <w:sz w:val="16"/>
        <w:szCs w:val="16"/>
      </w:rPr>
      <w:t>2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F02FA6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5D349508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>CIF A</w:t>
    </w:r>
    <w:r w:rsidR="00BF49B0">
      <w:rPr>
        <w:sz w:val="16"/>
        <w:szCs w:val="16"/>
      </w:rPr>
      <w:t>lf</w:t>
    </w:r>
    <w:r w:rsidRPr="005D417A">
      <w:rPr>
        <w:sz w:val="16"/>
        <w:szCs w:val="16"/>
      </w:rPr>
      <w:t>a</w:t>
    </w:r>
    <w:r w:rsidR="00BF49B0">
      <w:rPr>
        <w:sz w:val="16"/>
        <w:szCs w:val="16"/>
      </w:rPr>
      <w:t xml:space="preserve"> </w:t>
    </w:r>
    <w:r w:rsidRPr="005D417A">
      <w:rPr>
        <w:sz w:val="16"/>
        <w:szCs w:val="16"/>
      </w:rPr>
      <w:t>s.</w:t>
    </w:r>
    <w:r w:rsidR="00BF49B0">
      <w:rPr>
        <w:sz w:val="16"/>
        <w:szCs w:val="16"/>
      </w:rPr>
      <w:t>r.o.</w:t>
    </w:r>
    <w:r w:rsidRPr="005D417A">
      <w:rPr>
        <w:sz w:val="16"/>
        <w:szCs w:val="16"/>
      </w:rPr>
      <w:t xml:space="preserve">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8D59" w14:textId="77777777" w:rsidR="00F56C7A" w:rsidRDefault="00F56C7A">
      <w:r>
        <w:separator/>
      </w:r>
    </w:p>
  </w:footnote>
  <w:footnote w:type="continuationSeparator" w:id="0">
    <w:p w14:paraId="53B4F12B" w14:textId="77777777" w:rsidR="00F56C7A" w:rsidRDefault="00F56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8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6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0" w15:restartNumberingAfterBreak="0">
    <w:nsid w:val="7B1F255A"/>
    <w:multiLevelType w:val="hybridMultilevel"/>
    <w:tmpl w:val="EC26FC9A"/>
    <w:lvl w:ilvl="0" w:tplc="BF6638A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18804913">
    <w:abstractNumId w:val="21"/>
  </w:num>
  <w:num w:numId="2" w16cid:durableId="85998390">
    <w:abstractNumId w:val="34"/>
  </w:num>
  <w:num w:numId="3" w16cid:durableId="1770158694">
    <w:abstractNumId w:val="40"/>
  </w:num>
  <w:num w:numId="4" w16cid:durableId="1069309670">
    <w:abstractNumId w:val="46"/>
  </w:num>
  <w:num w:numId="5" w16cid:durableId="848448095">
    <w:abstractNumId w:val="38"/>
  </w:num>
  <w:num w:numId="6" w16cid:durableId="1759521823">
    <w:abstractNumId w:val="45"/>
  </w:num>
  <w:num w:numId="7" w16cid:durableId="145435966">
    <w:abstractNumId w:val="25"/>
  </w:num>
  <w:num w:numId="8" w16cid:durableId="1890998124">
    <w:abstractNumId w:val="14"/>
  </w:num>
  <w:num w:numId="9" w16cid:durableId="341397995">
    <w:abstractNumId w:val="27"/>
  </w:num>
  <w:num w:numId="10" w16cid:durableId="89589200">
    <w:abstractNumId w:val="43"/>
  </w:num>
  <w:num w:numId="11" w16cid:durableId="1866287109">
    <w:abstractNumId w:val="4"/>
  </w:num>
  <w:num w:numId="12" w16cid:durableId="1554386826">
    <w:abstractNumId w:val="12"/>
  </w:num>
  <w:num w:numId="13" w16cid:durableId="2078162018">
    <w:abstractNumId w:val="16"/>
  </w:num>
  <w:num w:numId="14" w16cid:durableId="630599045">
    <w:abstractNumId w:val="17"/>
  </w:num>
  <w:num w:numId="15" w16cid:durableId="2094739754">
    <w:abstractNumId w:val="1"/>
  </w:num>
  <w:num w:numId="16" w16cid:durableId="715394844">
    <w:abstractNumId w:val="39"/>
  </w:num>
  <w:num w:numId="17" w16cid:durableId="40791237">
    <w:abstractNumId w:val="13"/>
  </w:num>
  <w:num w:numId="18" w16cid:durableId="1524518678">
    <w:abstractNumId w:val="31"/>
  </w:num>
  <w:num w:numId="19" w16cid:durableId="192501582">
    <w:abstractNumId w:val="10"/>
  </w:num>
  <w:num w:numId="20" w16cid:durableId="1600480684">
    <w:abstractNumId w:val="44"/>
  </w:num>
  <w:num w:numId="21" w16cid:durableId="965352108">
    <w:abstractNumId w:val="20"/>
  </w:num>
  <w:num w:numId="22" w16cid:durableId="1968076276">
    <w:abstractNumId w:val="11"/>
  </w:num>
  <w:num w:numId="23" w16cid:durableId="2080324236">
    <w:abstractNumId w:val="26"/>
  </w:num>
  <w:num w:numId="24" w16cid:durableId="1634558920">
    <w:abstractNumId w:val="7"/>
  </w:num>
  <w:num w:numId="25" w16cid:durableId="962032381">
    <w:abstractNumId w:val="0"/>
  </w:num>
  <w:num w:numId="26" w16cid:durableId="1934195830">
    <w:abstractNumId w:val="2"/>
  </w:num>
  <w:num w:numId="27" w16cid:durableId="275718881">
    <w:abstractNumId w:val="37"/>
  </w:num>
  <w:num w:numId="28" w16cid:durableId="508906855">
    <w:abstractNumId w:val="47"/>
  </w:num>
  <w:num w:numId="29" w16cid:durableId="1773895356">
    <w:abstractNumId w:val="48"/>
  </w:num>
  <w:num w:numId="30" w16cid:durableId="1064447511">
    <w:abstractNumId w:val="32"/>
  </w:num>
  <w:num w:numId="31" w16cid:durableId="697510452">
    <w:abstractNumId w:val="8"/>
  </w:num>
  <w:num w:numId="32" w16cid:durableId="241918915">
    <w:abstractNumId w:val="29"/>
  </w:num>
  <w:num w:numId="33" w16cid:durableId="1591039846">
    <w:abstractNumId w:val="30"/>
  </w:num>
  <w:num w:numId="34" w16cid:durableId="2081826381">
    <w:abstractNumId w:val="15"/>
  </w:num>
  <w:num w:numId="35" w16cid:durableId="268706695">
    <w:abstractNumId w:val="5"/>
  </w:num>
  <w:num w:numId="36" w16cid:durableId="421099982">
    <w:abstractNumId w:val="35"/>
  </w:num>
  <w:num w:numId="37" w16cid:durableId="551499165">
    <w:abstractNumId w:val="23"/>
  </w:num>
  <w:num w:numId="38" w16cid:durableId="700789589">
    <w:abstractNumId w:val="24"/>
  </w:num>
  <w:num w:numId="39" w16cid:durableId="406920310">
    <w:abstractNumId w:val="49"/>
  </w:num>
  <w:num w:numId="40" w16cid:durableId="148986102">
    <w:abstractNumId w:val="6"/>
  </w:num>
  <w:num w:numId="41" w16cid:durableId="1142622035">
    <w:abstractNumId w:val="18"/>
  </w:num>
  <w:num w:numId="42" w16cid:durableId="569730160">
    <w:abstractNumId w:val="36"/>
  </w:num>
  <w:num w:numId="43" w16cid:durableId="830679301">
    <w:abstractNumId w:val="41"/>
  </w:num>
  <w:num w:numId="44" w16cid:durableId="1123572289">
    <w:abstractNumId w:val="33"/>
  </w:num>
  <w:num w:numId="45" w16cid:durableId="1651328885">
    <w:abstractNumId w:val="22"/>
  </w:num>
  <w:num w:numId="46" w16cid:durableId="108597550">
    <w:abstractNumId w:val="3"/>
  </w:num>
  <w:num w:numId="47" w16cid:durableId="1415282397">
    <w:abstractNumId w:val="42"/>
  </w:num>
  <w:num w:numId="48" w16cid:durableId="1604219265">
    <w:abstractNumId w:val="9"/>
  </w:num>
  <w:num w:numId="49" w16cid:durableId="871725874">
    <w:abstractNumId w:val="19"/>
  </w:num>
  <w:num w:numId="50" w16cid:durableId="1799105282">
    <w:abstractNumId w:val="28"/>
  </w:num>
  <w:num w:numId="51" w16cid:durableId="1231965057">
    <w:abstractNumId w:val="19"/>
  </w:num>
  <w:num w:numId="52" w16cid:durableId="92941287">
    <w:abstractNumId w:val="50"/>
  </w:num>
  <w:num w:numId="53" w16cid:durableId="9056087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FE"/>
    <w:rsid w:val="000120DF"/>
    <w:rsid w:val="0001416F"/>
    <w:rsid w:val="00020CD7"/>
    <w:rsid w:val="00025DE9"/>
    <w:rsid w:val="00034B75"/>
    <w:rsid w:val="00037BDD"/>
    <w:rsid w:val="00041007"/>
    <w:rsid w:val="0004374E"/>
    <w:rsid w:val="00045089"/>
    <w:rsid w:val="00046A20"/>
    <w:rsid w:val="00050851"/>
    <w:rsid w:val="00054279"/>
    <w:rsid w:val="0006104A"/>
    <w:rsid w:val="00061782"/>
    <w:rsid w:val="00064043"/>
    <w:rsid w:val="0006531B"/>
    <w:rsid w:val="00065A60"/>
    <w:rsid w:val="000710A2"/>
    <w:rsid w:val="00071CC0"/>
    <w:rsid w:val="00071CF7"/>
    <w:rsid w:val="00075E62"/>
    <w:rsid w:val="000766E8"/>
    <w:rsid w:val="000940CE"/>
    <w:rsid w:val="00095017"/>
    <w:rsid w:val="0009572E"/>
    <w:rsid w:val="00097EDF"/>
    <w:rsid w:val="000A19C8"/>
    <w:rsid w:val="000A2244"/>
    <w:rsid w:val="000A3CF8"/>
    <w:rsid w:val="000B1C03"/>
    <w:rsid w:val="000C77EF"/>
    <w:rsid w:val="000D62B3"/>
    <w:rsid w:val="000E3A8C"/>
    <w:rsid w:val="000F01F9"/>
    <w:rsid w:val="000F2888"/>
    <w:rsid w:val="000F2E30"/>
    <w:rsid w:val="000F63D2"/>
    <w:rsid w:val="000F766D"/>
    <w:rsid w:val="00103FA7"/>
    <w:rsid w:val="001057FE"/>
    <w:rsid w:val="00107EA8"/>
    <w:rsid w:val="001136BB"/>
    <w:rsid w:val="001137A9"/>
    <w:rsid w:val="001141F3"/>
    <w:rsid w:val="0012371B"/>
    <w:rsid w:val="00133D40"/>
    <w:rsid w:val="001400A1"/>
    <w:rsid w:val="00140634"/>
    <w:rsid w:val="00142E2F"/>
    <w:rsid w:val="00145DC0"/>
    <w:rsid w:val="00150188"/>
    <w:rsid w:val="001615F2"/>
    <w:rsid w:val="00165F89"/>
    <w:rsid w:val="0017776E"/>
    <w:rsid w:val="001848F5"/>
    <w:rsid w:val="00186528"/>
    <w:rsid w:val="001917AD"/>
    <w:rsid w:val="00191815"/>
    <w:rsid w:val="001A0F61"/>
    <w:rsid w:val="001A51D2"/>
    <w:rsid w:val="001A52DC"/>
    <w:rsid w:val="001B4AA4"/>
    <w:rsid w:val="001C00F4"/>
    <w:rsid w:val="001C64FF"/>
    <w:rsid w:val="001C6717"/>
    <w:rsid w:val="001D4E11"/>
    <w:rsid w:val="001E31D0"/>
    <w:rsid w:val="001E33D3"/>
    <w:rsid w:val="001E7920"/>
    <w:rsid w:val="001E7D81"/>
    <w:rsid w:val="001F1231"/>
    <w:rsid w:val="001F17EF"/>
    <w:rsid w:val="001F6B7B"/>
    <w:rsid w:val="0020018E"/>
    <w:rsid w:val="002021A8"/>
    <w:rsid w:val="002032F2"/>
    <w:rsid w:val="0020622B"/>
    <w:rsid w:val="002074CF"/>
    <w:rsid w:val="002076E6"/>
    <w:rsid w:val="002140F4"/>
    <w:rsid w:val="0021565A"/>
    <w:rsid w:val="002173D3"/>
    <w:rsid w:val="00217748"/>
    <w:rsid w:val="00222406"/>
    <w:rsid w:val="00225A11"/>
    <w:rsid w:val="00245C4D"/>
    <w:rsid w:val="00247F96"/>
    <w:rsid w:val="0025233A"/>
    <w:rsid w:val="002528A8"/>
    <w:rsid w:val="0026093C"/>
    <w:rsid w:val="0026279A"/>
    <w:rsid w:val="00263228"/>
    <w:rsid w:val="00272A26"/>
    <w:rsid w:val="00272B98"/>
    <w:rsid w:val="00284CB2"/>
    <w:rsid w:val="00290026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1847"/>
    <w:rsid w:val="002E236C"/>
    <w:rsid w:val="002E2EFA"/>
    <w:rsid w:val="002E4E10"/>
    <w:rsid w:val="002E6BD8"/>
    <w:rsid w:val="002F31CC"/>
    <w:rsid w:val="002F3222"/>
    <w:rsid w:val="002F3EDE"/>
    <w:rsid w:val="002F4E71"/>
    <w:rsid w:val="0030068D"/>
    <w:rsid w:val="00301577"/>
    <w:rsid w:val="00311DDF"/>
    <w:rsid w:val="003135BD"/>
    <w:rsid w:val="00320429"/>
    <w:rsid w:val="003233C4"/>
    <w:rsid w:val="00326EF4"/>
    <w:rsid w:val="00332D04"/>
    <w:rsid w:val="00340922"/>
    <w:rsid w:val="00342DC8"/>
    <w:rsid w:val="00345D78"/>
    <w:rsid w:val="00345F88"/>
    <w:rsid w:val="0034762D"/>
    <w:rsid w:val="00353E64"/>
    <w:rsid w:val="003614B7"/>
    <w:rsid w:val="00362AB1"/>
    <w:rsid w:val="003643A7"/>
    <w:rsid w:val="00377BD5"/>
    <w:rsid w:val="0038052C"/>
    <w:rsid w:val="00380962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5BCC"/>
    <w:rsid w:val="003C667D"/>
    <w:rsid w:val="003C681C"/>
    <w:rsid w:val="003E06A2"/>
    <w:rsid w:val="003E5D12"/>
    <w:rsid w:val="003F17F3"/>
    <w:rsid w:val="003F30DF"/>
    <w:rsid w:val="003F5698"/>
    <w:rsid w:val="004026F8"/>
    <w:rsid w:val="00402B2A"/>
    <w:rsid w:val="00405842"/>
    <w:rsid w:val="00407137"/>
    <w:rsid w:val="00407AD5"/>
    <w:rsid w:val="00407CB0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051"/>
    <w:rsid w:val="004644EB"/>
    <w:rsid w:val="00471A7D"/>
    <w:rsid w:val="00474BC4"/>
    <w:rsid w:val="00477448"/>
    <w:rsid w:val="00482ADC"/>
    <w:rsid w:val="0048659E"/>
    <w:rsid w:val="00486783"/>
    <w:rsid w:val="00492F7D"/>
    <w:rsid w:val="004B1E41"/>
    <w:rsid w:val="004B3A64"/>
    <w:rsid w:val="004C61B1"/>
    <w:rsid w:val="004D7C96"/>
    <w:rsid w:val="004E57F6"/>
    <w:rsid w:val="004F508B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0627"/>
    <w:rsid w:val="00562775"/>
    <w:rsid w:val="005644AE"/>
    <w:rsid w:val="00565946"/>
    <w:rsid w:val="00566621"/>
    <w:rsid w:val="00571CEE"/>
    <w:rsid w:val="005726B5"/>
    <w:rsid w:val="00581440"/>
    <w:rsid w:val="00583257"/>
    <w:rsid w:val="005832AA"/>
    <w:rsid w:val="00584998"/>
    <w:rsid w:val="0058651E"/>
    <w:rsid w:val="00587F96"/>
    <w:rsid w:val="005908FD"/>
    <w:rsid w:val="00595017"/>
    <w:rsid w:val="00596B4B"/>
    <w:rsid w:val="005A18D2"/>
    <w:rsid w:val="005A43A2"/>
    <w:rsid w:val="005B0760"/>
    <w:rsid w:val="005B3FBB"/>
    <w:rsid w:val="005B5B69"/>
    <w:rsid w:val="005B66D4"/>
    <w:rsid w:val="005C441B"/>
    <w:rsid w:val="005C5B6A"/>
    <w:rsid w:val="005D06BA"/>
    <w:rsid w:val="005D3B45"/>
    <w:rsid w:val="005D417A"/>
    <w:rsid w:val="005E0F43"/>
    <w:rsid w:val="005E7A86"/>
    <w:rsid w:val="00600435"/>
    <w:rsid w:val="00605AD7"/>
    <w:rsid w:val="00612B3B"/>
    <w:rsid w:val="00612E92"/>
    <w:rsid w:val="00617659"/>
    <w:rsid w:val="0062368D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A65"/>
    <w:rsid w:val="0064418B"/>
    <w:rsid w:val="00645A42"/>
    <w:rsid w:val="00647316"/>
    <w:rsid w:val="00651198"/>
    <w:rsid w:val="006555E7"/>
    <w:rsid w:val="00656C7E"/>
    <w:rsid w:val="00656E06"/>
    <w:rsid w:val="006607FE"/>
    <w:rsid w:val="00662239"/>
    <w:rsid w:val="0066459C"/>
    <w:rsid w:val="00667D2C"/>
    <w:rsid w:val="0068226E"/>
    <w:rsid w:val="00685D80"/>
    <w:rsid w:val="006863B2"/>
    <w:rsid w:val="00687235"/>
    <w:rsid w:val="00694C20"/>
    <w:rsid w:val="006A67F9"/>
    <w:rsid w:val="006B24B7"/>
    <w:rsid w:val="006B4619"/>
    <w:rsid w:val="006B7409"/>
    <w:rsid w:val="006C2402"/>
    <w:rsid w:val="006C5088"/>
    <w:rsid w:val="006C5389"/>
    <w:rsid w:val="006C56A7"/>
    <w:rsid w:val="006C6A80"/>
    <w:rsid w:val="006D1B9E"/>
    <w:rsid w:val="006D31C1"/>
    <w:rsid w:val="006E0B2A"/>
    <w:rsid w:val="006E2097"/>
    <w:rsid w:val="006E7ADD"/>
    <w:rsid w:val="006F5D75"/>
    <w:rsid w:val="0070236E"/>
    <w:rsid w:val="0070654C"/>
    <w:rsid w:val="00707279"/>
    <w:rsid w:val="00711F32"/>
    <w:rsid w:val="00714F62"/>
    <w:rsid w:val="00717B3B"/>
    <w:rsid w:val="0072080E"/>
    <w:rsid w:val="00721C4C"/>
    <w:rsid w:val="00726F3E"/>
    <w:rsid w:val="00730244"/>
    <w:rsid w:val="00730F29"/>
    <w:rsid w:val="00732A84"/>
    <w:rsid w:val="007414F3"/>
    <w:rsid w:val="00743475"/>
    <w:rsid w:val="00743BB2"/>
    <w:rsid w:val="007451FA"/>
    <w:rsid w:val="00746A75"/>
    <w:rsid w:val="00752955"/>
    <w:rsid w:val="0075705D"/>
    <w:rsid w:val="0076109A"/>
    <w:rsid w:val="00761816"/>
    <w:rsid w:val="007621ED"/>
    <w:rsid w:val="00771039"/>
    <w:rsid w:val="00773A68"/>
    <w:rsid w:val="00783269"/>
    <w:rsid w:val="007839CE"/>
    <w:rsid w:val="00783D89"/>
    <w:rsid w:val="00784DD7"/>
    <w:rsid w:val="00786F27"/>
    <w:rsid w:val="007908AD"/>
    <w:rsid w:val="0079309C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E00F8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17F4B"/>
    <w:rsid w:val="0083293C"/>
    <w:rsid w:val="00835702"/>
    <w:rsid w:val="0083678B"/>
    <w:rsid w:val="00837A66"/>
    <w:rsid w:val="008413A5"/>
    <w:rsid w:val="00842CB1"/>
    <w:rsid w:val="00850658"/>
    <w:rsid w:val="008535D5"/>
    <w:rsid w:val="00861C4D"/>
    <w:rsid w:val="00862ACB"/>
    <w:rsid w:val="00864ECE"/>
    <w:rsid w:val="00867AF0"/>
    <w:rsid w:val="00880427"/>
    <w:rsid w:val="00883011"/>
    <w:rsid w:val="00885DB2"/>
    <w:rsid w:val="00887E7D"/>
    <w:rsid w:val="008952D8"/>
    <w:rsid w:val="008A00B9"/>
    <w:rsid w:val="008A218A"/>
    <w:rsid w:val="008A7F79"/>
    <w:rsid w:val="008B0CB4"/>
    <w:rsid w:val="008B7238"/>
    <w:rsid w:val="008B7A56"/>
    <w:rsid w:val="008D1184"/>
    <w:rsid w:val="008D2C59"/>
    <w:rsid w:val="008D66C7"/>
    <w:rsid w:val="008E41C7"/>
    <w:rsid w:val="008E4B6E"/>
    <w:rsid w:val="008E6025"/>
    <w:rsid w:val="008E6397"/>
    <w:rsid w:val="008E6398"/>
    <w:rsid w:val="008E79CC"/>
    <w:rsid w:val="008E7F65"/>
    <w:rsid w:val="008F106F"/>
    <w:rsid w:val="008F5338"/>
    <w:rsid w:val="008F65DC"/>
    <w:rsid w:val="008F7E0B"/>
    <w:rsid w:val="00901B1E"/>
    <w:rsid w:val="00901B2D"/>
    <w:rsid w:val="00903ABE"/>
    <w:rsid w:val="009056BF"/>
    <w:rsid w:val="00905A9D"/>
    <w:rsid w:val="00917CA1"/>
    <w:rsid w:val="00931FBB"/>
    <w:rsid w:val="0093717C"/>
    <w:rsid w:val="00941645"/>
    <w:rsid w:val="00941D8C"/>
    <w:rsid w:val="00945A94"/>
    <w:rsid w:val="00945BE5"/>
    <w:rsid w:val="00947E99"/>
    <w:rsid w:val="00957AE1"/>
    <w:rsid w:val="009603FD"/>
    <w:rsid w:val="00960B10"/>
    <w:rsid w:val="00962315"/>
    <w:rsid w:val="009639DA"/>
    <w:rsid w:val="009655F3"/>
    <w:rsid w:val="00973D8F"/>
    <w:rsid w:val="0097550D"/>
    <w:rsid w:val="00985015"/>
    <w:rsid w:val="00987123"/>
    <w:rsid w:val="00991922"/>
    <w:rsid w:val="00993EEF"/>
    <w:rsid w:val="00994671"/>
    <w:rsid w:val="009A2DDC"/>
    <w:rsid w:val="009A70C2"/>
    <w:rsid w:val="009B692B"/>
    <w:rsid w:val="009C2AF1"/>
    <w:rsid w:val="009D24E8"/>
    <w:rsid w:val="009D39CC"/>
    <w:rsid w:val="009E03C0"/>
    <w:rsid w:val="009E10A5"/>
    <w:rsid w:val="009E6180"/>
    <w:rsid w:val="009F5726"/>
    <w:rsid w:val="00A02082"/>
    <w:rsid w:val="00A04501"/>
    <w:rsid w:val="00A1008D"/>
    <w:rsid w:val="00A10136"/>
    <w:rsid w:val="00A11D96"/>
    <w:rsid w:val="00A13A8F"/>
    <w:rsid w:val="00A171C7"/>
    <w:rsid w:val="00A22C0E"/>
    <w:rsid w:val="00A233F5"/>
    <w:rsid w:val="00A24D77"/>
    <w:rsid w:val="00A2578D"/>
    <w:rsid w:val="00A267A4"/>
    <w:rsid w:val="00A27143"/>
    <w:rsid w:val="00A31800"/>
    <w:rsid w:val="00A328B0"/>
    <w:rsid w:val="00A4444E"/>
    <w:rsid w:val="00A46042"/>
    <w:rsid w:val="00A47EB6"/>
    <w:rsid w:val="00A50FC8"/>
    <w:rsid w:val="00A627F7"/>
    <w:rsid w:val="00A63EA1"/>
    <w:rsid w:val="00A640B2"/>
    <w:rsid w:val="00A6482A"/>
    <w:rsid w:val="00A65282"/>
    <w:rsid w:val="00A6560E"/>
    <w:rsid w:val="00A732F9"/>
    <w:rsid w:val="00A74CEF"/>
    <w:rsid w:val="00A81C2D"/>
    <w:rsid w:val="00A9328F"/>
    <w:rsid w:val="00AA1BFC"/>
    <w:rsid w:val="00AB4EDA"/>
    <w:rsid w:val="00AB5243"/>
    <w:rsid w:val="00AC2831"/>
    <w:rsid w:val="00AC4515"/>
    <w:rsid w:val="00AC6428"/>
    <w:rsid w:val="00AC7D82"/>
    <w:rsid w:val="00AD43EB"/>
    <w:rsid w:val="00AD6527"/>
    <w:rsid w:val="00AD6BD4"/>
    <w:rsid w:val="00AE0F31"/>
    <w:rsid w:val="00AE3CAF"/>
    <w:rsid w:val="00AE48FF"/>
    <w:rsid w:val="00AF4A5F"/>
    <w:rsid w:val="00AF6095"/>
    <w:rsid w:val="00B004EC"/>
    <w:rsid w:val="00B01166"/>
    <w:rsid w:val="00B1440B"/>
    <w:rsid w:val="00B162BF"/>
    <w:rsid w:val="00B16624"/>
    <w:rsid w:val="00B21465"/>
    <w:rsid w:val="00B23397"/>
    <w:rsid w:val="00B24566"/>
    <w:rsid w:val="00B25AF0"/>
    <w:rsid w:val="00B25F9D"/>
    <w:rsid w:val="00B3149B"/>
    <w:rsid w:val="00B3293B"/>
    <w:rsid w:val="00B34C80"/>
    <w:rsid w:val="00B37536"/>
    <w:rsid w:val="00B37BBD"/>
    <w:rsid w:val="00B4483A"/>
    <w:rsid w:val="00B47B2A"/>
    <w:rsid w:val="00B541E8"/>
    <w:rsid w:val="00B67B87"/>
    <w:rsid w:val="00B72F37"/>
    <w:rsid w:val="00B77417"/>
    <w:rsid w:val="00B84337"/>
    <w:rsid w:val="00B871A4"/>
    <w:rsid w:val="00B91BFF"/>
    <w:rsid w:val="00B9580C"/>
    <w:rsid w:val="00B9704A"/>
    <w:rsid w:val="00B971F1"/>
    <w:rsid w:val="00BA1620"/>
    <w:rsid w:val="00BA2F18"/>
    <w:rsid w:val="00BA7E25"/>
    <w:rsid w:val="00BB1044"/>
    <w:rsid w:val="00BB56DA"/>
    <w:rsid w:val="00BC19FB"/>
    <w:rsid w:val="00BC3E53"/>
    <w:rsid w:val="00BC4084"/>
    <w:rsid w:val="00BC74DB"/>
    <w:rsid w:val="00BD2CA9"/>
    <w:rsid w:val="00BD6F4C"/>
    <w:rsid w:val="00BE3F1D"/>
    <w:rsid w:val="00BE62AB"/>
    <w:rsid w:val="00BF18C5"/>
    <w:rsid w:val="00BF49B0"/>
    <w:rsid w:val="00BF77BA"/>
    <w:rsid w:val="00C002D2"/>
    <w:rsid w:val="00C003E8"/>
    <w:rsid w:val="00C067E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51935"/>
    <w:rsid w:val="00C51A88"/>
    <w:rsid w:val="00C60F9D"/>
    <w:rsid w:val="00C80E75"/>
    <w:rsid w:val="00C81040"/>
    <w:rsid w:val="00C83821"/>
    <w:rsid w:val="00C8695C"/>
    <w:rsid w:val="00C943D1"/>
    <w:rsid w:val="00C965BE"/>
    <w:rsid w:val="00CA085C"/>
    <w:rsid w:val="00CA62D5"/>
    <w:rsid w:val="00CB3E8E"/>
    <w:rsid w:val="00CB79C6"/>
    <w:rsid w:val="00CC73CE"/>
    <w:rsid w:val="00CC7ABF"/>
    <w:rsid w:val="00CD4198"/>
    <w:rsid w:val="00CD4D8D"/>
    <w:rsid w:val="00CE12F2"/>
    <w:rsid w:val="00CE1CDC"/>
    <w:rsid w:val="00CF1849"/>
    <w:rsid w:val="00CF21E5"/>
    <w:rsid w:val="00CF2D9E"/>
    <w:rsid w:val="00D138CC"/>
    <w:rsid w:val="00D162D4"/>
    <w:rsid w:val="00D23530"/>
    <w:rsid w:val="00D26B5A"/>
    <w:rsid w:val="00D33455"/>
    <w:rsid w:val="00D35763"/>
    <w:rsid w:val="00D527BB"/>
    <w:rsid w:val="00D679D9"/>
    <w:rsid w:val="00D74EE7"/>
    <w:rsid w:val="00D83A6B"/>
    <w:rsid w:val="00D9001B"/>
    <w:rsid w:val="00D95A82"/>
    <w:rsid w:val="00D9733C"/>
    <w:rsid w:val="00DA4CC5"/>
    <w:rsid w:val="00DA555C"/>
    <w:rsid w:val="00DB7B08"/>
    <w:rsid w:val="00DC0085"/>
    <w:rsid w:val="00DC68EE"/>
    <w:rsid w:val="00DD53F9"/>
    <w:rsid w:val="00DE5315"/>
    <w:rsid w:val="00DE557F"/>
    <w:rsid w:val="00DE5A30"/>
    <w:rsid w:val="00DF57F0"/>
    <w:rsid w:val="00DF72B9"/>
    <w:rsid w:val="00E044F5"/>
    <w:rsid w:val="00E11DD8"/>
    <w:rsid w:val="00E12586"/>
    <w:rsid w:val="00E15B05"/>
    <w:rsid w:val="00E31F02"/>
    <w:rsid w:val="00E321FD"/>
    <w:rsid w:val="00E34847"/>
    <w:rsid w:val="00E357AA"/>
    <w:rsid w:val="00E36916"/>
    <w:rsid w:val="00E36AF7"/>
    <w:rsid w:val="00E37AB0"/>
    <w:rsid w:val="00E407B8"/>
    <w:rsid w:val="00E42CAC"/>
    <w:rsid w:val="00E43046"/>
    <w:rsid w:val="00E47100"/>
    <w:rsid w:val="00E51995"/>
    <w:rsid w:val="00E57DBA"/>
    <w:rsid w:val="00E67EF3"/>
    <w:rsid w:val="00E70D90"/>
    <w:rsid w:val="00E81739"/>
    <w:rsid w:val="00E90C51"/>
    <w:rsid w:val="00E946DD"/>
    <w:rsid w:val="00E957C9"/>
    <w:rsid w:val="00EA6DDA"/>
    <w:rsid w:val="00EB13BC"/>
    <w:rsid w:val="00EB7473"/>
    <w:rsid w:val="00EC173E"/>
    <w:rsid w:val="00EC3413"/>
    <w:rsid w:val="00EC41EE"/>
    <w:rsid w:val="00ED2E39"/>
    <w:rsid w:val="00ED4682"/>
    <w:rsid w:val="00EE229B"/>
    <w:rsid w:val="00EF0586"/>
    <w:rsid w:val="00EF2F5F"/>
    <w:rsid w:val="00EF3443"/>
    <w:rsid w:val="00EF42F1"/>
    <w:rsid w:val="00EF5492"/>
    <w:rsid w:val="00EF5DCC"/>
    <w:rsid w:val="00F00795"/>
    <w:rsid w:val="00F01959"/>
    <w:rsid w:val="00F0245B"/>
    <w:rsid w:val="00F02FA6"/>
    <w:rsid w:val="00F03C00"/>
    <w:rsid w:val="00F03E7F"/>
    <w:rsid w:val="00F0449D"/>
    <w:rsid w:val="00F04B3F"/>
    <w:rsid w:val="00F21E41"/>
    <w:rsid w:val="00F26229"/>
    <w:rsid w:val="00F31B90"/>
    <w:rsid w:val="00F401A7"/>
    <w:rsid w:val="00F41DBD"/>
    <w:rsid w:val="00F42815"/>
    <w:rsid w:val="00F56023"/>
    <w:rsid w:val="00F56AF0"/>
    <w:rsid w:val="00F56C7A"/>
    <w:rsid w:val="00F603A4"/>
    <w:rsid w:val="00F60644"/>
    <w:rsid w:val="00F60770"/>
    <w:rsid w:val="00F6454C"/>
    <w:rsid w:val="00F672EC"/>
    <w:rsid w:val="00F73083"/>
    <w:rsid w:val="00F74078"/>
    <w:rsid w:val="00F83D63"/>
    <w:rsid w:val="00F86068"/>
    <w:rsid w:val="00F90FAF"/>
    <w:rsid w:val="00F9464E"/>
    <w:rsid w:val="00F95314"/>
    <w:rsid w:val="00FA0315"/>
    <w:rsid w:val="00FB68A0"/>
    <w:rsid w:val="00FC2231"/>
    <w:rsid w:val="00FC31C4"/>
    <w:rsid w:val="00FC40AD"/>
    <w:rsid w:val="00FD071F"/>
    <w:rsid w:val="00FD12B9"/>
    <w:rsid w:val="00FD2C5A"/>
    <w:rsid w:val="00FE09B6"/>
    <w:rsid w:val="00FE0AFD"/>
    <w:rsid w:val="00FE22E6"/>
    <w:rsid w:val="00FE4C19"/>
    <w:rsid w:val="00FE64B6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DE4B1CD4-856F-4A15-84D6-18BC1751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94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CEA1-2886-407E-AA7F-3ACE44C4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2156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2</cp:revision>
  <cp:lastPrinted>2024-09-04T13:46:00Z</cp:lastPrinted>
  <dcterms:created xsi:type="dcterms:W3CDTF">2024-09-30T13:55:00Z</dcterms:created>
  <dcterms:modified xsi:type="dcterms:W3CDTF">2024-09-30T13:55:00Z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2024-09-04T13:49:30Z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469580ba-fc4c-407e-a6b3-103a9ddd0cb6</vt:lpwstr>
  </property>
  <property fmtid="{D5CDD505-2E9C-101B-9397-08002B2CF9AE}" pid="8" name="MSIP_Label_53b2c928-728b-4698-a3fd-c5d03555aa71_ContentBits">
    <vt:lpwstr>0</vt:lpwstr>
  </property>
</Properties>
</file>