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16" w:rsidRDefault="00814616">
      <w:pPr>
        <w:pStyle w:val="Nzev"/>
      </w:pPr>
      <w:bookmarkStart w:id="0" w:name="_GoBack"/>
      <w:bookmarkEnd w:id="0"/>
      <w:r>
        <w:t>Pokyny pro nájemce, kteří</w:t>
      </w:r>
      <w:r w:rsidR="00B9444A">
        <w:t xml:space="preserve"> opouštějí a odevzdávají</w:t>
      </w:r>
      <w:r>
        <w:t xml:space="preserve"> (předávají) byt</w:t>
      </w:r>
    </w:p>
    <w:p w:rsidR="00814616" w:rsidRDefault="00814616">
      <w:pPr>
        <w:jc w:val="both"/>
        <w:rPr>
          <w:szCs w:val="20"/>
        </w:rPr>
      </w:pPr>
    </w:p>
    <w:p w:rsidR="00BB03F9" w:rsidRDefault="00B9444A" w:rsidP="00857D66">
      <w:pPr>
        <w:jc w:val="both"/>
        <w:rPr>
          <w:szCs w:val="20"/>
        </w:rPr>
      </w:pPr>
      <w:r>
        <w:rPr>
          <w:b/>
          <w:bCs/>
        </w:rPr>
        <w:t>P</w:t>
      </w:r>
      <w:r w:rsidR="00814616">
        <w:rPr>
          <w:b/>
          <w:bCs/>
        </w:rPr>
        <w:t>ísemnou výpověď, případně žádost o skončení nájmu bytu dohodou</w:t>
      </w:r>
      <w:r w:rsidR="00814616">
        <w:t xml:space="preserve"> </w:t>
      </w:r>
      <w:r>
        <w:t xml:space="preserve">musí nájemce podat </w:t>
      </w:r>
      <w:r w:rsidR="008C1927">
        <w:t>O</w:t>
      </w:r>
      <w:r w:rsidR="00814616">
        <w:t xml:space="preserve">dboru </w:t>
      </w:r>
      <w:r w:rsidR="008C1927">
        <w:t xml:space="preserve">bytovému </w:t>
      </w:r>
      <w:r w:rsidR="00814616">
        <w:t xml:space="preserve">Magistrátu města Plzně, Škroupova 5, Plzeň. </w:t>
      </w:r>
      <w:r>
        <w:t>Výpově</w:t>
      </w:r>
      <w:r w:rsidR="00560BE1">
        <w:t>d</w:t>
      </w:r>
      <w:r>
        <w:t>ní doba běží od prvního dne kalendářního měsíce následujícího poté, co výpověď došla druhé straně</w:t>
      </w:r>
      <w:r w:rsidR="00560BE1">
        <w:t>.</w:t>
      </w:r>
      <w:r w:rsidR="00814616">
        <w:t xml:space="preserve"> V případě žádosti o skončení nájmu dohodou musí nájemce uvést požadovaný datum skončení nájmu bytu, a to vždy tak, aby nájem skončil ke konci kalendářního měsíce. Žádost o skončení nájmu bytu dohodou musí být doručena minimálně s měsíčním předstihem před zánikem nájmu bytu. V případě, že nájem bytu byl sjednán na dobu určitou</w:t>
      </w:r>
      <w:r w:rsidR="00F54DB3">
        <w:t xml:space="preserve"> bez prolongace</w:t>
      </w:r>
      <w:r w:rsidR="00814616">
        <w:t>, skončí uplynutím této doby.</w:t>
      </w:r>
    </w:p>
    <w:p w:rsidR="00857D66" w:rsidRDefault="00857D66" w:rsidP="00857D66">
      <w:pPr>
        <w:jc w:val="both"/>
      </w:pPr>
    </w:p>
    <w:p w:rsidR="00BB03F9" w:rsidRPr="00BB03F9" w:rsidRDefault="00BB03F9" w:rsidP="00857D66">
      <w:pPr>
        <w:jc w:val="both"/>
        <w:rPr>
          <w:szCs w:val="20"/>
        </w:rPr>
      </w:pPr>
      <w:r>
        <w:t>V případě skončení nájmu bytu ze strany pronajímatele</w:t>
      </w:r>
      <w:r w:rsidR="00912512" w:rsidRPr="00912512">
        <w:t xml:space="preserve"> </w:t>
      </w:r>
      <w:r w:rsidR="00912512">
        <w:t>pro porušení povinností nájemcem, nebo uplynutím výpovědní doby</w:t>
      </w:r>
      <w:r>
        <w:t xml:space="preserve"> nájem skončí </w:t>
      </w:r>
      <w:r w:rsidR="00F03A1B">
        <w:t>uplynutím doby určité</w:t>
      </w:r>
      <w:r w:rsidR="00857D66">
        <w:t>.</w:t>
      </w:r>
      <w:r w:rsidR="00F03A1B">
        <w:t xml:space="preserve"> </w:t>
      </w:r>
      <w:r w:rsidR="00857D66">
        <w:t>N</w:t>
      </w:r>
      <w:r w:rsidR="00F03A1B">
        <w:t>ájemce je povinen odevzdat byt bez zbytečného odkladu.</w:t>
      </w:r>
    </w:p>
    <w:p w:rsidR="00814616" w:rsidRDefault="00814616">
      <w:pPr>
        <w:jc w:val="both"/>
        <w:rPr>
          <w:szCs w:val="20"/>
        </w:rPr>
      </w:pPr>
    </w:p>
    <w:p w:rsidR="00814616" w:rsidRDefault="00814616">
      <w:pPr>
        <w:jc w:val="both"/>
        <w:rPr>
          <w:szCs w:val="20"/>
        </w:rPr>
      </w:pPr>
      <w:r>
        <w:t>V</w:t>
      </w:r>
      <w:r w:rsidR="00B9444A">
        <w:t> den, kdy nájem končí</w:t>
      </w:r>
      <w:r w:rsidR="00D57793">
        <w:t>,</w:t>
      </w:r>
      <w:r>
        <w:t xml:space="preserve"> </w:t>
      </w:r>
      <w:r w:rsidR="00D57793">
        <w:t xml:space="preserve">je </w:t>
      </w:r>
      <w:r>
        <w:t xml:space="preserve">pak </w:t>
      </w:r>
      <w:r>
        <w:rPr>
          <w:b/>
          <w:bCs/>
        </w:rPr>
        <w:t>nájemce</w:t>
      </w:r>
      <w:r w:rsidR="00B9444A">
        <w:t xml:space="preserve"> </w:t>
      </w:r>
      <w:r>
        <w:t xml:space="preserve">povinen </w:t>
      </w:r>
      <w:r>
        <w:rPr>
          <w:b/>
          <w:bCs/>
        </w:rPr>
        <w:t>byt vyklidit</w:t>
      </w:r>
      <w:r>
        <w:t xml:space="preserve"> a </w:t>
      </w:r>
      <w:r>
        <w:rPr>
          <w:b/>
          <w:bCs/>
        </w:rPr>
        <w:t>připravit k </w:t>
      </w:r>
      <w:r w:rsidR="00B9444A">
        <w:rPr>
          <w:b/>
          <w:bCs/>
        </w:rPr>
        <w:t>odevzdání</w:t>
      </w:r>
      <w:r>
        <w:t xml:space="preserve"> </w:t>
      </w:r>
      <w:r w:rsidR="00B9444A">
        <w:t>pronajímateli, zastoupenému správcem</w:t>
      </w:r>
      <w:r>
        <w:t xml:space="preserve"> </w:t>
      </w:r>
      <w:r>
        <w:rPr>
          <w:b/>
          <w:bCs/>
        </w:rPr>
        <w:t>na místě. Termín předání</w:t>
      </w:r>
      <w:r>
        <w:t xml:space="preserve"> </w:t>
      </w:r>
      <w:r w:rsidR="005E1030">
        <w:t xml:space="preserve">musí nájemce </w:t>
      </w:r>
      <w:r>
        <w:t xml:space="preserve">dohodnout alespoň </w:t>
      </w:r>
      <w:r>
        <w:rPr>
          <w:b/>
          <w:bCs/>
        </w:rPr>
        <w:t>14 dní předem</w:t>
      </w:r>
      <w:r>
        <w:t xml:space="preserve"> s příslušným pracovníkem správce.</w:t>
      </w:r>
    </w:p>
    <w:p w:rsidR="00814616" w:rsidRDefault="00814616">
      <w:pPr>
        <w:jc w:val="both"/>
        <w:rPr>
          <w:szCs w:val="20"/>
        </w:rPr>
      </w:pPr>
    </w:p>
    <w:p w:rsidR="00814616" w:rsidRDefault="00814616" w:rsidP="00D57793">
      <w:pPr>
        <w:jc w:val="both"/>
        <w:rPr>
          <w:szCs w:val="20"/>
        </w:rPr>
      </w:pPr>
      <w:r>
        <w:t>Dále je nájemce povinen:</w:t>
      </w:r>
    </w:p>
    <w:p w:rsidR="00814616" w:rsidRDefault="00814616">
      <w:pPr>
        <w:jc w:val="both"/>
        <w:rPr>
          <w:szCs w:val="20"/>
        </w:rPr>
      </w:pPr>
    </w:p>
    <w:p w:rsidR="00B9444A" w:rsidRPr="00D57793" w:rsidRDefault="00B9444A" w:rsidP="00857D66">
      <w:pPr>
        <w:numPr>
          <w:ilvl w:val="0"/>
          <w:numId w:val="5"/>
        </w:numPr>
        <w:jc w:val="both"/>
        <w:rPr>
          <w:b/>
          <w:szCs w:val="20"/>
        </w:rPr>
      </w:pPr>
      <w:r w:rsidRPr="00D57793">
        <w:rPr>
          <w:b/>
          <w:szCs w:val="20"/>
        </w:rPr>
        <w:t>Odevzdat byt ve stavu, v jakém jej převzal.</w:t>
      </w:r>
    </w:p>
    <w:p w:rsidR="00B9444A" w:rsidRPr="00D57793" w:rsidRDefault="00B9444A">
      <w:pPr>
        <w:jc w:val="both"/>
        <w:rPr>
          <w:b/>
          <w:szCs w:val="20"/>
        </w:rPr>
      </w:pPr>
    </w:p>
    <w:p w:rsidR="00B9444A" w:rsidRPr="00D57793" w:rsidRDefault="00B9444A" w:rsidP="00857D66">
      <w:pPr>
        <w:numPr>
          <w:ilvl w:val="0"/>
          <w:numId w:val="5"/>
        </w:numPr>
        <w:jc w:val="both"/>
        <w:rPr>
          <w:b/>
          <w:szCs w:val="20"/>
        </w:rPr>
      </w:pPr>
      <w:r w:rsidRPr="00D57793">
        <w:rPr>
          <w:b/>
          <w:szCs w:val="20"/>
        </w:rPr>
        <w:t>Odstranit v bytě změny, které provedl se souhlasem pronajímatele</w:t>
      </w:r>
      <w:r w:rsidR="00A67019" w:rsidRPr="00D57793">
        <w:rPr>
          <w:b/>
          <w:szCs w:val="20"/>
        </w:rPr>
        <w:t xml:space="preserve">, pokud si strany ujednaly, že při skončení </w:t>
      </w:r>
      <w:r w:rsidR="00D57793">
        <w:rPr>
          <w:b/>
          <w:szCs w:val="20"/>
        </w:rPr>
        <w:t>n</w:t>
      </w:r>
      <w:r w:rsidR="00A67019" w:rsidRPr="00D57793">
        <w:rPr>
          <w:b/>
          <w:szCs w:val="20"/>
        </w:rPr>
        <w:t>ájmu nájemce uvede byt do původního stavu.</w:t>
      </w:r>
    </w:p>
    <w:p w:rsidR="00A67019" w:rsidRPr="00D57793" w:rsidRDefault="00A67019">
      <w:pPr>
        <w:jc w:val="both"/>
        <w:rPr>
          <w:b/>
          <w:szCs w:val="20"/>
        </w:rPr>
      </w:pPr>
    </w:p>
    <w:p w:rsidR="00A67019" w:rsidRPr="00D57793" w:rsidRDefault="00A67019" w:rsidP="00857D66">
      <w:pPr>
        <w:numPr>
          <w:ilvl w:val="0"/>
          <w:numId w:val="5"/>
        </w:numPr>
        <w:jc w:val="both"/>
        <w:rPr>
          <w:b/>
          <w:szCs w:val="20"/>
        </w:rPr>
      </w:pPr>
      <w:r w:rsidRPr="00D57793">
        <w:rPr>
          <w:b/>
          <w:szCs w:val="20"/>
        </w:rPr>
        <w:t>Odstranit v bytě změny, které provedl bez souhlasu pronajímatele, ledaže pronajímatel (správce) sdělí, že odstranění změn nežádá. V tomto případě nájemce nemůže žádat vyrovnání. Naopak pronajímatel může žádat po nájemci náhradu ve výši snížení hodnoty bytu, které bylo změnami způsobeno.</w:t>
      </w:r>
    </w:p>
    <w:p w:rsidR="00A67019" w:rsidRDefault="00A67019">
      <w:pPr>
        <w:jc w:val="both"/>
        <w:rPr>
          <w:szCs w:val="20"/>
        </w:rPr>
      </w:pPr>
    </w:p>
    <w:p w:rsidR="00814616" w:rsidRDefault="00814616" w:rsidP="00857D66">
      <w:pPr>
        <w:numPr>
          <w:ilvl w:val="0"/>
          <w:numId w:val="5"/>
        </w:numPr>
        <w:jc w:val="both"/>
        <w:rPr>
          <w:b/>
          <w:bCs/>
          <w:szCs w:val="20"/>
        </w:rPr>
      </w:pPr>
      <w:r>
        <w:rPr>
          <w:b/>
          <w:bCs/>
        </w:rPr>
        <w:t>Provést drobné opravy bytu, jeho vnitřního vybavení a předat byt v</w:t>
      </w:r>
      <w:r w:rsidR="00A67019">
        <w:rPr>
          <w:b/>
          <w:bCs/>
        </w:rPr>
        <w:t> </w:t>
      </w:r>
      <w:r>
        <w:rPr>
          <w:b/>
          <w:bCs/>
        </w:rPr>
        <w:t>pořádku</w:t>
      </w:r>
      <w:r w:rsidR="00A67019">
        <w:rPr>
          <w:b/>
          <w:bCs/>
        </w:rPr>
        <w:t xml:space="preserve"> a bez zjevných vad</w:t>
      </w:r>
      <w:r>
        <w:rPr>
          <w:b/>
          <w:bCs/>
        </w:rPr>
        <w:t>.</w:t>
      </w:r>
    </w:p>
    <w:p w:rsidR="00814616" w:rsidRDefault="00814616">
      <w:pPr>
        <w:jc w:val="both"/>
        <w:rPr>
          <w:szCs w:val="20"/>
        </w:rPr>
      </w:pPr>
    </w:p>
    <w:p w:rsidR="00D3751B" w:rsidRDefault="00D3751B">
      <w:pPr>
        <w:jc w:val="both"/>
        <w:rPr>
          <w:szCs w:val="20"/>
        </w:rPr>
      </w:pPr>
      <w:r>
        <w:rPr>
          <w:szCs w:val="20"/>
        </w:rPr>
        <w:t xml:space="preserve">Zařízení a předměty upevněné ve zdech, podlaze a stropu (např. topení, rozvody, obklady apod.), které nelze odstranit bez nepřiměřeného snížení hodnoty nebo bez poškození bytu nebo domu, přecházejí upevněním nebo vložením do vlastnictví pronajímatele, tj. města Plzně. Nájemce má právo žádat, aby se s ním </w:t>
      </w:r>
      <w:r w:rsidR="005557A0">
        <w:rPr>
          <w:szCs w:val="20"/>
        </w:rPr>
        <w:t xml:space="preserve">pronajímatel bez zbytečného odkladu vyrovnal. To neplatí v případě, že nájemce provedl změny bez souhlasu pronajímatele. O případné vyrovnání je možné žádat prostřednictvím </w:t>
      </w:r>
      <w:r w:rsidR="00C06FE5">
        <w:rPr>
          <w:szCs w:val="20"/>
        </w:rPr>
        <w:t>O</w:t>
      </w:r>
      <w:r w:rsidR="005557A0">
        <w:rPr>
          <w:szCs w:val="20"/>
        </w:rPr>
        <w:t xml:space="preserve">dboru </w:t>
      </w:r>
      <w:r w:rsidR="00C06FE5">
        <w:rPr>
          <w:szCs w:val="20"/>
        </w:rPr>
        <w:t xml:space="preserve">bytového </w:t>
      </w:r>
      <w:r w:rsidR="005557A0">
        <w:rPr>
          <w:szCs w:val="20"/>
        </w:rPr>
        <w:t>Magistrátu města Plzně.</w:t>
      </w:r>
    </w:p>
    <w:p w:rsidR="00814616" w:rsidRDefault="00814616">
      <w:pPr>
        <w:jc w:val="both"/>
        <w:rPr>
          <w:szCs w:val="20"/>
        </w:rPr>
      </w:pPr>
    </w:p>
    <w:p w:rsidR="00814616" w:rsidRDefault="00814616">
      <w:pPr>
        <w:jc w:val="both"/>
        <w:rPr>
          <w:szCs w:val="20"/>
        </w:rPr>
      </w:pPr>
      <w:r>
        <w:t>V případě, že nájemce ne</w:t>
      </w:r>
      <w:r w:rsidR="00A67019">
        <w:t>odstraní vady</w:t>
      </w:r>
      <w:r>
        <w:t xml:space="preserve"> bytu, které je povinen</w:t>
      </w:r>
      <w:r w:rsidR="00D3751B">
        <w:t xml:space="preserve"> odstranit</w:t>
      </w:r>
      <w:r>
        <w:t>, je správce oprávněn přeúčtovat nájemci náklady</w:t>
      </w:r>
      <w:r w:rsidR="00D3751B">
        <w:t xml:space="preserve"> na jejich odstranění</w:t>
      </w:r>
      <w:r>
        <w:t xml:space="preserve"> k tíži.</w:t>
      </w:r>
    </w:p>
    <w:p w:rsidR="00814616" w:rsidRDefault="00814616">
      <w:pPr>
        <w:jc w:val="both"/>
        <w:rPr>
          <w:szCs w:val="20"/>
        </w:rPr>
      </w:pPr>
    </w:p>
    <w:p w:rsidR="00814616" w:rsidRDefault="00D3751B">
      <w:pPr>
        <w:jc w:val="both"/>
        <w:rPr>
          <w:szCs w:val="20"/>
        </w:rPr>
      </w:pPr>
      <w:r w:rsidRPr="00C06FE5">
        <w:t>Nájemce před odevzdáním bytu</w:t>
      </w:r>
      <w:r w:rsidR="00814616" w:rsidRPr="00C06FE5">
        <w:t xml:space="preserve"> </w:t>
      </w:r>
      <w:r w:rsidRPr="00C06FE5">
        <w:t>ukončí odběr jím nasmlouvaných dodávek energií (elektřina, plyn) a služeb (např. telefon</w:t>
      </w:r>
      <w:r w:rsidR="00857D66" w:rsidRPr="00C06FE5">
        <w:t xml:space="preserve"> a internet</w:t>
      </w:r>
      <w:r w:rsidRPr="00C06FE5">
        <w:t xml:space="preserve">) a </w:t>
      </w:r>
      <w:r w:rsidR="00814616" w:rsidRPr="00C06FE5">
        <w:t>zajistí</w:t>
      </w:r>
      <w:r w:rsidRPr="00C06FE5">
        <w:t xml:space="preserve"> </w:t>
      </w:r>
      <w:r w:rsidR="00C06FE5">
        <w:t xml:space="preserve">demontáž </w:t>
      </w:r>
      <w:r w:rsidRPr="00C06FE5">
        <w:t>měřidel</w:t>
      </w:r>
      <w:r w:rsidR="00814616" w:rsidRPr="00C06FE5">
        <w:t>.</w:t>
      </w:r>
    </w:p>
    <w:p w:rsidR="00814616" w:rsidRDefault="00814616">
      <w:pPr>
        <w:jc w:val="both"/>
        <w:rPr>
          <w:szCs w:val="20"/>
        </w:rPr>
      </w:pPr>
    </w:p>
    <w:p w:rsidR="00814616" w:rsidRDefault="00814616">
      <w:pPr>
        <w:jc w:val="both"/>
        <w:rPr>
          <w:szCs w:val="20"/>
        </w:rPr>
      </w:pPr>
      <w:r>
        <w:t xml:space="preserve">Před předáním bytu je </w:t>
      </w:r>
      <w:r w:rsidR="00C06FE5">
        <w:t xml:space="preserve">nájemce </w:t>
      </w:r>
      <w:r>
        <w:t>povin</w:t>
      </w:r>
      <w:r w:rsidR="00C06FE5">
        <w:t>en</w:t>
      </w:r>
      <w:r>
        <w:t xml:space="preserve"> </w:t>
      </w:r>
      <w:r>
        <w:rPr>
          <w:b/>
          <w:bCs/>
        </w:rPr>
        <w:t>vyklidit sklep</w:t>
      </w:r>
      <w:r w:rsidR="00D3751B">
        <w:rPr>
          <w:b/>
          <w:bCs/>
        </w:rPr>
        <w:t xml:space="preserve"> přináležející k bytu</w:t>
      </w:r>
      <w:r>
        <w:rPr>
          <w:b/>
          <w:bCs/>
        </w:rPr>
        <w:t>, půdu a spol</w:t>
      </w:r>
      <w:r w:rsidR="00C06FE5">
        <w:rPr>
          <w:b/>
          <w:bCs/>
        </w:rPr>
        <w:t>ečné</w:t>
      </w:r>
      <w:r>
        <w:rPr>
          <w:b/>
          <w:bCs/>
        </w:rPr>
        <w:t xml:space="preserve"> prostory,</w:t>
      </w:r>
      <w:r>
        <w:t xml:space="preserve"> které užíval.</w:t>
      </w:r>
    </w:p>
    <w:p w:rsidR="005557A0" w:rsidRDefault="005557A0" w:rsidP="005557A0">
      <w:pPr>
        <w:jc w:val="both"/>
        <w:rPr>
          <w:szCs w:val="20"/>
        </w:rPr>
      </w:pPr>
      <w:r>
        <w:rPr>
          <w:b/>
          <w:bCs/>
        </w:rPr>
        <w:lastRenderedPageBreak/>
        <w:t xml:space="preserve">O předání bytu bude na místě vyhotoven zápis, který obě strany podepíší. </w:t>
      </w:r>
      <w:r>
        <w:t>Součástí předání bytu je i vyklizený sklep, pokud k bytu přináleží, případně komora a dopisní schránka.</w:t>
      </w:r>
    </w:p>
    <w:p w:rsidR="005557A0" w:rsidRDefault="005557A0" w:rsidP="005557A0">
      <w:pPr>
        <w:jc w:val="both"/>
        <w:rPr>
          <w:b/>
          <w:bCs/>
        </w:rPr>
      </w:pPr>
    </w:p>
    <w:p w:rsidR="005557A0" w:rsidRDefault="00D042A5" w:rsidP="005557A0">
      <w:pPr>
        <w:jc w:val="both"/>
        <w:rPr>
          <w:b/>
          <w:bCs/>
          <w:szCs w:val="20"/>
        </w:rPr>
      </w:pPr>
      <w:r>
        <w:rPr>
          <w:b/>
          <w:bCs/>
        </w:rPr>
        <w:t>V případě nejasností se</w:t>
      </w:r>
      <w:r w:rsidDel="002B68EB">
        <w:rPr>
          <w:b/>
          <w:bCs/>
        </w:rPr>
        <w:t xml:space="preserve"> </w:t>
      </w:r>
      <w:r w:rsidR="005557A0">
        <w:rPr>
          <w:b/>
          <w:bCs/>
        </w:rPr>
        <w:t>obraťte na Vašeho správce</w:t>
      </w:r>
      <w:r>
        <w:rPr>
          <w:b/>
          <w:bCs/>
        </w:rPr>
        <w:t>, který Vám sdělí podrobnější informace</w:t>
      </w:r>
      <w:r w:rsidR="005557A0">
        <w:rPr>
          <w:b/>
          <w:bCs/>
        </w:rPr>
        <w:t>.</w:t>
      </w:r>
    </w:p>
    <w:p w:rsidR="00814616" w:rsidRDefault="00814616">
      <w:pPr>
        <w:jc w:val="both"/>
        <w:rPr>
          <w:szCs w:val="20"/>
        </w:rPr>
      </w:pPr>
    </w:p>
    <w:p w:rsidR="00814616" w:rsidRDefault="00814616">
      <w:pPr>
        <w:jc w:val="both"/>
        <w:rPr>
          <w:szCs w:val="20"/>
        </w:rPr>
      </w:pPr>
      <w:r>
        <w:t>Správcem bytového a nebytového fondu města Plzně je:</w:t>
      </w:r>
    </w:p>
    <w:p w:rsidR="00814616" w:rsidRDefault="00814616">
      <w:pPr>
        <w:jc w:val="both"/>
        <w:rPr>
          <w:b/>
          <w:bCs/>
          <w:szCs w:val="20"/>
        </w:rPr>
      </w:pPr>
      <w:r>
        <w:rPr>
          <w:b/>
          <w:bCs/>
        </w:rPr>
        <w:t>Obytná zóna Sylván a.s.</w:t>
      </w:r>
    </w:p>
    <w:p w:rsidR="00814616" w:rsidRDefault="00814616">
      <w:pPr>
        <w:jc w:val="both"/>
        <w:rPr>
          <w:b/>
          <w:bCs/>
          <w:szCs w:val="20"/>
        </w:rPr>
      </w:pPr>
      <w:r>
        <w:rPr>
          <w:b/>
          <w:bCs/>
        </w:rPr>
        <w:t>Palackého nám. 6</w:t>
      </w:r>
    </w:p>
    <w:p w:rsidR="00814616" w:rsidRDefault="00814616">
      <w:pPr>
        <w:jc w:val="both"/>
        <w:rPr>
          <w:b/>
          <w:bCs/>
          <w:szCs w:val="20"/>
        </w:rPr>
      </w:pPr>
      <w:r>
        <w:rPr>
          <w:b/>
          <w:bCs/>
        </w:rPr>
        <w:t>301 00 Plzeň</w:t>
      </w:r>
    </w:p>
    <w:p w:rsidR="00814616" w:rsidRDefault="00814616">
      <w:pPr>
        <w:jc w:val="both"/>
        <w:rPr>
          <w:b/>
          <w:bCs/>
          <w:szCs w:val="20"/>
        </w:rPr>
      </w:pPr>
    </w:p>
    <w:p w:rsidR="00814616" w:rsidRDefault="00814616"/>
    <w:sectPr w:rsidR="008146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FA8" w:rsidRDefault="00856FA8" w:rsidP="00F54DB3">
      <w:r>
        <w:separator/>
      </w:r>
    </w:p>
  </w:endnote>
  <w:endnote w:type="continuationSeparator" w:id="0">
    <w:p w:rsidR="00856FA8" w:rsidRDefault="00856FA8" w:rsidP="00F5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DB3" w:rsidRPr="00F54DB3" w:rsidRDefault="00F54DB3" w:rsidP="00F54DB3">
    <w:pPr>
      <w:pStyle w:val="Zpat"/>
      <w:jc w:val="center"/>
      <w:rPr>
        <w:sz w:val="20"/>
        <w:szCs w:val="20"/>
      </w:rPr>
    </w:pPr>
    <w:r w:rsidRPr="00F54DB3">
      <w:rPr>
        <w:sz w:val="20"/>
        <w:szCs w:val="20"/>
      </w:rPr>
      <w:t xml:space="preserve">Stránka </w:t>
    </w:r>
    <w:r w:rsidRPr="00F54DB3">
      <w:rPr>
        <w:b/>
        <w:bCs/>
        <w:sz w:val="20"/>
        <w:szCs w:val="20"/>
      </w:rPr>
      <w:fldChar w:fldCharType="begin"/>
    </w:r>
    <w:r w:rsidRPr="00F54DB3">
      <w:rPr>
        <w:b/>
        <w:bCs/>
        <w:sz w:val="20"/>
        <w:szCs w:val="20"/>
      </w:rPr>
      <w:instrText>PAGE</w:instrText>
    </w:r>
    <w:r w:rsidRPr="00F54DB3">
      <w:rPr>
        <w:b/>
        <w:bCs/>
        <w:sz w:val="20"/>
        <w:szCs w:val="20"/>
      </w:rPr>
      <w:fldChar w:fldCharType="separate"/>
    </w:r>
    <w:r w:rsidR="00CC6C78">
      <w:rPr>
        <w:b/>
        <w:bCs/>
        <w:noProof/>
        <w:sz w:val="20"/>
        <w:szCs w:val="20"/>
      </w:rPr>
      <w:t>1</w:t>
    </w:r>
    <w:r w:rsidRPr="00F54DB3">
      <w:rPr>
        <w:b/>
        <w:bCs/>
        <w:sz w:val="20"/>
        <w:szCs w:val="20"/>
      </w:rPr>
      <w:fldChar w:fldCharType="end"/>
    </w:r>
    <w:r w:rsidRPr="00F54DB3">
      <w:rPr>
        <w:sz w:val="20"/>
        <w:szCs w:val="20"/>
      </w:rPr>
      <w:t xml:space="preserve"> z </w:t>
    </w:r>
    <w:r w:rsidRPr="00F54DB3">
      <w:rPr>
        <w:b/>
        <w:bCs/>
        <w:sz w:val="20"/>
        <w:szCs w:val="20"/>
      </w:rPr>
      <w:fldChar w:fldCharType="begin"/>
    </w:r>
    <w:r w:rsidRPr="00F54DB3">
      <w:rPr>
        <w:b/>
        <w:bCs/>
        <w:sz w:val="20"/>
        <w:szCs w:val="20"/>
      </w:rPr>
      <w:instrText>NUMPAGES</w:instrText>
    </w:r>
    <w:r w:rsidRPr="00F54DB3">
      <w:rPr>
        <w:b/>
        <w:bCs/>
        <w:sz w:val="20"/>
        <w:szCs w:val="20"/>
      </w:rPr>
      <w:fldChar w:fldCharType="separate"/>
    </w:r>
    <w:r w:rsidR="00CC6C78">
      <w:rPr>
        <w:b/>
        <w:bCs/>
        <w:noProof/>
        <w:sz w:val="20"/>
        <w:szCs w:val="20"/>
      </w:rPr>
      <w:t>2</w:t>
    </w:r>
    <w:r w:rsidRPr="00F54DB3">
      <w:rPr>
        <w:b/>
        <w:bCs/>
        <w:sz w:val="20"/>
        <w:szCs w:val="20"/>
      </w:rPr>
      <w:fldChar w:fldCharType="end"/>
    </w:r>
  </w:p>
  <w:p w:rsidR="00F54DB3" w:rsidRDefault="00F54D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FA8" w:rsidRDefault="00856FA8" w:rsidP="00F54DB3">
      <w:r>
        <w:separator/>
      </w:r>
    </w:p>
  </w:footnote>
  <w:footnote w:type="continuationSeparator" w:id="0">
    <w:p w:rsidR="00856FA8" w:rsidRDefault="00856FA8" w:rsidP="00F5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E31D9"/>
    <w:multiLevelType w:val="hybridMultilevel"/>
    <w:tmpl w:val="3170E66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712F7B04"/>
    <w:multiLevelType w:val="hybridMultilevel"/>
    <w:tmpl w:val="87D441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02632D"/>
    <w:multiLevelType w:val="hybridMultilevel"/>
    <w:tmpl w:val="CB8895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lvl w:ilvl="0" w:tplc="0405000F">
        <w:start w:val="1"/>
        <w:numFmt w:val="decimal"/>
        <w:lvlText w:val="%1."/>
        <w:lvlJc w:val="left"/>
        <w:pPr>
          <w:tabs>
            <w:tab w:val="num" w:pos="720"/>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4A"/>
    <w:rsid w:val="00026B11"/>
    <w:rsid w:val="002B68EB"/>
    <w:rsid w:val="0037686A"/>
    <w:rsid w:val="00441649"/>
    <w:rsid w:val="00477E7D"/>
    <w:rsid w:val="005551E9"/>
    <w:rsid w:val="005557A0"/>
    <w:rsid w:val="00560BE1"/>
    <w:rsid w:val="005D034B"/>
    <w:rsid w:val="005E1030"/>
    <w:rsid w:val="00814616"/>
    <w:rsid w:val="00856FA8"/>
    <w:rsid w:val="00857D66"/>
    <w:rsid w:val="008C1927"/>
    <w:rsid w:val="00912512"/>
    <w:rsid w:val="00A67019"/>
    <w:rsid w:val="00B9444A"/>
    <w:rsid w:val="00BB03F9"/>
    <w:rsid w:val="00C06FE5"/>
    <w:rsid w:val="00C14A87"/>
    <w:rsid w:val="00C53E38"/>
    <w:rsid w:val="00C55EF5"/>
    <w:rsid w:val="00CC6C78"/>
    <w:rsid w:val="00CD105C"/>
    <w:rsid w:val="00CD1E95"/>
    <w:rsid w:val="00D042A5"/>
    <w:rsid w:val="00D267CC"/>
    <w:rsid w:val="00D3751B"/>
    <w:rsid w:val="00D57793"/>
    <w:rsid w:val="00EF2388"/>
    <w:rsid w:val="00F0263E"/>
    <w:rsid w:val="00F03A1B"/>
    <w:rsid w:val="00F54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4E8B72-8859-472F-820D-6E611873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u w:val="single"/>
    </w:rPr>
  </w:style>
  <w:style w:type="paragraph" w:styleId="Textbubliny">
    <w:name w:val="Balloon Text"/>
    <w:basedOn w:val="Normln"/>
    <w:link w:val="TextbublinyChar"/>
    <w:uiPriority w:val="99"/>
    <w:semiHidden/>
    <w:unhideWhenUsed/>
    <w:rsid w:val="00A67019"/>
    <w:rPr>
      <w:rFonts w:ascii="Tahoma" w:hAnsi="Tahoma" w:cs="Tahoma"/>
      <w:sz w:val="16"/>
      <w:szCs w:val="16"/>
    </w:rPr>
  </w:style>
  <w:style w:type="character" w:customStyle="1" w:styleId="TextbublinyChar">
    <w:name w:val="Text bubliny Char"/>
    <w:link w:val="Textbubliny"/>
    <w:uiPriority w:val="99"/>
    <w:semiHidden/>
    <w:rsid w:val="00A67019"/>
    <w:rPr>
      <w:rFonts w:ascii="Tahoma" w:hAnsi="Tahoma" w:cs="Tahoma"/>
      <w:sz w:val="16"/>
      <w:szCs w:val="16"/>
    </w:rPr>
  </w:style>
  <w:style w:type="character" w:styleId="Odkaznakoment">
    <w:name w:val="annotation reference"/>
    <w:uiPriority w:val="99"/>
    <w:semiHidden/>
    <w:unhideWhenUsed/>
    <w:rsid w:val="00560BE1"/>
    <w:rPr>
      <w:sz w:val="16"/>
      <w:szCs w:val="16"/>
    </w:rPr>
  </w:style>
  <w:style w:type="paragraph" w:styleId="Textkomente">
    <w:name w:val="annotation text"/>
    <w:basedOn w:val="Normln"/>
    <w:link w:val="TextkomenteChar"/>
    <w:uiPriority w:val="99"/>
    <w:semiHidden/>
    <w:unhideWhenUsed/>
    <w:rsid w:val="00560BE1"/>
    <w:rPr>
      <w:sz w:val="20"/>
      <w:szCs w:val="20"/>
    </w:rPr>
  </w:style>
  <w:style w:type="character" w:customStyle="1" w:styleId="TextkomenteChar">
    <w:name w:val="Text komentáře Char"/>
    <w:basedOn w:val="Standardnpsmoodstavce"/>
    <w:link w:val="Textkomente"/>
    <w:uiPriority w:val="99"/>
    <w:semiHidden/>
    <w:rsid w:val="00560BE1"/>
  </w:style>
  <w:style w:type="paragraph" w:styleId="Pedmtkomente">
    <w:name w:val="annotation subject"/>
    <w:basedOn w:val="Textkomente"/>
    <w:next w:val="Textkomente"/>
    <w:link w:val="PedmtkomenteChar"/>
    <w:uiPriority w:val="99"/>
    <w:semiHidden/>
    <w:unhideWhenUsed/>
    <w:rsid w:val="00560BE1"/>
    <w:rPr>
      <w:b/>
      <w:bCs/>
    </w:rPr>
  </w:style>
  <w:style w:type="character" w:customStyle="1" w:styleId="PedmtkomenteChar">
    <w:name w:val="Předmět komentáře Char"/>
    <w:link w:val="Pedmtkomente"/>
    <w:uiPriority w:val="99"/>
    <w:semiHidden/>
    <w:rsid w:val="00560BE1"/>
    <w:rPr>
      <w:b/>
      <w:bCs/>
    </w:rPr>
  </w:style>
  <w:style w:type="paragraph" w:styleId="Zhlav">
    <w:name w:val="header"/>
    <w:basedOn w:val="Normln"/>
    <w:link w:val="ZhlavChar"/>
    <w:uiPriority w:val="99"/>
    <w:unhideWhenUsed/>
    <w:rsid w:val="00F54DB3"/>
    <w:pPr>
      <w:tabs>
        <w:tab w:val="center" w:pos="4536"/>
        <w:tab w:val="right" w:pos="9072"/>
      </w:tabs>
    </w:pPr>
  </w:style>
  <w:style w:type="character" w:customStyle="1" w:styleId="ZhlavChar">
    <w:name w:val="Záhlaví Char"/>
    <w:link w:val="Zhlav"/>
    <w:uiPriority w:val="99"/>
    <w:rsid w:val="00F54DB3"/>
    <w:rPr>
      <w:sz w:val="24"/>
      <w:szCs w:val="24"/>
    </w:rPr>
  </w:style>
  <w:style w:type="paragraph" w:styleId="Zpat">
    <w:name w:val="footer"/>
    <w:basedOn w:val="Normln"/>
    <w:link w:val="ZpatChar"/>
    <w:uiPriority w:val="99"/>
    <w:unhideWhenUsed/>
    <w:rsid w:val="00F54DB3"/>
    <w:pPr>
      <w:tabs>
        <w:tab w:val="center" w:pos="4536"/>
        <w:tab w:val="right" w:pos="9072"/>
      </w:tabs>
    </w:pPr>
  </w:style>
  <w:style w:type="character" w:customStyle="1" w:styleId="ZpatChar">
    <w:name w:val="Zápatí Char"/>
    <w:link w:val="Zpat"/>
    <w:uiPriority w:val="99"/>
    <w:rsid w:val="00F54D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Pokyny pro nájemce (dědice), kteří uvolňují (předávají) byt</vt:lpstr>
    </vt:vector>
  </TitlesOfParts>
  <Company>SITmP</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pro nájemce (dědice), kteří uvolňují (předávají) byt</dc:title>
  <dc:creator>soucek</dc:creator>
  <cp:lastModifiedBy>Hálková Ivana</cp:lastModifiedBy>
  <cp:revision>2</cp:revision>
  <dcterms:created xsi:type="dcterms:W3CDTF">2020-08-13T09:38:00Z</dcterms:created>
  <dcterms:modified xsi:type="dcterms:W3CDTF">2020-08-13T09:38:00Z</dcterms:modified>
</cp:coreProperties>
</file>