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1190400208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 w:before="0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Vinařice</w:t>
      </w:r>
    </w:p>
    <w:p>
      <w:pPr>
        <w:pStyle w:val="BodyText"/>
        <w:tabs>
          <w:tab w:pos="2982" w:val="left" w:leader="none"/>
        </w:tabs>
        <w:ind w:right="1007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Vinařice,</w:t>
      </w:r>
      <w:r>
        <w:rPr>
          <w:spacing w:val="-6"/>
        </w:rPr>
        <w:t> </w:t>
      </w:r>
      <w:r>
        <w:rPr/>
        <w:t>Vinařice</w:t>
      </w:r>
      <w:r>
        <w:rPr>
          <w:spacing w:val="-6"/>
        </w:rPr>
        <w:t> </w:t>
      </w:r>
      <w:r>
        <w:rPr/>
        <w:t>10,</w:t>
      </w:r>
      <w:r>
        <w:rPr>
          <w:spacing w:val="-6"/>
        </w:rPr>
        <w:t> </w:t>
      </w:r>
      <w:r>
        <w:rPr/>
        <w:t>267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Králův</w:t>
      </w:r>
      <w:r>
        <w:rPr>
          <w:spacing w:val="-5"/>
        </w:rPr>
        <w:t> </w:t>
      </w:r>
      <w:r>
        <w:rPr/>
        <w:t>Dvůr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Berouna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00509868</w:t>
      </w:r>
    </w:p>
    <w:p>
      <w:pPr>
        <w:pStyle w:val="BodyText"/>
        <w:tabs>
          <w:tab w:pos="2982" w:val="left" w:leader="none"/>
        </w:tabs>
        <w:spacing w:line="237" w:lineRule="auto" w:before="3"/>
        <w:ind w:right="3308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Karlem</w:t>
      </w:r>
      <w:r>
        <w:rPr>
          <w:spacing w:val="-6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l</w:t>
      </w:r>
      <w:r>
        <w:rPr>
          <w:spacing w:val="-5"/>
        </w:rPr>
        <w:t> </w:t>
      </w:r>
      <w:r>
        <w:rPr/>
        <w:t>í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 (dále jen „příjemce podpory“)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1190400208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2"/>
        </w:rPr>
        <w:t> </w:t>
      </w:r>
      <w:r>
        <w:rPr/>
        <w:t>republiky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dne</w:t>
      </w:r>
      <w:r>
        <w:rPr>
          <w:spacing w:val="5"/>
        </w:rPr>
        <w:t> </w:t>
      </w:r>
      <w:r>
        <w:rPr/>
        <w:t>26.</w:t>
      </w:r>
      <w:r>
        <w:rPr>
          <w:spacing w:val="2"/>
        </w:rPr>
        <w:t> </w:t>
      </w:r>
      <w:r>
        <w:rPr/>
        <w:t>10.</w:t>
      </w:r>
      <w:r>
        <w:rPr>
          <w:spacing w:val="3"/>
        </w:rPr>
        <w:t> </w:t>
      </w:r>
      <w:r>
        <w:rPr/>
        <w:t>2020,</w:t>
      </w:r>
      <w:r>
        <w:rPr>
          <w:spacing w:val="2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3"/>
        </w:rPr>
        <w:t> </w:t>
      </w:r>
      <w:r>
        <w:rPr/>
        <w:t>dodatku</w:t>
      </w:r>
      <w:r>
        <w:rPr>
          <w:spacing w:val="2"/>
        </w:rPr>
        <w:t> </w:t>
      </w:r>
      <w:r>
        <w:rPr/>
        <w:t>č.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21.</w:t>
      </w:r>
      <w:r>
        <w:rPr>
          <w:spacing w:val="2"/>
        </w:rPr>
        <w:t> </w:t>
      </w:r>
      <w:r>
        <w:rPr/>
        <w:t>6.</w:t>
      </w:r>
      <w:r>
        <w:rPr>
          <w:spacing w:val="3"/>
        </w:rPr>
        <w:t> </w:t>
      </w:r>
      <w:r>
        <w:rPr/>
        <w:t>2021</w:t>
      </w:r>
      <w:r>
        <w:rPr>
          <w:spacing w:val="6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</w:pPr>
      <w:r>
        <w:rPr>
          <w:spacing w:val="-2"/>
        </w:rPr>
        <w:t>„Smlouva“):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>
          <w:spacing w:val="-5"/>
        </w:rPr>
        <w:t>1.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4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IV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q)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termín</w:t>
      </w:r>
      <w:r>
        <w:rPr>
          <w:spacing w:val="-4"/>
        </w:rPr>
        <w:t> </w:t>
      </w:r>
      <w:r>
        <w:rPr/>
        <w:t>předložení</w:t>
      </w:r>
      <w:r>
        <w:rPr>
          <w:spacing w:val="-5"/>
        </w:rPr>
        <w:t> </w:t>
      </w:r>
      <w:r>
        <w:rPr/>
        <w:t>podkladů</w:t>
      </w:r>
      <w:r>
        <w:rPr>
          <w:spacing w:val="-6"/>
        </w:rPr>
        <w:t> </w:t>
      </w: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4"/>
        </w:rPr>
        <w:t> </w:t>
      </w:r>
      <w:r>
        <w:rPr/>
        <w:t>prodlužuje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konce</w:t>
      </w:r>
      <w:r>
        <w:rPr>
          <w:spacing w:val="-5"/>
        </w:rPr>
        <w:t> </w:t>
      </w:r>
      <w:r>
        <w:rPr>
          <w:spacing w:val="-2"/>
        </w:rPr>
        <w:t>12/2024.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 se</w:t>
      </w:r>
      <w:r>
        <w:rPr>
          <w:spacing w:val="-2"/>
        </w:rPr>
        <w:t> </w:t>
      </w:r>
      <w:r>
        <w:rPr/>
        <w:t>mění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/>
        <w:t>„Specifické</w:t>
      </w:r>
      <w:r>
        <w:rPr>
          <w:spacing w:val="-11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10"/>
        </w:rPr>
        <w:t> </w:t>
      </w:r>
      <w:r>
        <w:rPr/>
        <w:t>model</w:t>
      </w:r>
      <w:r>
        <w:rPr>
          <w:spacing w:val="-10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64" w:lineRule="auto" w:before="1" w:after="0"/>
        <w:ind w:left="529" w:right="109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6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2014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2020“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PrŽaP). Pro účely stanovení podmínek týkajících se provozování vodohospodářské infrastruktury se vodohospodářskou infrastrukturou rozumí celá složka infrastruktury pořízené (rekonstruované)</w:t>
      </w:r>
      <w:r>
        <w:rPr>
          <w:spacing w:val="80"/>
          <w:w w:val="150"/>
          <w:sz w:val="20"/>
        </w:rPr>
        <w:t>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Smlouvy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Rozhodnutí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(podpořená</w:t>
      </w:r>
    </w:p>
    <w:p>
      <w:pPr>
        <w:spacing w:after="0" w:line="264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35" w:header="0" w:top="1480" w:bottom="1120" w:left="1600" w:right="1020"/>
          <w:pgNumType w:start="1"/>
        </w:sectPr>
      </w:pPr>
    </w:p>
    <w:p>
      <w:pPr>
        <w:pStyle w:val="BodyText"/>
        <w:spacing w:line="264" w:lineRule="auto" w:before="73"/>
        <w:ind w:left="529" w:right="116"/>
        <w:jc w:val="both"/>
      </w:pPr>
      <w:r>
        <w:rPr/>
        <w:t>infrastruktura) a</w:t>
      </w:r>
      <w:r>
        <w:rPr>
          <w:spacing w:val="-2"/>
        </w:rPr>
        <w:t> </w:t>
      </w:r>
      <w:r>
        <w:rPr/>
        <w:t>veškerá další infrastruktura provozovaná v této složce na území relevantní obce (podrobněji</w:t>
      </w:r>
      <w:r>
        <w:rPr>
          <w:spacing w:val="-10"/>
        </w:rPr>
        <w:t> </w:t>
      </w:r>
      <w:r>
        <w:rPr/>
        <w:t>viz</w:t>
      </w:r>
      <w:r>
        <w:rPr>
          <w:spacing w:val="-8"/>
        </w:rPr>
        <w:t> </w:t>
      </w:r>
      <w:r>
        <w:rPr/>
        <w:t>Metodika)</w:t>
      </w:r>
      <w:r>
        <w:rPr>
          <w:spacing w:val="-11"/>
        </w:rPr>
        <w:t> </w:t>
      </w:r>
      <w:r>
        <w:rPr/>
        <w:t>společně</w:t>
      </w:r>
      <w:r>
        <w:rPr>
          <w:spacing w:val="-11"/>
        </w:rPr>
        <w:t> </w:t>
      </w:r>
      <w:r>
        <w:rPr/>
        <w:t>s</w:t>
      </w:r>
      <w:r>
        <w:rPr>
          <w:spacing w:val="-10"/>
        </w:rPr>
        <w:t> </w:t>
      </w:r>
      <w:r>
        <w:rPr/>
        <w:t>podpořenou</w:t>
      </w:r>
      <w:r>
        <w:rPr>
          <w:spacing w:val="-10"/>
        </w:rPr>
        <w:t> </w:t>
      </w:r>
      <w:r>
        <w:rPr/>
        <w:t>infrastrukturou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rámci</w:t>
      </w:r>
      <w:r>
        <w:rPr>
          <w:spacing w:val="-10"/>
        </w:rPr>
        <w:t> </w:t>
      </w:r>
      <w:r>
        <w:rPr/>
        <w:t>podpořeného</w:t>
      </w:r>
      <w:r>
        <w:rPr>
          <w:spacing w:val="-9"/>
        </w:rPr>
        <w:t> </w:t>
      </w:r>
      <w:r>
        <w:rPr/>
        <w:t>samostatného modelu provozování.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64" w:lineRule="auto" w:before="121" w:after="0"/>
        <w:ind w:left="529" w:right="110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získání posledního kolaudačního</w:t>
      </w:r>
      <w:r>
        <w:rPr>
          <w:spacing w:val="69"/>
          <w:sz w:val="20"/>
        </w:rPr>
        <w:t> </w:t>
      </w:r>
      <w:r>
        <w:rPr>
          <w:sz w:val="20"/>
        </w:rPr>
        <w:t>souhlasu/rozhodnutí</w:t>
      </w:r>
      <w:r>
        <w:rPr>
          <w:spacing w:val="69"/>
          <w:sz w:val="20"/>
        </w:rPr>
        <w:t> </w:t>
      </w:r>
      <w:r>
        <w:rPr>
          <w:sz w:val="20"/>
        </w:rPr>
        <w:t>k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  <w:r>
        <w:rPr>
          <w:spacing w:val="68"/>
          <w:sz w:val="20"/>
        </w:rPr>
        <w:t> </w:t>
      </w:r>
      <w:r>
        <w:rPr>
          <w:sz w:val="20"/>
        </w:rPr>
        <w:t>bude</w:t>
      </w:r>
      <w:r>
        <w:rPr>
          <w:spacing w:val="70"/>
          <w:sz w:val="20"/>
        </w:rPr>
        <w:t> </w:t>
      </w:r>
      <w:r>
        <w:rPr>
          <w:sz w:val="20"/>
        </w:rPr>
        <w:t>zabezpečena</w:t>
      </w:r>
      <w:r>
        <w:rPr>
          <w:spacing w:val="68"/>
          <w:sz w:val="20"/>
        </w:rPr>
        <w:t> </w:t>
      </w:r>
      <w:r>
        <w:rPr>
          <w:sz w:val="20"/>
        </w:rPr>
        <w:t>finanční</w:t>
      </w:r>
      <w:r>
        <w:rPr>
          <w:spacing w:val="68"/>
          <w:sz w:val="20"/>
        </w:rPr>
        <w:t> </w:t>
      </w:r>
      <w:r>
        <w:rPr>
          <w:sz w:val="20"/>
        </w:rPr>
        <w:t>udržitelnost</w:t>
      </w:r>
      <w:r>
        <w:rPr>
          <w:spacing w:val="68"/>
          <w:sz w:val="20"/>
        </w:rPr>
        <w:t> </w:t>
      </w:r>
      <w:r>
        <w:rPr>
          <w:sz w:val="20"/>
        </w:rPr>
        <w:t>projektu, a to za</w:t>
      </w:r>
      <w:r>
        <w:rPr>
          <w:spacing w:val="-1"/>
          <w:sz w:val="20"/>
        </w:rPr>
        <w:t> </w:t>
      </w:r>
      <w:r>
        <w:rPr>
          <w:sz w:val="20"/>
        </w:rPr>
        <w:t>podmínek stanovených Fondem. Změna výše prostředků na obnovu vodovodů a/nebo kanalizací je přípustná pouze z důvodu: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40" w:lineRule="auto" w:before="0" w:after="0"/>
        <w:ind w:left="529" w:right="265" w:firstLine="0"/>
        <w:jc w:val="left"/>
        <w:rPr>
          <w:sz w:val="20"/>
        </w:rPr>
      </w:pP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2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zajistí</w:t>
      </w:r>
      <w:r>
        <w:rPr>
          <w:spacing w:val="-5"/>
          <w:sz w:val="20"/>
        </w:rPr>
        <w:t> </w:t>
      </w:r>
      <w:r>
        <w:rPr>
          <w:sz w:val="20"/>
        </w:rPr>
        <w:t>nepřekročení</w:t>
      </w:r>
      <w:r>
        <w:rPr>
          <w:spacing w:val="-5"/>
          <w:sz w:val="20"/>
        </w:rPr>
        <w:t> </w:t>
      </w:r>
      <w:r>
        <w:rPr>
          <w:sz w:val="20"/>
        </w:rPr>
        <w:t>hranice</w:t>
      </w:r>
      <w:r>
        <w:rPr>
          <w:spacing w:val="-5"/>
          <w:sz w:val="20"/>
        </w:rPr>
        <w:t> </w:t>
      </w:r>
      <w:r>
        <w:rPr>
          <w:sz w:val="20"/>
        </w:rPr>
        <w:t>sociálně</w:t>
      </w:r>
      <w:r>
        <w:rPr>
          <w:spacing w:val="-5"/>
          <w:sz w:val="20"/>
        </w:rPr>
        <w:t> </w:t>
      </w:r>
      <w:r>
        <w:rPr>
          <w:sz w:val="20"/>
        </w:rPr>
        <w:t>únosné</w:t>
      </w:r>
      <w:r>
        <w:rPr>
          <w:spacing w:val="-5"/>
          <w:sz w:val="20"/>
        </w:rPr>
        <w:t> </w:t>
      </w:r>
      <w:r>
        <w:rPr>
          <w:sz w:val="20"/>
        </w:rPr>
        <w:t>ceny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vodné a/nebo stočné zveřejňované každoročně Fondem, nebo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</w:tabs>
        <w:spacing w:line="240" w:lineRule="auto" w:before="0" w:after="0"/>
        <w:ind w:left="529" w:right="397" w:firstLine="0"/>
        <w:jc w:val="left"/>
        <w:rPr>
          <w:sz w:val="20"/>
        </w:rPr>
      </w:pPr>
      <w:r>
        <w:rPr>
          <w:sz w:val="20"/>
        </w:rPr>
        <w:t>snížení na úroveň, která prokazatelně vytváří zdroje pro správu, obnovu a případné rozšíření vodovodů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3"/>
          <w:sz w:val="20"/>
        </w:rPr>
        <w:t> </w:t>
      </w:r>
      <w:r>
        <w:rPr>
          <w:sz w:val="20"/>
        </w:rPr>
        <w:t>kanalizací</w:t>
      </w:r>
      <w:r>
        <w:rPr>
          <w:spacing w:val="-5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„plných</w:t>
      </w:r>
      <w:r>
        <w:rPr>
          <w:spacing w:val="-2"/>
          <w:sz w:val="20"/>
        </w:rPr>
        <w:t> </w:t>
      </w:r>
      <w:r>
        <w:rPr>
          <w:sz w:val="20"/>
        </w:rPr>
        <w:t>odpisů“.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případech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nezbytné,</w:t>
      </w:r>
      <w:r>
        <w:rPr>
          <w:spacing w:val="-2"/>
          <w:sz w:val="20"/>
        </w:rPr>
        <w:t> </w:t>
      </w:r>
      <w:r>
        <w:rPr>
          <w:sz w:val="20"/>
        </w:rPr>
        <w:t>aby Fond navrženou odchylku odsouhlasil.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64" w:lineRule="auto" w:before="120" w:after="0"/>
        <w:ind w:left="529" w:right="111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64" w:lineRule="auto" w:before="121" w:after="0"/>
        <w:ind w:left="529" w:right="113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7"/>
        </w:rPr>
        <w:t> </w:t>
      </w:r>
      <w:r>
        <w:rPr/>
        <w:t>Smlouvy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5.</w:t>
      </w:r>
    </w:p>
    <w:p>
      <w:pPr>
        <w:pStyle w:val="BodyText"/>
        <w:spacing w:before="1"/>
        <w:ind w:right="114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tabs>
          <w:tab w:pos="5860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5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35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267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52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1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right="109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2024-09-27T10:31:24Z</dcterms:created>
  <dcterms:modified xsi:type="dcterms:W3CDTF">2024-09-27T10:31:24Z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</Properties>
</file>