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8BE" w:rsidRDefault="008618BE" w:rsidP="008618BE">
      <w:pPr>
        <w:pStyle w:val="Default"/>
        <w:jc w:val="both"/>
      </w:pPr>
    </w:p>
    <w:p w:rsidR="008618BE" w:rsidRDefault="008618BE" w:rsidP="008618BE">
      <w:pPr>
        <w:pStyle w:val="Default"/>
        <w:jc w:val="both"/>
        <w:rPr>
          <w:sz w:val="18"/>
          <w:szCs w:val="18"/>
        </w:rPr>
      </w:pPr>
      <w:r>
        <w:t xml:space="preserve"> </w:t>
      </w:r>
      <w:r>
        <w:rPr>
          <w:sz w:val="18"/>
          <w:szCs w:val="18"/>
        </w:rPr>
        <w:t>Číslo smlouvy: 2017-1-CZ01-KA101-034845 Grantová smlouva (</w:t>
      </w:r>
      <w:r>
        <w:rPr>
          <w:b/>
          <w:bCs/>
          <w:sz w:val="18"/>
          <w:szCs w:val="18"/>
        </w:rPr>
        <w:t>jeden příjemce</w:t>
      </w:r>
      <w:r>
        <w:rPr>
          <w:sz w:val="18"/>
          <w:szCs w:val="18"/>
        </w:rPr>
        <w:t xml:space="preserve">) </w:t>
      </w:r>
    </w:p>
    <w:p w:rsidR="008618BE" w:rsidRDefault="008618BE" w:rsidP="008618BE">
      <w:pPr>
        <w:pStyle w:val="Default"/>
        <w:jc w:val="both"/>
        <w:rPr>
          <w:color w:val="auto"/>
        </w:rPr>
      </w:pPr>
      <w:r>
        <w:rPr>
          <w:noProof/>
          <w:color w:val="auto"/>
          <w:lang w:eastAsia="cs-CZ"/>
        </w:rPr>
        <w:drawing>
          <wp:anchor distT="0" distB="0" distL="114300" distR="114300" simplePos="0" relativeHeight="251658240" behindDoc="0" locked="0" layoutInCell="1" allowOverlap="1" wp14:anchorId="74EB21AF" wp14:editId="7B781B20">
            <wp:simplePos x="0" y="0"/>
            <wp:positionH relativeFrom="margin">
              <wp:posOffset>2646045</wp:posOffset>
            </wp:positionH>
            <wp:positionV relativeFrom="margin">
              <wp:posOffset>542925</wp:posOffset>
            </wp:positionV>
            <wp:extent cx="3448050" cy="97409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18BE" w:rsidRDefault="008618BE" w:rsidP="008618BE">
      <w:pPr>
        <w:pStyle w:val="Default"/>
        <w:jc w:val="both"/>
        <w:rPr>
          <w:color w:val="auto"/>
        </w:rPr>
      </w:pPr>
      <w:r>
        <w:rPr>
          <w:noProof/>
          <w:color w:val="auto"/>
          <w:lang w:eastAsia="cs-CZ"/>
        </w:rPr>
        <w:drawing>
          <wp:inline distT="0" distB="0" distL="0" distR="0" wp14:anchorId="6CC3D579" wp14:editId="2FE164F7">
            <wp:extent cx="2428247" cy="10858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247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8BE" w:rsidRDefault="008618BE" w:rsidP="008618BE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GRANTOVÁ SMLOUVA pro: </w:t>
      </w:r>
    </w:p>
    <w:p w:rsidR="008618BE" w:rsidRDefault="008618BE" w:rsidP="008618BE">
      <w:pPr>
        <w:pStyle w:val="Default"/>
        <w:jc w:val="both"/>
        <w:rPr>
          <w:color w:val="auto"/>
          <w:sz w:val="16"/>
          <w:szCs w:val="16"/>
        </w:rPr>
      </w:pPr>
      <w:r>
        <w:rPr>
          <w:b/>
          <w:bCs/>
          <w:color w:val="auto"/>
          <w:sz w:val="23"/>
          <w:szCs w:val="23"/>
        </w:rPr>
        <w:t>projekt v rámci programu ERASMUS +</w:t>
      </w:r>
      <w:r>
        <w:rPr>
          <w:b/>
          <w:bCs/>
          <w:color w:val="auto"/>
          <w:sz w:val="16"/>
          <w:szCs w:val="16"/>
        </w:rPr>
        <w:t xml:space="preserve">1 </w:t>
      </w:r>
    </w:p>
    <w:p w:rsidR="00E158F6" w:rsidRDefault="00E158F6" w:rsidP="008618BE">
      <w:pPr>
        <w:pStyle w:val="Default"/>
        <w:jc w:val="both"/>
      </w:pPr>
    </w:p>
    <w:p w:rsidR="008618BE" w:rsidRDefault="008618BE" w:rsidP="008618BE">
      <w:pPr>
        <w:pStyle w:val="Default"/>
        <w:jc w:val="both"/>
      </w:pPr>
      <w:r w:rsidRPr="008618BE">
        <w:t xml:space="preserve">Nařízení Evropského parlamentu a Rady (EU) č. 1288/2013 ze dne 11. prosince 2013, kterým se zavádí program „Erasmus+“: program Unie pro vzdělávání, odbornou přípravu, mládež a sport a zrušují rozhodnutí č. 1719/2006/ES, č. 1720/2006/ES a č. 1298/2008/ES. </w:t>
      </w:r>
    </w:p>
    <w:p w:rsidR="00E158F6" w:rsidRPr="008618BE" w:rsidRDefault="00E158F6" w:rsidP="008618BE">
      <w:pPr>
        <w:pStyle w:val="Default"/>
        <w:jc w:val="both"/>
        <w:rPr>
          <w:color w:val="auto"/>
        </w:rPr>
      </w:pPr>
    </w:p>
    <w:p w:rsidR="008618BE" w:rsidRDefault="008618BE" w:rsidP="008618BE">
      <w:pPr>
        <w:pStyle w:val="Default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ČÍSLO SMLOUVY – 2017-1-CZ01-KA101-034845 </w:t>
      </w:r>
    </w:p>
    <w:p w:rsidR="00E158F6" w:rsidRDefault="00E158F6" w:rsidP="008618BE">
      <w:pPr>
        <w:pStyle w:val="Default"/>
        <w:jc w:val="both"/>
        <w:rPr>
          <w:color w:val="auto"/>
          <w:sz w:val="23"/>
          <w:szCs w:val="23"/>
        </w:rPr>
      </w:pP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Tato smlouva (dále jen „smlouva“) je uzavřena mezi těmito smluvními stranami: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na straně jedné, </w:t>
      </w:r>
    </w:p>
    <w:p w:rsidR="00E158F6" w:rsidRDefault="00E158F6" w:rsidP="008618BE">
      <w:pPr>
        <w:pStyle w:val="Default"/>
        <w:jc w:val="both"/>
        <w:rPr>
          <w:color w:val="auto"/>
          <w:sz w:val="23"/>
          <w:szCs w:val="23"/>
        </w:rPr>
      </w:pP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Dům zahraniční spolupráce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příspěvková organizace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IČ: 61386839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Na Poříčí 1035/4, 110 00 Praha 1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národní agentura </w:t>
      </w:r>
      <w:r>
        <w:rPr>
          <w:color w:val="auto"/>
          <w:sz w:val="23"/>
          <w:szCs w:val="23"/>
        </w:rPr>
        <w:t xml:space="preserve">(dále jen „NA“), zastoupená pro účely podpisu této smlouvy ředitelkou </w:t>
      </w:r>
      <w:r>
        <w:rPr>
          <w:b/>
          <w:bCs/>
          <w:color w:val="auto"/>
          <w:sz w:val="23"/>
          <w:szCs w:val="23"/>
        </w:rPr>
        <w:t xml:space="preserve">Ing. Danou Petrovou </w:t>
      </w:r>
      <w:r>
        <w:rPr>
          <w:color w:val="auto"/>
          <w:sz w:val="23"/>
          <w:szCs w:val="23"/>
        </w:rPr>
        <w:t xml:space="preserve">a působící z pověření Evropské komise, dále jen „Komise“ </w:t>
      </w:r>
    </w:p>
    <w:p w:rsidR="00E158F6" w:rsidRDefault="00E158F6" w:rsidP="008618BE">
      <w:pPr>
        <w:pStyle w:val="Default"/>
        <w:jc w:val="both"/>
        <w:rPr>
          <w:color w:val="auto"/>
          <w:sz w:val="23"/>
          <w:szCs w:val="23"/>
        </w:rPr>
      </w:pPr>
    </w:p>
    <w:p w:rsidR="008618BE" w:rsidRDefault="008618BE" w:rsidP="008618BE">
      <w:pPr>
        <w:pStyle w:val="Default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a </w:t>
      </w:r>
    </w:p>
    <w:p w:rsidR="00E158F6" w:rsidRDefault="00E158F6" w:rsidP="008618BE">
      <w:pPr>
        <w:pStyle w:val="Default"/>
        <w:jc w:val="both"/>
        <w:rPr>
          <w:color w:val="auto"/>
          <w:sz w:val="23"/>
          <w:szCs w:val="23"/>
        </w:rPr>
      </w:pP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na straně druhé,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„příjemce“ </w:t>
      </w:r>
    </w:p>
    <w:p w:rsidR="00E158F6" w:rsidRDefault="00E158F6" w:rsidP="008618BE">
      <w:pPr>
        <w:pStyle w:val="Default"/>
        <w:jc w:val="both"/>
        <w:rPr>
          <w:color w:val="auto"/>
          <w:sz w:val="23"/>
          <w:szCs w:val="23"/>
        </w:rPr>
      </w:pP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Střední odborná škola energetická a stavební, Obchodní akademie a Střední zdravotnická škola, Chomutov, příspěvková organizace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IČ: 41324641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Na </w:t>
      </w:r>
      <w:proofErr w:type="spellStart"/>
      <w:r>
        <w:rPr>
          <w:b/>
          <w:bCs/>
          <w:color w:val="auto"/>
          <w:sz w:val="23"/>
          <w:szCs w:val="23"/>
        </w:rPr>
        <w:t>Průhoně</w:t>
      </w:r>
      <w:proofErr w:type="spellEnd"/>
      <w:r>
        <w:rPr>
          <w:b/>
          <w:bCs/>
          <w:color w:val="auto"/>
          <w:sz w:val="23"/>
          <w:szCs w:val="23"/>
        </w:rPr>
        <w:t xml:space="preserve"> 4800, 43011 Chomutov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PIC - identifikační číslo účastníka: 943986735 </w:t>
      </w:r>
    </w:p>
    <w:p w:rsidR="008618BE" w:rsidRDefault="008618BE" w:rsidP="008618BE">
      <w:pPr>
        <w:pStyle w:val="Default"/>
        <w:jc w:val="both"/>
        <w:rPr>
          <w:color w:val="auto"/>
          <w:sz w:val="18"/>
          <w:szCs w:val="18"/>
        </w:rPr>
      </w:pPr>
      <w:r>
        <w:rPr>
          <w:color w:val="auto"/>
          <w:sz w:val="23"/>
          <w:szCs w:val="23"/>
        </w:rPr>
        <w:t xml:space="preserve">zastoupený pro účely podpisu této smlouvy: </w:t>
      </w:r>
      <w:r>
        <w:rPr>
          <w:b/>
          <w:bCs/>
          <w:color w:val="auto"/>
          <w:sz w:val="23"/>
          <w:szCs w:val="23"/>
        </w:rPr>
        <w:t xml:space="preserve">Mgr. Jan Mareš, MBA, ředitel školy </w:t>
      </w:r>
      <w:r>
        <w:rPr>
          <w:color w:val="auto"/>
          <w:sz w:val="18"/>
          <w:szCs w:val="18"/>
        </w:rPr>
        <w:t>Číslo smlouvy: 2017-1-CZ01-KA101-034845 Grantová smlouva (</w:t>
      </w:r>
      <w:r>
        <w:rPr>
          <w:b/>
          <w:bCs/>
          <w:color w:val="auto"/>
          <w:sz w:val="18"/>
          <w:szCs w:val="18"/>
        </w:rPr>
        <w:t>jeden příjemce</w:t>
      </w:r>
      <w:r>
        <w:rPr>
          <w:color w:val="auto"/>
          <w:sz w:val="18"/>
          <w:szCs w:val="18"/>
        </w:rPr>
        <w:t xml:space="preserve">) </w:t>
      </w:r>
    </w:p>
    <w:p w:rsidR="008618BE" w:rsidRDefault="008618BE" w:rsidP="008618BE">
      <w:pPr>
        <w:pStyle w:val="Default"/>
        <w:jc w:val="both"/>
        <w:rPr>
          <w:color w:val="auto"/>
        </w:rPr>
      </w:pPr>
    </w:p>
    <w:p w:rsidR="008618BE" w:rsidRDefault="008618BE" w:rsidP="008618BE">
      <w:pPr>
        <w:pStyle w:val="Default"/>
        <w:pageBreakBefore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Výše uvedené strany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SJEDNALY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Zvláštní podmínky (dále jen „zvláštní podmínky“) a následující přílohy: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Příloha I Všeobecné podmínky (dále jen „všeobecné podmínky“) – ke stažení na webu http://ec.europa.eu/programmes/erasmus-plus v sekci „</w:t>
      </w:r>
      <w:proofErr w:type="spellStart"/>
      <w:r>
        <w:rPr>
          <w:color w:val="auto"/>
          <w:sz w:val="23"/>
          <w:szCs w:val="23"/>
        </w:rPr>
        <w:t>Resources</w:t>
      </w:r>
      <w:proofErr w:type="spellEnd"/>
      <w:r>
        <w:rPr>
          <w:color w:val="auto"/>
          <w:sz w:val="23"/>
          <w:szCs w:val="23"/>
        </w:rPr>
        <w:t xml:space="preserve">“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Příloha II Popis projektu; Souhrnný rozpočet projektu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Příloha III Finanční a smluvní pravidla – ke stažení na webu www.naerasmusplus.cz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Příloha IV Platné sazby pro příspěvky na jednotkové náklady – ke stažení na webu www.naerasmusplus.cz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Příloha V Vzory následujících smluvních dokumentů mezi příjemcem a účastníky mobilit – ke stažení na webu www.naerasmusplus.cz: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Účastnická smlouva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Dohoda o mobilitě pracovníků ve školním vzdělávání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Závazek kvality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které tvoří nedílnou součást této smlouvy.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Ustanovení zvláštních podmínek této smlouvy mají přednost před jejími přílohami.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Ustanovení přílohy I „Všeobecné podmínky“ mají přednost před ostatními přílohami. Ustanovení přílohy III mají přednost před ostatními přílohami, vyjma přílohy I. </w:t>
      </w:r>
    </w:p>
    <w:p w:rsidR="008618BE" w:rsidRPr="00E158F6" w:rsidRDefault="008618BE" w:rsidP="008618BE">
      <w:pPr>
        <w:pStyle w:val="Default"/>
        <w:jc w:val="both"/>
        <w:rPr>
          <w:color w:val="auto"/>
          <w:sz w:val="18"/>
          <w:szCs w:val="18"/>
        </w:rPr>
      </w:pPr>
      <w:r>
        <w:rPr>
          <w:color w:val="auto"/>
          <w:sz w:val="23"/>
          <w:szCs w:val="23"/>
        </w:rPr>
        <w:t xml:space="preserve">V rámci Přílohy II má část Podrobnosti o rozpočtu přednost před částí Podrobnosti o aktivitách. </w:t>
      </w:r>
      <w:r>
        <w:rPr>
          <w:color w:val="auto"/>
          <w:sz w:val="18"/>
          <w:szCs w:val="18"/>
        </w:rPr>
        <w:t>Číslo smlouvy: 2017-1-CZ01-KA101-034845 Grantová smlouva (</w:t>
      </w:r>
      <w:r>
        <w:rPr>
          <w:b/>
          <w:bCs/>
          <w:color w:val="auto"/>
          <w:sz w:val="18"/>
          <w:szCs w:val="18"/>
        </w:rPr>
        <w:t>jeden příjemce</w:t>
      </w:r>
      <w:r w:rsidR="00E158F6">
        <w:rPr>
          <w:color w:val="auto"/>
          <w:sz w:val="18"/>
          <w:szCs w:val="18"/>
        </w:rPr>
        <w:t xml:space="preserve">) </w:t>
      </w:r>
      <w:r>
        <w:rPr>
          <w:color w:val="auto"/>
          <w:sz w:val="23"/>
          <w:szCs w:val="23"/>
        </w:rPr>
        <w:t xml:space="preserve"> </w:t>
      </w:r>
    </w:p>
    <w:p w:rsidR="008618BE" w:rsidRDefault="008618BE" w:rsidP="008618BE">
      <w:pPr>
        <w:pStyle w:val="Default"/>
        <w:jc w:val="both"/>
        <w:rPr>
          <w:color w:val="auto"/>
        </w:rPr>
      </w:pPr>
    </w:p>
    <w:p w:rsidR="008618BE" w:rsidRDefault="008618BE" w:rsidP="008618BE">
      <w:pPr>
        <w:pStyle w:val="Default"/>
        <w:pageBreakBefore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ZVLÁŠTNÍ PODMÍNKY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OBSAH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Obsah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ČLÁNEK I.1 – PŘEDMĚT</w:t>
      </w:r>
      <w:proofErr w:type="gramEnd"/>
      <w:r>
        <w:rPr>
          <w:color w:val="auto"/>
          <w:sz w:val="23"/>
          <w:szCs w:val="23"/>
        </w:rPr>
        <w:t xml:space="preserve"> SMLOUVY................................................................................... 4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ČLÁNEK I.2 – PLATNOST</w:t>
      </w:r>
      <w:proofErr w:type="gramEnd"/>
      <w:r>
        <w:rPr>
          <w:color w:val="auto"/>
          <w:sz w:val="23"/>
          <w:szCs w:val="23"/>
        </w:rPr>
        <w:t xml:space="preserve"> A TRVÁNÍ SMLOUVY ............................................................. 4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ČLÁNEK I.3 – MAXIMÁLNÍ</w:t>
      </w:r>
      <w:proofErr w:type="gramEnd"/>
      <w:r>
        <w:rPr>
          <w:color w:val="auto"/>
          <w:sz w:val="23"/>
          <w:szCs w:val="23"/>
        </w:rPr>
        <w:t xml:space="preserve"> VÝŠE GRANTU A FORMA GRANTU ................................ 4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ČLÁNEK I.4 – PŘEDKLÁDÁNÍ</w:t>
      </w:r>
      <w:proofErr w:type="gramEnd"/>
      <w:r>
        <w:rPr>
          <w:color w:val="auto"/>
          <w:sz w:val="23"/>
          <w:szCs w:val="23"/>
        </w:rPr>
        <w:t xml:space="preserve"> ZPRÁV A PLATEBNÍ PODMÍNKY ................................. 5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ČLÁNEK I.5 – BANKOVNÍ</w:t>
      </w:r>
      <w:proofErr w:type="gramEnd"/>
      <w:r>
        <w:rPr>
          <w:color w:val="auto"/>
          <w:sz w:val="23"/>
          <w:szCs w:val="23"/>
        </w:rPr>
        <w:t xml:space="preserve"> ÚČET PRO PLATBY ................................................................ 8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ČLÁNEK I.6 – SPRÁVCE</w:t>
      </w:r>
      <w:proofErr w:type="gramEnd"/>
      <w:r>
        <w:rPr>
          <w:color w:val="auto"/>
          <w:sz w:val="23"/>
          <w:szCs w:val="23"/>
        </w:rPr>
        <w:t xml:space="preserve"> ÚDAJŮ A KONTAKTNÍ ÚDAJE SMLUVNÍCH STRAN ......... 8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ČLÁNEK I.7 – OCHRANA</w:t>
      </w:r>
      <w:proofErr w:type="gramEnd"/>
      <w:r>
        <w:rPr>
          <w:color w:val="auto"/>
          <w:sz w:val="23"/>
          <w:szCs w:val="23"/>
        </w:rPr>
        <w:t xml:space="preserve"> A BEZPEČNOST ÚČASTNÍKŮ ................................................ 8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ČLÁNEK I.8 – DALŠÍ</w:t>
      </w:r>
      <w:proofErr w:type="gramEnd"/>
      <w:r>
        <w:rPr>
          <w:color w:val="auto"/>
          <w:sz w:val="23"/>
          <w:szCs w:val="23"/>
        </w:rPr>
        <w:t xml:space="preserve"> USTANOVENÍ O VYUŽITÍ VÝSLEDKŮ (VČETNĚ DUŠEVNÍHO A PRŮMYSLOVÉHO VLASTNICTVÍ) .................................................................................. 9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ČLÁNEK I.9 – VYUŽÍVÁNÍ</w:t>
      </w:r>
      <w:proofErr w:type="gramEnd"/>
      <w:r>
        <w:rPr>
          <w:color w:val="auto"/>
          <w:sz w:val="23"/>
          <w:szCs w:val="23"/>
        </w:rPr>
        <w:t xml:space="preserve"> IT NÁSTROJŮ ......................................................................... 9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ČLÁNEK I.10</w:t>
      </w:r>
      <w:proofErr w:type="gramEnd"/>
      <w:r>
        <w:rPr>
          <w:color w:val="auto"/>
          <w:sz w:val="23"/>
          <w:szCs w:val="23"/>
        </w:rPr>
        <w:t xml:space="preserve"> – DODATEČNÁ USTANOVENÍ O SUBDODÁVKÁCH .............................. 9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ČLÁNEK I.11</w:t>
      </w:r>
      <w:proofErr w:type="gramEnd"/>
      <w:r>
        <w:rPr>
          <w:color w:val="auto"/>
          <w:sz w:val="23"/>
          <w:szCs w:val="23"/>
        </w:rPr>
        <w:t xml:space="preserve"> – DODATEČNÁ USTANOVENÍ O VIDITELNOSTI FINANCOVÁNÍ EVROPSKOU UNIÍ ................................................................................................................ 10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ČLÁNEK I.12</w:t>
      </w:r>
      <w:proofErr w:type="gramEnd"/>
      <w:r>
        <w:rPr>
          <w:color w:val="auto"/>
          <w:sz w:val="23"/>
          <w:szCs w:val="23"/>
        </w:rPr>
        <w:t xml:space="preserve"> - PODPORA ÚČASTNÍKŮ ............................................................................ 10 </w:t>
      </w:r>
    </w:p>
    <w:p w:rsidR="008618BE" w:rsidRDefault="008618BE" w:rsidP="008618BE">
      <w:pPr>
        <w:pStyle w:val="Default"/>
        <w:jc w:val="both"/>
        <w:rPr>
          <w:color w:val="auto"/>
          <w:sz w:val="18"/>
          <w:szCs w:val="18"/>
        </w:rPr>
      </w:pPr>
      <w:proofErr w:type="gramStart"/>
      <w:r>
        <w:rPr>
          <w:color w:val="auto"/>
          <w:sz w:val="23"/>
          <w:szCs w:val="23"/>
        </w:rPr>
        <w:t>ČLÁNEK I.13</w:t>
      </w:r>
      <w:proofErr w:type="gramEnd"/>
      <w:r>
        <w:rPr>
          <w:color w:val="auto"/>
          <w:sz w:val="23"/>
          <w:szCs w:val="23"/>
        </w:rPr>
        <w:t xml:space="preserve"> – SPECIFICKÉ ODCHYLKY OD PŘÍLOHY I - VŠEOBECNÉ PODMÍNKY....................................................................................................................</w:t>
      </w:r>
      <w:r w:rsidR="00E158F6">
        <w:rPr>
          <w:color w:val="auto"/>
          <w:sz w:val="23"/>
          <w:szCs w:val="23"/>
        </w:rPr>
        <w:t xml:space="preserve">.............................. </w:t>
      </w:r>
      <w:r>
        <w:rPr>
          <w:color w:val="auto"/>
          <w:sz w:val="23"/>
          <w:szCs w:val="23"/>
        </w:rPr>
        <w:t xml:space="preserve"> </w:t>
      </w:r>
      <w:r>
        <w:rPr>
          <w:color w:val="auto"/>
          <w:sz w:val="18"/>
          <w:szCs w:val="18"/>
        </w:rPr>
        <w:t>Číslo smlouvy: 2017-1-CZ01-KA101-034845 Grantová smlouva (</w:t>
      </w:r>
      <w:r>
        <w:rPr>
          <w:b/>
          <w:bCs/>
          <w:color w:val="auto"/>
          <w:sz w:val="18"/>
          <w:szCs w:val="18"/>
        </w:rPr>
        <w:t>jeden příjemce</w:t>
      </w:r>
      <w:r>
        <w:rPr>
          <w:color w:val="auto"/>
          <w:sz w:val="18"/>
          <w:szCs w:val="18"/>
        </w:rPr>
        <w:t xml:space="preserve">)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 </w:t>
      </w:r>
    </w:p>
    <w:p w:rsidR="008618BE" w:rsidRDefault="008618BE" w:rsidP="008618BE">
      <w:pPr>
        <w:pStyle w:val="Default"/>
        <w:jc w:val="both"/>
        <w:rPr>
          <w:color w:val="auto"/>
        </w:rPr>
      </w:pPr>
    </w:p>
    <w:p w:rsidR="008618BE" w:rsidRDefault="008618BE" w:rsidP="008618BE">
      <w:pPr>
        <w:pStyle w:val="Default"/>
        <w:pageBreakBefore/>
        <w:jc w:val="both"/>
        <w:rPr>
          <w:color w:val="auto"/>
          <w:sz w:val="23"/>
          <w:szCs w:val="23"/>
        </w:rPr>
      </w:pPr>
      <w:proofErr w:type="gramStart"/>
      <w:r>
        <w:rPr>
          <w:b/>
          <w:bCs/>
          <w:color w:val="auto"/>
          <w:sz w:val="23"/>
          <w:szCs w:val="23"/>
        </w:rPr>
        <w:lastRenderedPageBreak/>
        <w:t>ČLÁNEK I.1 – PŘEDMĚT</w:t>
      </w:r>
      <w:proofErr w:type="gramEnd"/>
      <w:r>
        <w:rPr>
          <w:b/>
          <w:bCs/>
          <w:color w:val="auto"/>
          <w:sz w:val="23"/>
          <w:szCs w:val="23"/>
        </w:rPr>
        <w:t xml:space="preserve"> SMLOUVY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proofErr w:type="gramStart"/>
      <w:r>
        <w:rPr>
          <w:b/>
          <w:bCs/>
          <w:color w:val="auto"/>
          <w:sz w:val="23"/>
          <w:szCs w:val="23"/>
        </w:rPr>
        <w:t>I.1.1</w:t>
      </w:r>
      <w:proofErr w:type="gramEnd"/>
      <w:r>
        <w:rPr>
          <w:b/>
          <w:bCs/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Národní agentura se za podmínek stanovených ve zvláštních podmínkách, všeobecných podmínkách a ostatních přílohách smlouvy rozhodla udělit grant na projekt s názvem </w:t>
      </w:r>
      <w:r>
        <w:rPr>
          <w:b/>
          <w:bCs/>
          <w:color w:val="auto"/>
          <w:sz w:val="23"/>
          <w:szCs w:val="23"/>
        </w:rPr>
        <w:t xml:space="preserve">Zvýšení jazykových kompetencí pracovníků ESOZ </w:t>
      </w:r>
      <w:r>
        <w:rPr>
          <w:color w:val="auto"/>
          <w:sz w:val="23"/>
          <w:szCs w:val="23"/>
        </w:rPr>
        <w:t xml:space="preserve">(dále jen „projekt“) v rámci programu Erasmus+ Klíčová akce 1: Vzdělávací mobilita jednotlivců, jak je uvedeno v příloze II.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proofErr w:type="gramStart"/>
      <w:r>
        <w:rPr>
          <w:b/>
          <w:bCs/>
          <w:color w:val="auto"/>
          <w:sz w:val="23"/>
          <w:szCs w:val="23"/>
        </w:rPr>
        <w:t>I.1.2</w:t>
      </w:r>
      <w:proofErr w:type="gramEnd"/>
      <w:r>
        <w:rPr>
          <w:b/>
          <w:bCs/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Podpisem této smlouvy příjemce přijímá grant a souhlasí s tím, že bude realizovat projekt, a to na vlastní odpovědnost.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proofErr w:type="gramStart"/>
      <w:r>
        <w:rPr>
          <w:b/>
          <w:bCs/>
          <w:color w:val="auto"/>
          <w:sz w:val="23"/>
          <w:szCs w:val="23"/>
        </w:rPr>
        <w:t>ČLÁNEK I.2 – PLATNOST</w:t>
      </w:r>
      <w:proofErr w:type="gramEnd"/>
      <w:r>
        <w:rPr>
          <w:b/>
          <w:bCs/>
          <w:color w:val="auto"/>
          <w:sz w:val="23"/>
          <w:szCs w:val="23"/>
        </w:rPr>
        <w:t xml:space="preserve"> A TRVÁNÍ SMLOUVY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proofErr w:type="gramStart"/>
      <w:r>
        <w:rPr>
          <w:b/>
          <w:bCs/>
          <w:color w:val="auto"/>
          <w:sz w:val="23"/>
          <w:szCs w:val="23"/>
        </w:rPr>
        <w:t>I.2.1</w:t>
      </w:r>
      <w:proofErr w:type="gramEnd"/>
      <w:r>
        <w:rPr>
          <w:b/>
          <w:bCs/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Smlouva vstupuje v platnost dnem jejího podpisu poslední smluvní stranou.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proofErr w:type="gramStart"/>
      <w:r>
        <w:rPr>
          <w:b/>
          <w:bCs/>
          <w:color w:val="auto"/>
          <w:sz w:val="23"/>
          <w:szCs w:val="23"/>
        </w:rPr>
        <w:t>I.2.2</w:t>
      </w:r>
      <w:proofErr w:type="gramEnd"/>
      <w:r>
        <w:rPr>
          <w:b/>
          <w:bCs/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Projekt bude realizován po dobu </w:t>
      </w:r>
      <w:r>
        <w:rPr>
          <w:b/>
          <w:bCs/>
          <w:color w:val="auto"/>
          <w:sz w:val="23"/>
          <w:szCs w:val="23"/>
        </w:rPr>
        <w:t xml:space="preserve">16 měsíců </w:t>
      </w:r>
      <w:r>
        <w:rPr>
          <w:color w:val="auto"/>
          <w:sz w:val="23"/>
          <w:szCs w:val="23"/>
        </w:rPr>
        <w:t xml:space="preserve">od </w:t>
      </w:r>
      <w:r>
        <w:rPr>
          <w:b/>
          <w:bCs/>
          <w:color w:val="auto"/>
          <w:sz w:val="23"/>
          <w:szCs w:val="23"/>
        </w:rPr>
        <w:t xml:space="preserve">01.06.2017 </w:t>
      </w:r>
      <w:r>
        <w:rPr>
          <w:color w:val="auto"/>
          <w:sz w:val="23"/>
          <w:szCs w:val="23"/>
        </w:rPr>
        <w:t xml:space="preserve">do </w:t>
      </w:r>
      <w:r>
        <w:rPr>
          <w:b/>
          <w:bCs/>
          <w:color w:val="auto"/>
          <w:sz w:val="23"/>
          <w:szCs w:val="23"/>
        </w:rPr>
        <w:t>30.09.2018</w:t>
      </w:r>
      <w:r>
        <w:rPr>
          <w:color w:val="auto"/>
          <w:sz w:val="23"/>
          <w:szCs w:val="23"/>
        </w:rPr>
        <w:t xml:space="preserve">, a to včetně těchto dnů.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proofErr w:type="gramStart"/>
      <w:r>
        <w:rPr>
          <w:b/>
          <w:bCs/>
          <w:color w:val="auto"/>
          <w:sz w:val="23"/>
          <w:szCs w:val="23"/>
        </w:rPr>
        <w:t>ČLÁNEK I.3 – MAXIMÁLNÍ</w:t>
      </w:r>
      <w:proofErr w:type="gramEnd"/>
      <w:r>
        <w:rPr>
          <w:b/>
          <w:bCs/>
          <w:color w:val="auto"/>
          <w:sz w:val="23"/>
          <w:szCs w:val="23"/>
        </w:rPr>
        <w:t xml:space="preserve"> VÝŠE GRANTU A FORMA GRANTU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proofErr w:type="gramStart"/>
      <w:r>
        <w:rPr>
          <w:b/>
          <w:bCs/>
          <w:color w:val="auto"/>
          <w:sz w:val="23"/>
          <w:szCs w:val="23"/>
        </w:rPr>
        <w:t>I.3.1</w:t>
      </w:r>
      <w:proofErr w:type="gramEnd"/>
      <w:r>
        <w:rPr>
          <w:b/>
          <w:bCs/>
          <w:color w:val="auto"/>
          <w:sz w:val="23"/>
          <w:szCs w:val="23"/>
        </w:rPr>
        <w:t xml:space="preserve"> Maximální výše přiděleného grantu činí 16 030,00 EUR.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proofErr w:type="gramStart"/>
      <w:r>
        <w:rPr>
          <w:b/>
          <w:bCs/>
          <w:color w:val="auto"/>
          <w:sz w:val="23"/>
          <w:szCs w:val="23"/>
        </w:rPr>
        <w:t>I.3.2</w:t>
      </w:r>
      <w:proofErr w:type="gramEnd"/>
      <w:r>
        <w:rPr>
          <w:b/>
          <w:bCs/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Grant bude poskytnut formou jednotkových příspěvků a náhrad způsobilých skutečně vynaložených nákladů, a to v souladu s těmito ustanoveními: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(a) způsobilé náklady specifikované v příloze III;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(b) přidělený rozpočet specifikovaný v příloze II;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(c) finanční pravidla specifikovaná v příloze III.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proofErr w:type="gramStart"/>
      <w:r>
        <w:rPr>
          <w:b/>
          <w:bCs/>
          <w:color w:val="auto"/>
          <w:sz w:val="23"/>
          <w:szCs w:val="23"/>
        </w:rPr>
        <w:t>I.3.3</w:t>
      </w:r>
      <w:proofErr w:type="gramEnd"/>
      <w:r>
        <w:rPr>
          <w:b/>
          <w:bCs/>
          <w:color w:val="auto"/>
          <w:sz w:val="23"/>
          <w:szCs w:val="23"/>
        </w:rPr>
        <w:t xml:space="preserve"> Převody v rámci rozpočtu bez povinnosti uzavřít dodatek ke smlouvě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Za podmínky, že nebude dotčen článek </w:t>
      </w:r>
      <w:proofErr w:type="gramStart"/>
      <w:r>
        <w:rPr>
          <w:color w:val="auto"/>
          <w:sz w:val="23"/>
          <w:szCs w:val="23"/>
        </w:rPr>
        <w:t>II.13</w:t>
      </w:r>
      <w:proofErr w:type="gramEnd"/>
      <w:r>
        <w:rPr>
          <w:color w:val="auto"/>
          <w:sz w:val="23"/>
          <w:szCs w:val="23"/>
        </w:rPr>
        <w:t xml:space="preserve">, maximální výše grantu v každé z rozpočtových kategorií uvedených v Příloze IV a že projekt bude realizován tak, jak je popsáno v příloze II, je příjemci grantu povoleno provádět úpravy v přiděleném rozpočtu stanoveném v příloze II, a to prostřednictvím převodů mezi jednotlivými rozpočtovými kategoriemi. Tyto změny nebudou považovány za změnu smlouvy ve smyslu článku </w:t>
      </w:r>
      <w:proofErr w:type="gramStart"/>
      <w:r>
        <w:rPr>
          <w:color w:val="auto"/>
          <w:sz w:val="23"/>
          <w:szCs w:val="23"/>
        </w:rPr>
        <w:t>II.13</w:t>
      </w:r>
      <w:proofErr w:type="gramEnd"/>
      <w:r>
        <w:rPr>
          <w:color w:val="auto"/>
          <w:sz w:val="23"/>
          <w:szCs w:val="23"/>
        </w:rPr>
        <w:t xml:space="preserve">, pokud budou dodržena tato pravidla: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(a) Příjemci grantu je povoleno až 100 % finančních prostředků přidělených do rozpočtové kategorie náklady na organizaci mobilit převést do rozpočtových kategorií cestovní náklady, pobytové náklady a kurzovné;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(b) příjemci grantu je povoleno převádět až 50% finančních prostředků přidělených do rozpočtové kategorie cestovní náklady, pobytové náklady a kurzovné mezi těmito třemi kategoriemi; </w:t>
      </w:r>
    </w:p>
    <w:p w:rsidR="008618BE" w:rsidRDefault="008618BE" w:rsidP="008618BE">
      <w:pPr>
        <w:pStyle w:val="Default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Číslo smlouvy: 2017-1-CZ01-KA101-034845 Grantová smlouva (</w:t>
      </w:r>
      <w:r>
        <w:rPr>
          <w:b/>
          <w:bCs/>
          <w:color w:val="auto"/>
          <w:sz w:val="18"/>
          <w:szCs w:val="18"/>
        </w:rPr>
        <w:t>jeden příjemce</w:t>
      </w:r>
      <w:r>
        <w:rPr>
          <w:color w:val="auto"/>
          <w:sz w:val="18"/>
          <w:szCs w:val="18"/>
        </w:rPr>
        <w:t xml:space="preserve">)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</w:p>
    <w:p w:rsidR="008618BE" w:rsidRDefault="008618BE" w:rsidP="008618BE">
      <w:pPr>
        <w:pStyle w:val="Default"/>
        <w:jc w:val="both"/>
        <w:rPr>
          <w:color w:val="auto"/>
        </w:rPr>
      </w:pPr>
    </w:p>
    <w:p w:rsidR="008618BE" w:rsidRDefault="008618BE" w:rsidP="008618BE">
      <w:pPr>
        <w:pStyle w:val="Default"/>
        <w:pageBreakBefore/>
        <w:jc w:val="both"/>
        <w:rPr>
          <w:color w:val="auto"/>
        </w:rPr>
      </w:pP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(c) příjemci grantu je povoleno převádět prostředky z jakékoli rozpočtové kategorie do rozpočtové kategorie náklady na účastníky se specifickými potřebami, a to i v případě, že do rozpočtové kategorie náklady na účastníky se specifickými potřebami podle přílohy II nebyly původně přiděleny žádné prostředky.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proofErr w:type="gramStart"/>
      <w:r>
        <w:rPr>
          <w:b/>
          <w:bCs/>
          <w:color w:val="auto"/>
          <w:sz w:val="23"/>
          <w:szCs w:val="23"/>
        </w:rPr>
        <w:t>ČLÁNEK I.4 – PŘEDKLÁDÁNÍ</w:t>
      </w:r>
      <w:proofErr w:type="gramEnd"/>
      <w:r>
        <w:rPr>
          <w:b/>
          <w:bCs/>
          <w:color w:val="auto"/>
          <w:sz w:val="23"/>
          <w:szCs w:val="23"/>
        </w:rPr>
        <w:t xml:space="preserve"> ZPRÁV A PLATEBNÍ PODMÍNKY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Pro předkládání zpráv a platby platí následující ustanovení: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proofErr w:type="gramStart"/>
      <w:r>
        <w:rPr>
          <w:b/>
          <w:bCs/>
          <w:color w:val="auto"/>
          <w:sz w:val="23"/>
          <w:szCs w:val="23"/>
        </w:rPr>
        <w:t>I.4.1</w:t>
      </w:r>
      <w:proofErr w:type="gramEnd"/>
      <w:r>
        <w:rPr>
          <w:b/>
          <w:bCs/>
          <w:color w:val="auto"/>
          <w:sz w:val="23"/>
          <w:szCs w:val="23"/>
        </w:rPr>
        <w:t xml:space="preserve"> Platby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NA musí</w:t>
      </w:r>
      <w:proofErr w:type="gramEnd"/>
      <w:r>
        <w:rPr>
          <w:color w:val="auto"/>
          <w:sz w:val="23"/>
          <w:szCs w:val="23"/>
        </w:rPr>
        <w:t xml:space="preserve"> příjemci poukázat následující platby: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první zálohu;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doplatek na základě žádosti o doplatek v souladu s </w:t>
      </w:r>
      <w:proofErr w:type="gramStart"/>
      <w:r>
        <w:rPr>
          <w:color w:val="auto"/>
          <w:sz w:val="23"/>
          <w:szCs w:val="23"/>
        </w:rPr>
        <w:t>článkem I.4.4</w:t>
      </w:r>
      <w:proofErr w:type="gramEnd"/>
      <w:r>
        <w:rPr>
          <w:color w:val="auto"/>
          <w:sz w:val="23"/>
          <w:szCs w:val="23"/>
        </w:rPr>
        <w:t xml:space="preserve">.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proofErr w:type="gramStart"/>
      <w:r>
        <w:rPr>
          <w:b/>
          <w:bCs/>
          <w:color w:val="auto"/>
          <w:sz w:val="23"/>
          <w:szCs w:val="23"/>
        </w:rPr>
        <w:t>I.4.2</w:t>
      </w:r>
      <w:proofErr w:type="gramEnd"/>
      <w:r>
        <w:rPr>
          <w:b/>
          <w:bCs/>
          <w:color w:val="auto"/>
          <w:sz w:val="23"/>
          <w:szCs w:val="23"/>
        </w:rPr>
        <w:t xml:space="preserve"> První záloha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Účelem zálohových plateb je poskytnout příjemci grantu počáteční finanční prostředky. Tyto prostředky zůstávají majetkem NA až do vyplacení doplatku.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NA vyplatí příjemci do 30 dnů po nabytí platnosti smlouvy první zálohu ve výši </w:t>
      </w:r>
      <w:r>
        <w:rPr>
          <w:b/>
          <w:bCs/>
          <w:color w:val="auto"/>
          <w:sz w:val="23"/>
          <w:szCs w:val="23"/>
        </w:rPr>
        <w:t xml:space="preserve">12824,00 </w:t>
      </w:r>
      <w:r>
        <w:rPr>
          <w:color w:val="auto"/>
          <w:sz w:val="23"/>
          <w:szCs w:val="23"/>
        </w:rPr>
        <w:t xml:space="preserve">EUR odpovídající 80 % maximální částky grantu stanovené v </w:t>
      </w:r>
      <w:proofErr w:type="gramStart"/>
      <w:r>
        <w:rPr>
          <w:color w:val="auto"/>
          <w:sz w:val="23"/>
          <w:szCs w:val="23"/>
        </w:rPr>
        <w:t>článku I.3.1</w:t>
      </w:r>
      <w:proofErr w:type="gramEnd"/>
      <w:r>
        <w:rPr>
          <w:color w:val="auto"/>
          <w:sz w:val="23"/>
          <w:szCs w:val="23"/>
        </w:rPr>
        <w:t xml:space="preserve">.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proofErr w:type="gramStart"/>
      <w:r>
        <w:rPr>
          <w:b/>
          <w:bCs/>
          <w:color w:val="auto"/>
          <w:sz w:val="23"/>
          <w:szCs w:val="23"/>
        </w:rPr>
        <w:t>I.4.3</w:t>
      </w:r>
      <w:proofErr w:type="gramEnd"/>
      <w:r>
        <w:rPr>
          <w:b/>
          <w:bCs/>
          <w:color w:val="auto"/>
          <w:sz w:val="23"/>
          <w:szCs w:val="23"/>
        </w:rPr>
        <w:t xml:space="preserve"> Průběžné zprávy a další zálohy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Netýká se.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proofErr w:type="gramStart"/>
      <w:r>
        <w:rPr>
          <w:b/>
          <w:bCs/>
          <w:color w:val="auto"/>
          <w:sz w:val="23"/>
          <w:szCs w:val="23"/>
        </w:rPr>
        <w:t>I.4.4</w:t>
      </w:r>
      <w:proofErr w:type="gramEnd"/>
      <w:r>
        <w:rPr>
          <w:b/>
          <w:bCs/>
          <w:color w:val="auto"/>
          <w:sz w:val="23"/>
          <w:szCs w:val="23"/>
        </w:rPr>
        <w:t xml:space="preserve"> Závěrečná zpráva a žádost o doplatek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Do 30 dnů od data ukončení projektu uvedeného v </w:t>
      </w:r>
      <w:proofErr w:type="gramStart"/>
      <w:r>
        <w:rPr>
          <w:color w:val="auto"/>
          <w:sz w:val="23"/>
          <w:szCs w:val="23"/>
        </w:rPr>
        <w:t>článku I.2.2</w:t>
      </w:r>
      <w:proofErr w:type="gramEnd"/>
      <w:r>
        <w:rPr>
          <w:color w:val="auto"/>
          <w:sz w:val="23"/>
          <w:szCs w:val="23"/>
        </w:rPr>
        <w:t xml:space="preserve"> musí příjemce předložit závěrečnou zprávu o realizaci projektu. Tato zpráva musí obsahovat informace potřebné pro odůvodnění požadovaného grantového příspěvku na základě jednotkových příspěvků, má-li grant formu náhrady jednotkových příspěvků nebo na základě náhrad způsobilých skutečně vynaložených nákladů v souladu s přílohou III.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Závěrečná zpráva je považována za žádost příjemce o vyplacení doplatku grantu. </w:t>
      </w:r>
    </w:p>
    <w:p w:rsidR="008618BE" w:rsidRDefault="008618BE" w:rsidP="008618BE">
      <w:pPr>
        <w:pStyle w:val="Default"/>
        <w:jc w:val="both"/>
        <w:rPr>
          <w:color w:val="auto"/>
          <w:sz w:val="18"/>
          <w:szCs w:val="18"/>
        </w:rPr>
      </w:pPr>
      <w:r>
        <w:rPr>
          <w:color w:val="auto"/>
          <w:sz w:val="23"/>
          <w:szCs w:val="23"/>
        </w:rPr>
        <w:t xml:space="preserve">Příjemce ručí za to, že informace uvedené v žádosti o doplatek jsou úplné, spolehlivé a pravdivé. Dále ručí za to, že vynaložené náklady lze považovat za způsobilé podle této smlouvy a že žádost o doplatek je podložena náležitými podklady, které mohou být posouzeny v rámci kontrol nebo auditů popsaných v článku </w:t>
      </w:r>
      <w:proofErr w:type="gramStart"/>
      <w:r>
        <w:rPr>
          <w:color w:val="auto"/>
          <w:sz w:val="23"/>
          <w:szCs w:val="23"/>
        </w:rPr>
        <w:t>II.27</w:t>
      </w:r>
      <w:proofErr w:type="gramEnd"/>
      <w:r>
        <w:rPr>
          <w:color w:val="auto"/>
          <w:sz w:val="23"/>
          <w:szCs w:val="23"/>
        </w:rPr>
        <w:t xml:space="preserve">. </w:t>
      </w:r>
      <w:r>
        <w:rPr>
          <w:color w:val="auto"/>
          <w:sz w:val="18"/>
          <w:szCs w:val="18"/>
        </w:rPr>
        <w:t>Číslo smlouvy: 2017-1-CZ01-KA101-034845 Grantová smlouva (</w:t>
      </w:r>
      <w:r>
        <w:rPr>
          <w:b/>
          <w:bCs/>
          <w:color w:val="auto"/>
          <w:sz w:val="18"/>
          <w:szCs w:val="18"/>
        </w:rPr>
        <w:t>jeden příjemce</w:t>
      </w:r>
      <w:r>
        <w:rPr>
          <w:color w:val="auto"/>
          <w:sz w:val="18"/>
          <w:szCs w:val="18"/>
        </w:rPr>
        <w:t xml:space="preserve">)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</w:p>
    <w:p w:rsidR="008618BE" w:rsidRDefault="008618BE" w:rsidP="008618BE">
      <w:pPr>
        <w:pStyle w:val="Default"/>
        <w:jc w:val="both"/>
        <w:rPr>
          <w:color w:val="auto"/>
        </w:rPr>
      </w:pPr>
    </w:p>
    <w:p w:rsidR="008618BE" w:rsidRDefault="008618BE" w:rsidP="008618BE">
      <w:pPr>
        <w:pStyle w:val="Default"/>
        <w:pageBreakBefore/>
        <w:jc w:val="both"/>
        <w:rPr>
          <w:color w:val="auto"/>
          <w:sz w:val="23"/>
          <w:szCs w:val="23"/>
        </w:rPr>
      </w:pPr>
      <w:proofErr w:type="gramStart"/>
      <w:r>
        <w:rPr>
          <w:b/>
          <w:bCs/>
          <w:color w:val="auto"/>
          <w:sz w:val="23"/>
          <w:szCs w:val="23"/>
        </w:rPr>
        <w:lastRenderedPageBreak/>
        <w:t>I.4.5</w:t>
      </w:r>
      <w:proofErr w:type="gramEnd"/>
      <w:r>
        <w:rPr>
          <w:b/>
          <w:bCs/>
          <w:color w:val="auto"/>
          <w:sz w:val="23"/>
          <w:szCs w:val="23"/>
        </w:rPr>
        <w:t xml:space="preserve"> Platba doplatku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Účelem jednorázové platby doplatku je uhradit zbývající část způsobilých nákladů vynaložených příjemcem grantu na realizaci projektu.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NA stanoví výši doplatku odečtením celkové výše již poskytnutého předběžného financování od konečné celkové výše grantu v souladu s článkem </w:t>
      </w:r>
      <w:proofErr w:type="gramStart"/>
      <w:r>
        <w:rPr>
          <w:color w:val="auto"/>
          <w:sz w:val="23"/>
          <w:szCs w:val="23"/>
        </w:rPr>
        <w:t>II.25</w:t>
      </w:r>
      <w:proofErr w:type="gramEnd"/>
      <w:r>
        <w:rPr>
          <w:color w:val="auto"/>
          <w:sz w:val="23"/>
          <w:szCs w:val="23"/>
        </w:rPr>
        <w:t xml:space="preserve">.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Je-li celková výše dosud vyplacených záloh vyšší, než je konečná celková výše grantu stanovená v souladu s článkem </w:t>
      </w:r>
      <w:proofErr w:type="gramStart"/>
      <w:r>
        <w:rPr>
          <w:color w:val="auto"/>
          <w:sz w:val="23"/>
          <w:szCs w:val="23"/>
        </w:rPr>
        <w:t>II.25</w:t>
      </w:r>
      <w:proofErr w:type="gramEnd"/>
      <w:r>
        <w:rPr>
          <w:color w:val="auto"/>
          <w:sz w:val="23"/>
          <w:szCs w:val="23"/>
        </w:rPr>
        <w:t xml:space="preserve">, bude mít závěrečná platba formu vratky v souladu s článkem II.26.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Je-li celková výše dosud vyplacených záloh nižší, než je konečná celková výše grantu stanovená v souladu s článkem </w:t>
      </w:r>
      <w:proofErr w:type="gramStart"/>
      <w:r>
        <w:rPr>
          <w:color w:val="auto"/>
          <w:sz w:val="23"/>
          <w:szCs w:val="23"/>
        </w:rPr>
        <w:t>II.25</w:t>
      </w:r>
      <w:proofErr w:type="gramEnd"/>
      <w:r>
        <w:rPr>
          <w:color w:val="auto"/>
          <w:sz w:val="23"/>
          <w:szCs w:val="23"/>
        </w:rPr>
        <w:t xml:space="preserve">, vyplatí NA doplatek do 60 kalendářních dnů od okamžiku, kdy obdrží podklady v souladu s článkem I.4.4, pokud články II.24.1 nebo II.24.2 nestanoví jinak.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Platba podléhá schválení žádosti o vyplacení doplatku a podpůrných podkladů. Schválení závěrečné zprávy neznamená uznání řádnosti nebo hodnověrnosti, úplnosti a správnosti prohlášení a informací v ní obsažených.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Doplatek může být bez souhlasu příjemce snížen o jakoukoli částku, kterou příjemce dluží NA, a to až do maximální výše grantu.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proofErr w:type="gramStart"/>
      <w:r>
        <w:rPr>
          <w:b/>
          <w:bCs/>
          <w:color w:val="auto"/>
          <w:sz w:val="23"/>
          <w:szCs w:val="23"/>
        </w:rPr>
        <w:t>I.4.6</w:t>
      </w:r>
      <w:proofErr w:type="gramEnd"/>
      <w:r>
        <w:rPr>
          <w:b/>
          <w:bCs/>
          <w:color w:val="auto"/>
          <w:sz w:val="23"/>
          <w:szCs w:val="23"/>
        </w:rPr>
        <w:t xml:space="preserve"> Oznámení o výši plateb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NA příjemci zašle </w:t>
      </w:r>
      <w:r>
        <w:rPr>
          <w:i/>
          <w:iCs/>
          <w:color w:val="auto"/>
          <w:sz w:val="23"/>
          <w:szCs w:val="23"/>
        </w:rPr>
        <w:t>formální oznámení</w:t>
      </w:r>
      <w:r>
        <w:rPr>
          <w:color w:val="auto"/>
          <w:sz w:val="23"/>
          <w:szCs w:val="23"/>
        </w:rPr>
        <w:t xml:space="preserve">: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(a) informující o výši platby,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(b) a specifikaci, zda se oznámení týká další zálohy nebo vyplacení doplatku.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Pro vyplacení doplatku musí NA rovněž určit konečnou celkovou výši grantu v souladu s článkem </w:t>
      </w:r>
      <w:proofErr w:type="gramStart"/>
      <w:r>
        <w:rPr>
          <w:color w:val="auto"/>
          <w:sz w:val="23"/>
          <w:szCs w:val="23"/>
        </w:rPr>
        <w:t>II.25</w:t>
      </w:r>
      <w:proofErr w:type="gramEnd"/>
      <w:r>
        <w:rPr>
          <w:color w:val="auto"/>
          <w:sz w:val="23"/>
          <w:szCs w:val="23"/>
        </w:rPr>
        <w:t xml:space="preserve">.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proofErr w:type="gramStart"/>
      <w:r>
        <w:rPr>
          <w:b/>
          <w:bCs/>
          <w:color w:val="auto"/>
          <w:sz w:val="23"/>
          <w:szCs w:val="23"/>
        </w:rPr>
        <w:t>I.4.7</w:t>
      </w:r>
      <w:proofErr w:type="gramEnd"/>
      <w:r>
        <w:rPr>
          <w:b/>
          <w:bCs/>
          <w:color w:val="auto"/>
          <w:sz w:val="23"/>
          <w:szCs w:val="23"/>
        </w:rPr>
        <w:t xml:space="preserve"> Platby NA příjemci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NA vyplatí</w:t>
      </w:r>
      <w:proofErr w:type="gramEnd"/>
      <w:r>
        <w:rPr>
          <w:color w:val="auto"/>
          <w:sz w:val="23"/>
          <w:szCs w:val="23"/>
        </w:rPr>
        <w:t xml:space="preserve"> finanční částky příjemci.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Platby příjemci odečte </w:t>
      </w:r>
      <w:proofErr w:type="gramStart"/>
      <w:r>
        <w:rPr>
          <w:color w:val="auto"/>
          <w:sz w:val="23"/>
          <w:szCs w:val="23"/>
        </w:rPr>
        <w:t>NA</w:t>
      </w:r>
      <w:proofErr w:type="gramEnd"/>
      <w:r>
        <w:rPr>
          <w:color w:val="auto"/>
          <w:sz w:val="23"/>
          <w:szCs w:val="23"/>
        </w:rPr>
        <w:t xml:space="preserve"> od svých platebních závazků.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proofErr w:type="gramStart"/>
      <w:r>
        <w:rPr>
          <w:b/>
          <w:bCs/>
          <w:color w:val="auto"/>
          <w:sz w:val="23"/>
          <w:szCs w:val="23"/>
        </w:rPr>
        <w:t>I.4.8</w:t>
      </w:r>
      <w:proofErr w:type="gramEnd"/>
      <w:r>
        <w:rPr>
          <w:b/>
          <w:bCs/>
          <w:color w:val="auto"/>
          <w:sz w:val="23"/>
          <w:szCs w:val="23"/>
        </w:rPr>
        <w:t xml:space="preserve"> Jazyk žádostí o platby a zpráv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Veškeré žádosti o platby a zprávy předloží příjemce v českém jazyce.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proofErr w:type="gramStart"/>
      <w:r>
        <w:rPr>
          <w:b/>
          <w:bCs/>
          <w:color w:val="auto"/>
          <w:sz w:val="23"/>
          <w:szCs w:val="23"/>
        </w:rPr>
        <w:t>I.4.9</w:t>
      </w:r>
      <w:proofErr w:type="gramEnd"/>
      <w:r>
        <w:rPr>
          <w:b/>
          <w:bCs/>
          <w:color w:val="auto"/>
          <w:sz w:val="23"/>
          <w:szCs w:val="23"/>
        </w:rPr>
        <w:t xml:space="preserve"> Měna pro žádosti o platby a přepočet na eura </w:t>
      </w:r>
    </w:p>
    <w:p w:rsidR="008618BE" w:rsidRDefault="008618BE" w:rsidP="008618BE">
      <w:pPr>
        <w:pStyle w:val="Default"/>
        <w:jc w:val="both"/>
        <w:rPr>
          <w:color w:val="auto"/>
          <w:sz w:val="18"/>
          <w:szCs w:val="18"/>
        </w:rPr>
      </w:pPr>
      <w:r>
        <w:rPr>
          <w:color w:val="auto"/>
          <w:sz w:val="23"/>
          <w:szCs w:val="23"/>
        </w:rPr>
        <w:t xml:space="preserve">Žádost o platbu musí být předložena v </w:t>
      </w:r>
      <w:proofErr w:type="gramStart"/>
      <w:r>
        <w:rPr>
          <w:color w:val="auto"/>
          <w:sz w:val="23"/>
          <w:szCs w:val="23"/>
        </w:rPr>
        <w:t>EUR</w:t>
      </w:r>
      <w:proofErr w:type="gramEnd"/>
      <w:r>
        <w:rPr>
          <w:color w:val="auto"/>
          <w:sz w:val="23"/>
          <w:szCs w:val="23"/>
        </w:rPr>
        <w:t xml:space="preserve">. </w:t>
      </w:r>
      <w:r>
        <w:rPr>
          <w:color w:val="auto"/>
          <w:sz w:val="18"/>
          <w:szCs w:val="18"/>
        </w:rPr>
        <w:t>Číslo smlouvy: 2017-1-CZ01-KA101-034845 Grantová smlouva (</w:t>
      </w:r>
      <w:r>
        <w:rPr>
          <w:b/>
          <w:bCs/>
          <w:color w:val="auto"/>
          <w:sz w:val="18"/>
          <w:szCs w:val="18"/>
        </w:rPr>
        <w:t>jeden příjemce</w:t>
      </w:r>
      <w:r>
        <w:rPr>
          <w:color w:val="auto"/>
          <w:sz w:val="18"/>
          <w:szCs w:val="18"/>
        </w:rPr>
        <w:t xml:space="preserve">)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</w:p>
    <w:p w:rsidR="008618BE" w:rsidRDefault="008618BE" w:rsidP="008618BE">
      <w:pPr>
        <w:pStyle w:val="Default"/>
        <w:pageBreakBefore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>Veškeré přepočty nákladů (v rámci rozpočtových kategorií stanovených na základě skutečně vynaložených nákladů) vynaložených v jiné měně na euro provede příjemce grantu podle měsíčního účetního kurzu stanoveného Evropskou komisí a zveřejněného na jejích internetových stránkách</w:t>
      </w:r>
      <w:r>
        <w:rPr>
          <w:color w:val="auto"/>
          <w:sz w:val="16"/>
          <w:szCs w:val="16"/>
        </w:rPr>
        <w:t>2</w:t>
      </w:r>
      <w:r>
        <w:rPr>
          <w:color w:val="auto"/>
          <w:sz w:val="23"/>
          <w:szCs w:val="23"/>
        </w:rPr>
        <w:t xml:space="preserve">, který platil v den podpisu smlouvy poslední z obou smluvních stran. </w:t>
      </w:r>
    </w:p>
    <w:p w:rsidR="008618BE" w:rsidRDefault="008618BE" w:rsidP="008618BE">
      <w:pPr>
        <w:pStyle w:val="Default"/>
        <w:pageBreakBefore/>
        <w:jc w:val="both"/>
        <w:rPr>
          <w:color w:val="auto"/>
          <w:sz w:val="23"/>
          <w:szCs w:val="23"/>
        </w:rPr>
      </w:pPr>
      <w:r>
        <w:rPr>
          <w:sz w:val="13"/>
          <w:szCs w:val="13"/>
        </w:rPr>
        <w:lastRenderedPageBreak/>
        <w:t xml:space="preserve">2 </w:t>
      </w:r>
      <w:r>
        <w:rPr>
          <w:sz w:val="20"/>
          <w:szCs w:val="20"/>
        </w:rPr>
        <w:t xml:space="preserve">http://ec.europa.eu/budget/contracts_grants/info_contracts/inforeuro/inforeuro_en.cfm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proofErr w:type="gramStart"/>
      <w:r>
        <w:rPr>
          <w:b/>
          <w:bCs/>
          <w:color w:val="auto"/>
          <w:sz w:val="23"/>
          <w:szCs w:val="23"/>
        </w:rPr>
        <w:t>I.4.10</w:t>
      </w:r>
      <w:proofErr w:type="gramEnd"/>
      <w:r>
        <w:rPr>
          <w:b/>
          <w:bCs/>
          <w:color w:val="auto"/>
          <w:sz w:val="23"/>
          <w:szCs w:val="23"/>
        </w:rPr>
        <w:t xml:space="preserve"> Měna pro platby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NA provádí veškeré platby v </w:t>
      </w:r>
      <w:proofErr w:type="gramStart"/>
      <w:r>
        <w:rPr>
          <w:color w:val="auto"/>
          <w:sz w:val="23"/>
          <w:szCs w:val="23"/>
        </w:rPr>
        <w:t>EUR</w:t>
      </w:r>
      <w:proofErr w:type="gramEnd"/>
      <w:r>
        <w:rPr>
          <w:color w:val="auto"/>
          <w:sz w:val="23"/>
          <w:szCs w:val="23"/>
        </w:rPr>
        <w:t xml:space="preserve">.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proofErr w:type="gramStart"/>
      <w:r>
        <w:rPr>
          <w:b/>
          <w:bCs/>
          <w:color w:val="auto"/>
          <w:sz w:val="23"/>
          <w:szCs w:val="23"/>
        </w:rPr>
        <w:t>I.4.11</w:t>
      </w:r>
      <w:proofErr w:type="gramEnd"/>
      <w:r>
        <w:rPr>
          <w:b/>
          <w:bCs/>
          <w:color w:val="auto"/>
          <w:sz w:val="23"/>
          <w:szCs w:val="23"/>
        </w:rPr>
        <w:t xml:space="preserve"> Datum platby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Platby NA </w:t>
      </w:r>
      <w:proofErr w:type="gramStart"/>
      <w:r>
        <w:rPr>
          <w:color w:val="auto"/>
          <w:sz w:val="23"/>
          <w:szCs w:val="23"/>
        </w:rPr>
        <w:t>se</w:t>
      </w:r>
      <w:proofErr w:type="gramEnd"/>
      <w:r>
        <w:rPr>
          <w:color w:val="auto"/>
          <w:sz w:val="23"/>
          <w:szCs w:val="23"/>
        </w:rPr>
        <w:t xml:space="preserve"> považují za provedené ke dni, kdy byly odečteny z účtu NA, nestanoví-li vnitrostátní právní předpisy jinak.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proofErr w:type="gramStart"/>
      <w:r>
        <w:rPr>
          <w:b/>
          <w:bCs/>
          <w:color w:val="auto"/>
          <w:sz w:val="23"/>
          <w:szCs w:val="23"/>
        </w:rPr>
        <w:t>I.4.12</w:t>
      </w:r>
      <w:proofErr w:type="gramEnd"/>
      <w:r>
        <w:rPr>
          <w:b/>
          <w:bCs/>
          <w:color w:val="auto"/>
          <w:sz w:val="23"/>
          <w:szCs w:val="23"/>
        </w:rPr>
        <w:t xml:space="preserve"> Náklady spojené s převody plateb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Náklady spojené s převody plateb jsou hrazeny takto: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(a) </w:t>
      </w:r>
      <w:proofErr w:type="gramStart"/>
      <w:r>
        <w:rPr>
          <w:color w:val="auto"/>
          <w:sz w:val="23"/>
          <w:szCs w:val="23"/>
        </w:rPr>
        <w:t>NA hradí</w:t>
      </w:r>
      <w:proofErr w:type="gramEnd"/>
      <w:r>
        <w:rPr>
          <w:color w:val="auto"/>
          <w:sz w:val="23"/>
          <w:szCs w:val="23"/>
        </w:rPr>
        <w:t xml:space="preserve"> náklady spojené s převodem plateb účtované její bankou;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(b) příjemce hradí náklady spojené s převodem plateb účtované jeho bankou;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(c) veškeré náklady spojené s opakovanými převody plateb zaviněné některou ze smluvních stran, nese smluvní strana, která opakování převodu zavinila.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proofErr w:type="gramStart"/>
      <w:r>
        <w:rPr>
          <w:b/>
          <w:bCs/>
          <w:color w:val="auto"/>
          <w:sz w:val="23"/>
          <w:szCs w:val="23"/>
        </w:rPr>
        <w:t>I.4.13</w:t>
      </w:r>
      <w:proofErr w:type="gramEnd"/>
      <w:r>
        <w:rPr>
          <w:b/>
          <w:bCs/>
          <w:color w:val="auto"/>
          <w:sz w:val="23"/>
          <w:szCs w:val="23"/>
        </w:rPr>
        <w:t xml:space="preserve"> Úroky z prodlení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Pokud nebyla platba provedena ve stanoveném termínu, má příjemce nárok na úroky z prodlení. Splatnost úroků se určuje podle ustanovení národních právních předpisů vztahujících se na smlouvy, nebo podle pravidel </w:t>
      </w:r>
      <w:proofErr w:type="gramStart"/>
      <w:r>
        <w:rPr>
          <w:color w:val="auto"/>
          <w:sz w:val="23"/>
          <w:szCs w:val="23"/>
        </w:rPr>
        <w:t>NA</w:t>
      </w:r>
      <w:proofErr w:type="gramEnd"/>
      <w:r>
        <w:rPr>
          <w:color w:val="auto"/>
          <w:sz w:val="23"/>
          <w:szCs w:val="23"/>
        </w:rPr>
        <w:t xml:space="preserve">. Při neexistenci takových ustanovení se úrok určuje podle sazby, kterou používá Evropská centrální banka pro své hlavní refinanční operace v eurech (dále jen "referenční sazba") plus tři a půl bodu. Referenční úroková sazba je sazba platná první den měsíce, ve kterém vyprší termín pro platbu, jak byla zveřejněna v řadě C </w:t>
      </w:r>
      <w:r>
        <w:rPr>
          <w:i/>
          <w:iCs/>
          <w:color w:val="auto"/>
          <w:sz w:val="23"/>
          <w:szCs w:val="23"/>
        </w:rPr>
        <w:t xml:space="preserve">Úředního věstníku Evropské unie.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Pozastavení lhůty pro platby v souladu s článkem </w:t>
      </w:r>
      <w:proofErr w:type="gramStart"/>
      <w:r>
        <w:rPr>
          <w:color w:val="auto"/>
          <w:sz w:val="23"/>
          <w:szCs w:val="23"/>
        </w:rPr>
        <w:t>II.24.2</w:t>
      </w:r>
      <w:proofErr w:type="gramEnd"/>
      <w:r>
        <w:rPr>
          <w:color w:val="auto"/>
          <w:sz w:val="23"/>
          <w:szCs w:val="23"/>
        </w:rPr>
        <w:t xml:space="preserve">, nebo pozastavení plateb ze strany NA v souladu s článkem II.24.1 nelze považovat za platbu v prodlení.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Úroky z prodlení pokrývají období od prvního dne následujícího po datu splatnosti až do data skutečné platby (včetně) v souladu s článkem I.4.11. NA nebere úrok z prodlení v úvahu při stanovení konečné výše grantu ve smyslu článku </w:t>
      </w:r>
      <w:proofErr w:type="gramStart"/>
      <w:r>
        <w:rPr>
          <w:color w:val="auto"/>
          <w:sz w:val="23"/>
          <w:szCs w:val="23"/>
        </w:rPr>
        <w:t>II.25</w:t>
      </w:r>
      <w:proofErr w:type="gramEnd"/>
      <w:r>
        <w:rPr>
          <w:color w:val="auto"/>
          <w:sz w:val="23"/>
          <w:szCs w:val="23"/>
        </w:rPr>
        <w:t xml:space="preserve">. </w:t>
      </w:r>
    </w:p>
    <w:p w:rsidR="008618BE" w:rsidRDefault="008618BE" w:rsidP="008618BE">
      <w:pPr>
        <w:pStyle w:val="Default"/>
        <w:jc w:val="both"/>
        <w:rPr>
          <w:color w:val="auto"/>
          <w:sz w:val="18"/>
          <w:szCs w:val="18"/>
        </w:rPr>
      </w:pPr>
      <w:r>
        <w:rPr>
          <w:color w:val="auto"/>
          <w:sz w:val="23"/>
          <w:szCs w:val="23"/>
        </w:rPr>
        <w:t xml:space="preserve">Pokud bude vypočtený úrok nižší nebo roven částce 200 EUR, vyplácí se příjemci výjimečně, a to pouze v případě, že o to příjemce požádá do dvou měsíců od přijetí platby v prodlení. </w:t>
      </w:r>
      <w:r>
        <w:rPr>
          <w:color w:val="auto"/>
          <w:sz w:val="18"/>
          <w:szCs w:val="18"/>
        </w:rPr>
        <w:t>Číslo smlouvy: 2017-1-CZ01-KA101-034845 Grantová smlouva (</w:t>
      </w:r>
      <w:r>
        <w:rPr>
          <w:b/>
          <w:bCs/>
          <w:color w:val="auto"/>
          <w:sz w:val="18"/>
          <w:szCs w:val="18"/>
        </w:rPr>
        <w:t>jeden příjemce</w:t>
      </w:r>
      <w:r>
        <w:rPr>
          <w:color w:val="auto"/>
          <w:sz w:val="18"/>
          <w:szCs w:val="18"/>
        </w:rPr>
        <w:t xml:space="preserve">)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</w:p>
    <w:p w:rsidR="008618BE" w:rsidRDefault="008618BE" w:rsidP="008618BE">
      <w:pPr>
        <w:pStyle w:val="Default"/>
        <w:jc w:val="both"/>
        <w:rPr>
          <w:color w:val="auto"/>
        </w:rPr>
      </w:pPr>
    </w:p>
    <w:p w:rsidR="008618BE" w:rsidRDefault="008618BE" w:rsidP="008618BE">
      <w:pPr>
        <w:pStyle w:val="Default"/>
        <w:pageBreakBefore/>
        <w:jc w:val="both"/>
        <w:rPr>
          <w:color w:val="auto"/>
          <w:sz w:val="23"/>
          <w:szCs w:val="23"/>
        </w:rPr>
      </w:pPr>
      <w:proofErr w:type="gramStart"/>
      <w:r>
        <w:rPr>
          <w:b/>
          <w:bCs/>
          <w:color w:val="auto"/>
          <w:sz w:val="23"/>
          <w:szCs w:val="23"/>
        </w:rPr>
        <w:lastRenderedPageBreak/>
        <w:t>ČLÁNEK I.5 – BANKOVNÍ</w:t>
      </w:r>
      <w:proofErr w:type="gramEnd"/>
      <w:r>
        <w:rPr>
          <w:b/>
          <w:bCs/>
          <w:color w:val="auto"/>
          <w:sz w:val="23"/>
          <w:szCs w:val="23"/>
        </w:rPr>
        <w:t xml:space="preserve"> ÚČET PRO PLATBY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Všechny platby musí být poukázány na bankovní účet příjemce, jak je uvedeno níže: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Název banky: </w:t>
      </w:r>
      <w:r>
        <w:rPr>
          <w:b/>
          <w:bCs/>
          <w:color w:val="auto"/>
          <w:sz w:val="23"/>
          <w:szCs w:val="23"/>
        </w:rPr>
        <w:t xml:space="preserve">Komerční banka, a.s. </w:t>
      </w:r>
      <w:r>
        <w:rPr>
          <w:color w:val="auto"/>
          <w:sz w:val="23"/>
          <w:szCs w:val="23"/>
        </w:rPr>
        <w:t xml:space="preserve">Adresa pobočky banky: </w:t>
      </w:r>
      <w:r>
        <w:rPr>
          <w:b/>
          <w:bCs/>
          <w:color w:val="auto"/>
          <w:sz w:val="23"/>
          <w:szCs w:val="23"/>
        </w:rPr>
        <w:t xml:space="preserve">Mánesova 16, 430 29 Chomutov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Přesný název majitele účtu: </w:t>
      </w:r>
      <w:r>
        <w:rPr>
          <w:b/>
          <w:bCs/>
          <w:color w:val="auto"/>
          <w:sz w:val="23"/>
          <w:szCs w:val="23"/>
        </w:rPr>
        <w:t xml:space="preserve">Střední odborná škola energetická a stavební, Obchodní akademie a Střední zdravotnická škola, Chomutov, příspěvková organizace </w:t>
      </w:r>
      <w:r>
        <w:rPr>
          <w:color w:val="auto"/>
          <w:sz w:val="23"/>
          <w:szCs w:val="23"/>
        </w:rPr>
        <w:t xml:space="preserve">Úplné číslo účtu (včetně kódu banky): </w:t>
      </w:r>
      <w:proofErr w:type="spellStart"/>
      <w:r w:rsidR="00C37D6C">
        <w:rPr>
          <w:b/>
          <w:bCs/>
          <w:color w:val="auto"/>
          <w:sz w:val="23"/>
          <w:szCs w:val="23"/>
        </w:rPr>
        <w:t>xxxxxxxxxxxxxx</w:t>
      </w:r>
      <w:proofErr w:type="spellEnd"/>
      <w:r>
        <w:rPr>
          <w:b/>
          <w:bCs/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IBAN: </w:t>
      </w:r>
      <w:proofErr w:type="spellStart"/>
      <w:r w:rsidR="00C37D6C">
        <w:rPr>
          <w:b/>
          <w:bCs/>
          <w:color w:val="auto"/>
          <w:sz w:val="23"/>
          <w:szCs w:val="23"/>
        </w:rPr>
        <w:t>xxxxxxxxx</w:t>
      </w:r>
      <w:proofErr w:type="spellEnd"/>
      <w:r>
        <w:rPr>
          <w:b/>
          <w:bCs/>
          <w:color w:val="auto"/>
          <w:sz w:val="23"/>
          <w:szCs w:val="23"/>
        </w:rPr>
        <w:t xml:space="preserve">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SWIFT (pouze u účtů vedených v </w:t>
      </w:r>
      <w:proofErr w:type="gramStart"/>
      <w:r>
        <w:rPr>
          <w:color w:val="auto"/>
          <w:sz w:val="23"/>
          <w:szCs w:val="23"/>
        </w:rPr>
        <w:t>EUR</w:t>
      </w:r>
      <w:proofErr w:type="gramEnd"/>
      <w:r>
        <w:rPr>
          <w:color w:val="auto"/>
          <w:sz w:val="23"/>
          <w:szCs w:val="23"/>
        </w:rPr>
        <w:t xml:space="preserve">): </w:t>
      </w:r>
      <w:r>
        <w:rPr>
          <w:b/>
          <w:bCs/>
          <w:color w:val="auto"/>
          <w:sz w:val="23"/>
          <w:szCs w:val="23"/>
        </w:rPr>
        <w:t xml:space="preserve">KOMBCZPPXXX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Měna, ve které je účet veden: </w:t>
      </w:r>
      <w:r>
        <w:rPr>
          <w:b/>
          <w:bCs/>
          <w:color w:val="auto"/>
          <w:sz w:val="23"/>
          <w:szCs w:val="23"/>
        </w:rPr>
        <w:t xml:space="preserve">EUR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proofErr w:type="gramStart"/>
      <w:r>
        <w:rPr>
          <w:b/>
          <w:bCs/>
          <w:color w:val="auto"/>
          <w:sz w:val="23"/>
          <w:szCs w:val="23"/>
        </w:rPr>
        <w:t>ČLÁNEK I.6 – SPRÁVCE</w:t>
      </w:r>
      <w:proofErr w:type="gramEnd"/>
      <w:r>
        <w:rPr>
          <w:b/>
          <w:bCs/>
          <w:color w:val="auto"/>
          <w:sz w:val="23"/>
          <w:szCs w:val="23"/>
        </w:rPr>
        <w:t xml:space="preserve"> ÚDAJŮ A KONTAKTNÍ ÚDAJE SMLUVNÍCH STRAN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proofErr w:type="gramStart"/>
      <w:r>
        <w:rPr>
          <w:b/>
          <w:bCs/>
          <w:color w:val="auto"/>
          <w:sz w:val="23"/>
          <w:szCs w:val="23"/>
        </w:rPr>
        <w:t>I.6.1</w:t>
      </w:r>
      <w:proofErr w:type="gramEnd"/>
      <w:r>
        <w:rPr>
          <w:b/>
          <w:bCs/>
          <w:color w:val="auto"/>
          <w:sz w:val="23"/>
          <w:szCs w:val="23"/>
        </w:rPr>
        <w:t xml:space="preserve"> Správce údajů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Subjekt působící jako správce údajů ve smyslu článku </w:t>
      </w:r>
      <w:proofErr w:type="gramStart"/>
      <w:r>
        <w:rPr>
          <w:color w:val="auto"/>
          <w:sz w:val="23"/>
          <w:szCs w:val="23"/>
        </w:rPr>
        <w:t>II.7 je</w:t>
      </w:r>
      <w:proofErr w:type="gramEnd"/>
      <w:r>
        <w:rPr>
          <w:color w:val="auto"/>
          <w:sz w:val="23"/>
          <w:szCs w:val="23"/>
        </w:rPr>
        <w:t xml:space="preserve"> Dům zahraniční spolupráce.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proofErr w:type="gramStart"/>
      <w:r>
        <w:rPr>
          <w:b/>
          <w:bCs/>
          <w:color w:val="auto"/>
          <w:sz w:val="23"/>
          <w:szCs w:val="23"/>
        </w:rPr>
        <w:t>I.6.2</w:t>
      </w:r>
      <w:proofErr w:type="gramEnd"/>
      <w:r>
        <w:rPr>
          <w:b/>
          <w:bCs/>
          <w:color w:val="auto"/>
          <w:sz w:val="23"/>
          <w:szCs w:val="23"/>
        </w:rPr>
        <w:t xml:space="preserve"> Kontaktní údaje NA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Jakákoli sdělení zasílá příjemce na tuto adresu: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Dům zahraniční spolupráce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Na Poříčí 1035/4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110 00, Praha 1, Česká republika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E-mailová adresa: </w:t>
      </w:r>
      <w:proofErr w:type="spellStart"/>
      <w:r w:rsidR="00C37D6C">
        <w:rPr>
          <w:i/>
          <w:iCs/>
          <w:color w:val="auto"/>
          <w:sz w:val="23"/>
          <w:szCs w:val="23"/>
        </w:rPr>
        <w:t>xxxxxxxx</w:t>
      </w:r>
      <w:proofErr w:type="spellEnd"/>
      <w:r>
        <w:rPr>
          <w:i/>
          <w:iCs/>
          <w:color w:val="auto"/>
          <w:sz w:val="23"/>
          <w:szCs w:val="23"/>
        </w:rPr>
        <w:t xml:space="preserve">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proofErr w:type="gramStart"/>
      <w:r>
        <w:rPr>
          <w:b/>
          <w:bCs/>
          <w:color w:val="auto"/>
          <w:sz w:val="23"/>
          <w:szCs w:val="23"/>
        </w:rPr>
        <w:t>I.6.3</w:t>
      </w:r>
      <w:proofErr w:type="gramEnd"/>
      <w:r>
        <w:rPr>
          <w:b/>
          <w:bCs/>
          <w:color w:val="auto"/>
          <w:sz w:val="23"/>
          <w:szCs w:val="23"/>
        </w:rPr>
        <w:t xml:space="preserve"> Kontaktní údaje příjemce grantu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Jakékoli sdělení příjemci zasílá NA příjemci na tuto adresu: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Mgr. Jan Mareš, MBA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ředitel školy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Střední odborná škola energetická a stavební, Obchodní akademie a Střední zdravotnická škola, Chomutov, příspěvková organizace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Na </w:t>
      </w:r>
      <w:proofErr w:type="spellStart"/>
      <w:r>
        <w:rPr>
          <w:i/>
          <w:iCs/>
          <w:color w:val="auto"/>
          <w:sz w:val="23"/>
          <w:szCs w:val="23"/>
        </w:rPr>
        <w:t>Průhoně</w:t>
      </w:r>
      <w:proofErr w:type="spellEnd"/>
      <w:r>
        <w:rPr>
          <w:i/>
          <w:iCs/>
          <w:color w:val="auto"/>
          <w:sz w:val="23"/>
          <w:szCs w:val="23"/>
        </w:rPr>
        <w:t xml:space="preserve"> 4800, 43011 Chomutov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E-mailová adresa: </w:t>
      </w:r>
      <w:r w:rsidR="00C37D6C">
        <w:rPr>
          <w:i/>
          <w:iCs/>
          <w:color w:val="auto"/>
          <w:sz w:val="23"/>
          <w:szCs w:val="23"/>
        </w:rPr>
        <w:t>xxxxxxxxx</w:t>
      </w:r>
      <w:bookmarkStart w:id="0" w:name="_GoBack"/>
      <w:bookmarkEnd w:id="0"/>
      <w:r>
        <w:rPr>
          <w:i/>
          <w:iCs/>
          <w:color w:val="auto"/>
          <w:sz w:val="23"/>
          <w:szCs w:val="23"/>
        </w:rPr>
        <w:t xml:space="preserve">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Běžná projektová komunikace bude vedena s kontaktní osobou.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proofErr w:type="gramStart"/>
      <w:r>
        <w:rPr>
          <w:b/>
          <w:bCs/>
          <w:color w:val="auto"/>
          <w:sz w:val="23"/>
          <w:szCs w:val="23"/>
        </w:rPr>
        <w:t>ČLÁNEK I.7 – OCHRANA</w:t>
      </w:r>
      <w:proofErr w:type="gramEnd"/>
      <w:r>
        <w:rPr>
          <w:b/>
          <w:bCs/>
          <w:color w:val="auto"/>
          <w:sz w:val="23"/>
          <w:szCs w:val="23"/>
        </w:rPr>
        <w:t xml:space="preserve"> A BEZPEČNOST ÚČASTNÍKŮ </w:t>
      </w:r>
    </w:p>
    <w:p w:rsidR="008618BE" w:rsidRDefault="008618BE" w:rsidP="008618BE">
      <w:pPr>
        <w:pStyle w:val="Default"/>
        <w:jc w:val="both"/>
        <w:rPr>
          <w:color w:val="auto"/>
          <w:sz w:val="18"/>
          <w:szCs w:val="18"/>
        </w:rPr>
      </w:pPr>
      <w:r>
        <w:rPr>
          <w:color w:val="auto"/>
          <w:sz w:val="23"/>
          <w:szCs w:val="23"/>
        </w:rPr>
        <w:t xml:space="preserve">Příjemce grantu musí mít zavedeny účinné postupy a opatření na podporu a k zajištění bezpečnosti a ochrany účastníků jeho projektu. </w:t>
      </w:r>
      <w:r>
        <w:rPr>
          <w:color w:val="auto"/>
          <w:sz w:val="18"/>
          <w:szCs w:val="18"/>
        </w:rPr>
        <w:t>Číslo smlouvy: 2017-1-CZ01-KA101-034845 Grantová smlouva (</w:t>
      </w:r>
      <w:r>
        <w:rPr>
          <w:b/>
          <w:bCs/>
          <w:color w:val="auto"/>
          <w:sz w:val="18"/>
          <w:szCs w:val="18"/>
        </w:rPr>
        <w:t>jeden příjemce</w:t>
      </w:r>
      <w:r>
        <w:rPr>
          <w:color w:val="auto"/>
          <w:sz w:val="18"/>
          <w:szCs w:val="18"/>
        </w:rPr>
        <w:t xml:space="preserve">)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</w:p>
    <w:p w:rsidR="008618BE" w:rsidRDefault="008618BE" w:rsidP="008618BE">
      <w:pPr>
        <w:pStyle w:val="Default"/>
        <w:jc w:val="both"/>
        <w:rPr>
          <w:color w:val="auto"/>
        </w:rPr>
      </w:pPr>
    </w:p>
    <w:p w:rsidR="008618BE" w:rsidRDefault="008618BE" w:rsidP="008618BE">
      <w:pPr>
        <w:pStyle w:val="Default"/>
        <w:pageBreakBefore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Příjemce grantu musí zajistit, aby účastníci zahraničních mobilit byli náležitě pojištěni.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proofErr w:type="gramStart"/>
      <w:r>
        <w:rPr>
          <w:b/>
          <w:bCs/>
          <w:color w:val="auto"/>
          <w:sz w:val="23"/>
          <w:szCs w:val="23"/>
        </w:rPr>
        <w:t>ČLÁNEK I.8 – DALŠÍ</w:t>
      </w:r>
      <w:proofErr w:type="gramEnd"/>
      <w:r>
        <w:rPr>
          <w:b/>
          <w:bCs/>
          <w:color w:val="auto"/>
          <w:sz w:val="23"/>
          <w:szCs w:val="23"/>
        </w:rPr>
        <w:t xml:space="preserve"> USTANOVENÍ O VYUŽITÍ VÝSLEDKŮ (VČETNĚ DUŠEVNÍHO A PRŮMYSLOVÉHO VLASTNICTVÍ)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V návaznosti na ustanovení článku </w:t>
      </w:r>
      <w:proofErr w:type="gramStart"/>
      <w:r>
        <w:rPr>
          <w:color w:val="auto"/>
          <w:sz w:val="23"/>
          <w:szCs w:val="23"/>
        </w:rPr>
        <w:t>II.9.3</w:t>
      </w:r>
      <w:proofErr w:type="gramEnd"/>
      <w:r>
        <w:rPr>
          <w:color w:val="auto"/>
          <w:sz w:val="23"/>
          <w:szCs w:val="23"/>
        </w:rPr>
        <w:t>, pokud příjemce grantu vypracuje vzdělávací materiály v oblasti působnosti projektu, budou tyto materiály zpřístupněny veřejnosti prostřednictvím internetu v digitální podobě, bezplatně, na základě otevřených licencí</w:t>
      </w:r>
      <w:r>
        <w:rPr>
          <w:color w:val="auto"/>
          <w:sz w:val="16"/>
          <w:szCs w:val="16"/>
        </w:rPr>
        <w:t>3</w:t>
      </w:r>
      <w:r>
        <w:rPr>
          <w:color w:val="auto"/>
          <w:sz w:val="23"/>
          <w:szCs w:val="23"/>
        </w:rPr>
        <w:t xml:space="preserve">.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SimSun" w:eastAsia="SimSun" w:cs="SimSun"/>
          <w:sz w:val="10"/>
          <w:szCs w:val="10"/>
        </w:rPr>
        <w:t>3</w:t>
      </w:r>
      <w:r>
        <w:rPr>
          <w:rFonts w:eastAsia="SimSun"/>
          <w:sz w:val="20"/>
          <w:szCs w:val="20"/>
        </w:rPr>
        <w:t xml:space="preserve">Otevřená licence je způsob, jakým vlastník díla uděluje povolení všem využívat zdroj. Licence se pojí s jednotlivými zdroji. Otevřená licence nepředstavuje převod autorského práva ani práv duševního vlastnictví (PDV).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proofErr w:type="gramStart"/>
      <w:r>
        <w:rPr>
          <w:b/>
          <w:bCs/>
          <w:color w:val="auto"/>
          <w:sz w:val="23"/>
          <w:szCs w:val="23"/>
        </w:rPr>
        <w:t>ČLÁNEK I.9 – VYUŽÍVÁNÍ</w:t>
      </w:r>
      <w:proofErr w:type="gramEnd"/>
      <w:r>
        <w:rPr>
          <w:b/>
          <w:bCs/>
          <w:color w:val="auto"/>
          <w:sz w:val="23"/>
          <w:szCs w:val="23"/>
        </w:rPr>
        <w:t xml:space="preserve"> IT NÁSTROJŮ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proofErr w:type="gramStart"/>
      <w:r>
        <w:rPr>
          <w:b/>
          <w:bCs/>
          <w:color w:val="auto"/>
          <w:sz w:val="23"/>
          <w:szCs w:val="23"/>
        </w:rPr>
        <w:t>I.9.1</w:t>
      </w:r>
      <w:proofErr w:type="gramEnd"/>
      <w:r>
        <w:rPr>
          <w:b/>
          <w:bCs/>
          <w:color w:val="auto"/>
          <w:sz w:val="23"/>
          <w:szCs w:val="23"/>
        </w:rPr>
        <w:t xml:space="preserve"> Mobility </w:t>
      </w:r>
      <w:proofErr w:type="spellStart"/>
      <w:r>
        <w:rPr>
          <w:b/>
          <w:bCs/>
          <w:color w:val="auto"/>
          <w:sz w:val="23"/>
          <w:szCs w:val="23"/>
        </w:rPr>
        <w:t>Tool</w:t>
      </w:r>
      <w:proofErr w:type="spellEnd"/>
      <w:r>
        <w:rPr>
          <w:b/>
          <w:bCs/>
          <w:color w:val="auto"/>
          <w:sz w:val="23"/>
          <w:szCs w:val="23"/>
        </w:rPr>
        <w:t xml:space="preserve">+/Databáze mobility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Příjemce je povinen prostřednictvím on-line nástroje Mobility </w:t>
      </w:r>
      <w:proofErr w:type="spellStart"/>
      <w:r>
        <w:rPr>
          <w:color w:val="auto"/>
          <w:sz w:val="23"/>
          <w:szCs w:val="23"/>
        </w:rPr>
        <w:t>Tool</w:t>
      </w:r>
      <w:proofErr w:type="spellEnd"/>
      <w:r>
        <w:rPr>
          <w:color w:val="auto"/>
          <w:sz w:val="23"/>
          <w:szCs w:val="23"/>
        </w:rPr>
        <w:t xml:space="preserve">+/Databáze mobility zaznamenávat veškeré informace týkající se všech realizovaných aktivit, vypracovávat dílčí a průběžné zprávy (v souladu s </w:t>
      </w:r>
      <w:proofErr w:type="gramStart"/>
      <w:r>
        <w:rPr>
          <w:color w:val="auto"/>
          <w:sz w:val="23"/>
          <w:szCs w:val="23"/>
        </w:rPr>
        <w:t>článkem I.4.3</w:t>
      </w:r>
      <w:proofErr w:type="gramEnd"/>
      <w:r>
        <w:rPr>
          <w:color w:val="auto"/>
          <w:sz w:val="23"/>
          <w:szCs w:val="23"/>
        </w:rPr>
        <w:t xml:space="preserve"> a je-li nástroj k dispozici) a vypracovávat závěrečné zprávy.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Minimálně jednou měsíčně je příjemce grantu povinen vložit a aktualizovat nové údaje o účastnících a mobilitách.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proofErr w:type="gramStart"/>
      <w:r>
        <w:rPr>
          <w:b/>
          <w:bCs/>
          <w:color w:val="auto"/>
          <w:sz w:val="23"/>
          <w:szCs w:val="23"/>
        </w:rPr>
        <w:t>I.9.2</w:t>
      </w:r>
      <w:proofErr w:type="gramEnd"/>
      <w:r>
        <w:rPr>
          <w:b/>
          <w:bCs/>
          <w:color w:val="auto"/>
          <w:sz w:val="23"/>
          <w:szCs w:val="23"/>
        </w:rPr>
        <w:t xml:space="preserve"> Platforma pro šíření výsledků programu Erasmus+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Příjemce může k šíření výsledků projektu využít Platformu pro šíření výsledků programu Erasmus+ (http://ec.europa.eu/</w:t>
      </w:r>
      <w:proofErr w:type="spellStart"/>
      <w:r>
        <w:rPr>
          <w:color w:val="auto"/>
          <w:sz w:val="23"/>
          <w:szCs w:val="23"/>
        </w:rPr>
        <w:t>programmes</w:t>
      </w:r>
      <w:proofErr w:type="spellEnd"/>
      <w:r>
        <w:rPr>
          <w:color w:val="auto"/>
          <w:sz w:val="23"/>
          <w:szCs w:val="23"/>
        </w:rPr>
        <w:t>/</w:t>
      </w:r>
      <w:proofErr w:type="spellStart"/>
      <w:r>
        <w:rPr>
          <w:color w:val="auto"/>
          <w:sz w:val="23"/>
          <w:szCs w:val="23"/>
        </w:rPr>
        <w:t>erasmus</w:t>
      </w:r>
      <w:proofErr w:type="spellEnd"/>
      <w:r>
        <w:rPr>
          <w:color w:val="auto"/>
          <w:sz w:val="23"/>
          <w:szCs w:val="23"/>
        </w:rPr>
        <w:t>-plus/</w:t>
      </w:r>
      <w:proofErr w:type="spellStart"/>
      <w:r>
        <w:rPr>
          <w:color w:val="auto"/>
          <w:sz w:val="23"/>
          <w:szCs w:val="23"/>
        </w:rPr>
        <w:t>projects</w:t>
      </w:r>
      <w:proofErr w:type="spellEnd"/>
      <w:r>
        <w:rPr>
          <w:color w:val="auto"/>
          <w:sz w:val="23"/>
          <w:szCs w:val="23"/>
        </w:rPr>
        <w:t xml:space="preserve">/) podle pokynů uvedených na těchto stránkách.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proofErr w:type="gramStart"/>
      <w:r>
        <w:rPr>
          <w:b/>
          <w:bCs/>
          <w:color w:val="auto"/>
          <w:sz w:val="23"/>
          <w:szCs w:val="23"/>
        </w:rPr>
        <w:t>ČLÁNEK I.10</w:t>
      </w:r>
      <w:proofErr w:type="gramEnd"/>
      <w:r>
        <w:rPr>
          <w:b/>
          <w:bCs/>
          <w:color w:val="auto"/>
          <w:sz w:val="23"/>
          <w:szCs w:val="23"/>
        </w:rPr>
        <w:t xml:space="preserve"> – DODATEČNÁ USTANOVENÍ O SUBDODÁVKÁCH </w:t>
      </w:r>
    </w:p>
    <w:p w:rsidR="008618BE" w:rsidRDefault="008618BE" w:rsidP="008618BE">
      <w:pPr>
        <w:pStyle w:val="Default"/>
        <w:jc w:val="both"/>
        <w:rPr>
          <w:color w:val="auto"/>
          <w:sz w:val="18"/>
          <w:szCs w:val="18"/>
        </w:rPr>
      </w:pPr>
      <w:r>
        <w:rPr>
          <w:color w:val="auto"/>
          <w:sz w:val="23"/>
          <w:szCs w:val="23"/>
        </w:rPr>
        <w:t xml:space="preserve">Odchylně, ustanovení článku </w:t>
      </w:r>
      <w:proofErr w:type="gramStart"/>
      <w:r>
        <w:rPr>
          <w:color w:val="auto"/>
          <w:sz w:val="23"/>
          <w:szCs w:val="23"/>
        </w:rPr>
        <w:t>II.11.1</w:t>
      </w:r>
      <w:proofErr w:type="gramEnd"/>
      <w:r>
        <w:rPr>
          <w:color w:val="auto"/>
          <w:sz w:val="23"/>
          <w:szCs w:val="23"/>
        </w:rPr>
        <w:t xml:space="preserve"> c) a d) se nepoužijí. </w:t>
      </w:r>
      <w:r>
        <w:rPr>
          <w:color w:val="auto"/>
          <w:sz w:val="18"/>
          <w:szCs w:val="18"/>
        </w:rPr>
        <w:t>Číslo smlouvy: 2017-1-CZ01-KA101-034845 Grantová smlouva (</w:t>
      </w:r>
      <w:r>
        <w:rPr>
          <w:b/>
          <w:bCs/>
          <w:color w:val="auto"/>
          <w:sz w:val="18"/>
          <w:szCs w:val="18"/>
        </w:rPr>
        <w:t>jeden příjemce</w:t>
      </w:r>
      <w:r>
        <w:rPr>
          <w:color w:val="auto"/>
          <w:sz w:val="18"/>
          <w:szCs w:val="18"/>
        </w:rPr>
        <w:t xml:space="preserve">)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</w:p>
    <w:p w:rsidR="008618BE" w:rsidRDefault="008618BE" w:rsidP="008618BE">
      <w:pPr>
        <w:pStyle w:val="Default"/>
        <w:jc w:val="both"/>
        <w:rPr>
          <w:color w:val="auto"/>
        </w:rPr>
      </w:pPr>
    </w:p>
    <w:p w:rsidR="008618BE" w:rsidRDefault="008618BE" w:rsidP="008618BE">
      <w:pPr>
        <w:pStyle w:val="Default"/>
        <w:pageBreakBefore/>
        <w:jc w:val="both"/>
        <w:rPr>
          <w:color w:val="auto"/>
          <w:sz w:val="23"/>
          <w:szCs w:val="23"/>
        </w:rPr>
      </w:pPr>
      <w:proofErr w:type="gramStart"/>
      <w:r>
        <w:rPr>
          <w:b/>
          <w:bCs/>
          <w:color w:val="auto"/>
          <w:sz w:val="23"/>
          <w:szCs w:val="23"/>
        </w:rPr>
        <w:lastRenderedPageBreak/>
        <w:t>ČLÁNEK I.11</w:t>
      </w:r>
      <w:proofErr w:type="gramEnd"/>
      <w:r>
        <w:rPr>
          <w:b/>
          <w:bCs/>
          <w:color w:val="auto"/>
          <w:sz w:val="23"/>
          <w:szCs w:val="23"/>
        </w:rPr>
        <w:t xml:space="preserve"> – DODATEČNÁ USTANOVENÍ O VIDITELNOSTI FINANCOVÁNÍ EVROPSKOU UNIÍ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Aniž je dotčen článek </w:t>
      </w:r>
      <w:proofErr w:type="gramStart"/>
      <w:r>
        <w:rPr>
          <w:color w:val="auto"/>
          <w:sz w:val="23"/>
          <w:szCs w:val="23"/>
        </w:rPr>
        <w:t>II.8, musí</w:t>
      </w:r>
      <w:proofErr w:type="gramEnd"/>
      <w:r>
        <w:rPr>
          <w:color w:val="auto"/>
          <w:sz w:val="23"/>
          <w:szCs w:val="23"/>
        </w:rPr>
        <w:t xml:space="preserve"> příjemce ve veškerých sděleních a propagačních materiálech uvést, že získal podporu v rámci programu Erasmus+. Pokyny pro příjemce a třetí strany jsou k dispozici na http://eacea.ec.europa.eu/about-eacea/visual-identity_en.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proofErr w:type="gramStart"/>
      <w:r>
        <w:rPr>
          <w:b/>
          <w:bCs/>
          <w:color w:val="auto"/>
          <w:sz w:val="23"/>
          <w:szCs w:val="23"/>
        </w:rPr>
        <w:t>ČLÁNEK I.12</w:t>
      </w:r>
      <w:proofErr w:type="gramEnd"/>
      <w:r>
        <w:rPr>
          <w:b/>
          <w:bCs/>
          <w:color w:val="auto"/>
          <w:sz w:val="23"/>
          <w:szCs w:val="23"/>
        </w:rPr>
        <w:t xml:space="preserve"> - PODPORA ÚČASTNÍKŮ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Pokud uskutečnění projektu vyžaduje poskytnutí podpory účastníkům, příjemce grantu takovou podporu poskytne v souladu s podmínkami stanovenými v příloze II a příloze V (je-li relevantní), jež musí obsahovat alespoň: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(a) maximální výši podpory, která nesmí přesáhnout 60 000 EUR na účastníka;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(b) kritéria pro stanovení přesné výše podpory;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(c) aktivity, na které může účastník získat podporu, dle stanoveného seznamu;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(d) vymezení osob nebo kategorií osob, které mohou podporu získat;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(e) kritéria pro poskytnutí podpory.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Podle dokumentace uvedené v příloze V (je-li relevantní) příjemce musí: </w:t>
      </w:r>
    </w:p>
    <w:p w:rsidR="008618BE" w:rsidRDefault="008618BE" w:rsidP="008618BE">
      <w:pPr>
        <w:pStyle w:val="Default"/>
        <w:spacing w:after="862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– Buď přidělit finanční podporu v rámci rozpočtových kategorií cestovních nákladů/pobytových nákladů/kurzovného v plné výši účastníkům mobility s využitím sazeb jednotkových nákladů specifikovaných v příloze IV;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– nebo poskytnout podporu v rámci rozpočtových kategorií cestovních nákladů/pobytových nákladů/kurzovného účastníkům mobility formou zajištění cesty/ubytování/kurzu. V takovém případě má příjemce grantu povinnost zajistit, aby cesta/pobyt/kurz odpovídaly nezbytným standardům kvality a bezpečnosti.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Příjemce může kombinovat obě možnosti definované v předchozím odstavci s podmínkou, že zajistí spravedlivý a rovný přístup ke všem účastníkům. V takovém případě se podmínky pro tu kterou možnost budou vztahovat na rozpočtové kategorie, u které bude tato možnost zvolena.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proofErr w:type="gramStart"/>
      <w:r>
        <w:rPr>
          <w:b/>
          <w:bCs/>
          <w:color w:val="auto"/>
          <w:sz w:val="23"/>
          <w:szCs w:val="23"/>
        </w:rPr>
        <w:t>ČLÁNEK I.13</w:t>
      </w:r>
      <w:proofErr w:type="gramEnd"/>
      <w:r>
        <w:rPr>
          <w:b/>
          <w:bCs/>
          <w:color w:val="auto"/>
          <w:sz w:val="23"/>
          <w:szCs w:val="23"/>
        </w:rPr>
        <w:t xml:space="preserve"> – SPECIFICKÉ ODCHYLKY OD PŘÍLOHY I - VŠEOBECNÉ PODMÍNKY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Pro účely této smlouvy, v příloze I Všeobecné podmínky, termín „Komise“ musí být chápán jako „NA“, termín „akce“ musí být chápán jako „projekt“ a termín „jednotkové náklady“ musí být chápán jako „jednotkový příspěvek“, není-li stanoveno jinak. </w:t>
      </w:r>
    </w:p>
    <w:p w:rsidR="008618BE" w:rsidRDefault="008618BE" w:rsidP="008618BE">
      <w:pPr>
        <w:pStyle w:val="Default"/>
        <w:jc w:val="both"/>
        <w:rPr>
          <w:color w:val="auto"/>
          <w:sz w:val="18"/>
          <w:szCs w:val="18"/>
        </w:rPr>
      </w:pPr>
      <w:r>
        <w:rPr>
          <w:color w:val="auto"/>
          <w:sz w:val="23"/>
          <w:szCs w:val="23"/>
        </w:rPr>
        <w:t xml:space="preserve">Pro účely této smlouvy, v příloze I Všeobecné podmínky, pojem „finanční dokument“ musí být chápán jako „část zprávy týkající se rozpočtu“, není-li stanoveno jinak. </w:t>
      </w:r>
      <w:r>
        <w:rPr>
          <w:color w:val="auto"/>
          <w:sz w:val="18"/>
          <w:szCs w:val="18"/>
        </w:rPr>
        <w:t>Číslo smlouvy: 2017-1-CZ01-KA101-034845 Grantová smlouva (</w:t>
      </w:r>
      <w:r>
        <w:rPr>
          <w:b/>
          <w:bCs/>
          <w:color w:val="auto"/>
          <w:sz w:val="18"/>
          <w:szCs w:val="18"/>
        </w:rPr>
        <w:t>jeden příjemce</w:t>
      </w:r>
      <w:r>
        <w:rPr>
          <w:color w:val="auto"/>
          <w:sz w:val="18"/>
          <w:szCs w:val="18"/>
        </w:rPr>
        <w:t xml:space="preserve">)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</w:p>
    <w:p w:rsidR="008618BE" w:rsidRDefault="008618BE" w:rsidP="008618BE">
      <w:pPr>
        <w:pStyle w:val="Default"/>
        <w:jc w:val="both"/>
        <w:rPr>
          <w:color w:val="auto"/>
        </w:rPr>
      </w:pPr>
    </w:p>
    <w:p w:rsidR="008618BE" w:rsidRDefault="008618BE" w:rsidP="008618BE">
      <w:pPr>
        <w:pStyle w:val="Default"/>
        <w:pageBreakBefore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V článku </w:t>
      </w:r>
      <w:proofErr w:type="gramStart"/>
      <w:r>
        <w:rPr>
          <w:color w:val="auto"/>
          <w:sz w:val="23"/>
          <w:szCs w:val="23"/>
        </w:rPr>
        <w:t>II.4.1</w:t>
      </w:r>
      <w:proofErr w:type="gramEnd"/>
      <w:r>
        <w:rPr>
          <w:color w:val="auto"/>
          <w:sz w:val="23"/>
          <w:szCs w:val="23"/>
        </w:rPr>
        <w:t xml:space="preserve">, II.8.2, II.20.3, II.27.1, II.27.3, v prvním odstavci článku II.27.4, v prvním odstavci článku II.27.8 a v článku II.27.9 termín „Komise“ musí být chápán jako „NA a Komise“.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V článku </w:t>
      </w:r>
      <w:proofErr w:type="gramStart"/>
      <w:r>
        <w:rPr>
          <w:color w:val="auto"/>
          <w:sz w:val="23"/>
          <w:szCs w:val="23"/>
        </w:rPr>
        <w:t>II.12</w:t>
      </w:r>
      <w:proofErr w:type="gramEnd"/>
      <w:r>
        <w:rPr>
          <w:color w:val="auto"/>
          <w:sz w:val="23"/>
          <w:szCs w:val="23"/>
        </w:rPr>
        <w:t xml:space="preserve"> termín „finanční podpora“ musí být chápán jako „podpora“ and termín „třetí strany“ musí být chápán jako „účastníci“.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2. Pro účely této smlouvy se nepoužijí následující články přílohy I Všeobecných podmínek: Článek II.2. (d) (</w:t>
      </w:r>
      <w:proofErr w:type="spellStart"/>
      <w:r>
        <w:rPr>
          <w:color w:val="auto"/>
          <w:sz w:val="23"/>
          <w:szCs w:val="23"/>
        </w:rPr>
        <w:t>ii</w:t>
      </w:r>
      <w:proofErr w:type="spellEnd"/>
      <w:r>
        <w:rPr>
          <w:color w:val="auto"/>
          <w:sz w:val="23"/>
          <w:szCs w:val="23"/>
        </w:rPr>
        <w:t xml:space="preserve">), článek </w:t>
      </w:r>
      <w:proofErr w:type="gramStart"/>
      <w:r>
        <w:rPr>
          <w:color w:val="auto"/>
          <w:sz w:val="23"/>
          <w:szCs w:val="23"/>
        </w:rPr>
        <w:t>II.12.2</w:t>
      </w:r>
      <w:proofErr w:type="gramEnd"/>
      <w:r>
        <w:rPr>
          <w:color w:val="auto"/>
          <w:sz w:val="23"/>
          <w:szCs w:val="23"/>
        </w:rPr>
        <w:t xml:space="preserve">, článek II.13.4, článek II.17.2.1 (h), článek II.18.3, článek II.19.2, článek II.19.3, článek II.20.3, článek II.21, písmeno (c) šestého pododstavce článku II.25.3, článek II.27.7.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Pro účely této smlouvy se pojmy, zmíněné ve Všeobecných podmínkách, „přidružené subjekty“, „průběžná platba“, „jednorázová částka“, „paušální grant“ nepoužijí.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Článek </w:t>
      </w:r>
      <w:proofErr w:type="gramStart"/>
      <w:r>
        <w:rPr>
          <w:color w:val="auto"/>
          <w:sz w:val="23"/>
          <w:szCs w:val="23"/>
        </w:rPr>
        <w:t>II.7.1</w:t>
      </w:r>
      <w:proofErr w:type="gramEnd"/>
      <w:r>
        <w:rPr>
          <w:color w:val="auto"/>
          <w:sz w:val="23"/>
          <w:szCs w:val="23"/>
        </w:rPr>
        <w:t xml:space="preserve"> musí být vykládán takto: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„</w:t>
      </w:r>
      <w:proofErr w:type="gramStart"/>
      <w:r>
        <w:rPr>
          <w:b/>
          <w:bCs/>
          <w:color w:val="auto"/>
          <w:sz w:val="23"/>
          <w:szCs w:val="23"/>
        </w:rPr>
        <w:t>II.7.1</w:t>
      </w:r>
      <w:proofErr w:type="gramEnd"/>
      <w:r>
        <w:rPr>
          <w:b/>
          <w:bCs/>
          <w:color w:val="auto"/>
          <w:sz w:val="23"/>
          <w:szCs w:val="23"/>
        </w:rPr>
        <w:t xml:space="preserve"> Zpracování osobních údajů ze strany NA a Komise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Veškeré osobní údaje uvedené ve smlouvě zpracovává NA v souladu s vnitrostátními právními ustanoveními.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Veškeré osobní údaje zanesené v IT nástrojích Evropské komise budou zpracovány v souladu s Nařízením (ES) č. 45/2001</w:t>
      </w:r>
      <w:r>
        <w:rPr>
          <w:color w:val="auto"/>
          <w:sz w:val="16"/>
          <w:szCs w:val="16"/>
        </w:rPr>
        <w:t>4</w:t>
      </w:r>
      <w:r>
        <w:rPr>
          <w:color w:val="auto"/>
          <w:sz w:val="23"/>
          <w:szCs w:val="23"/>
        </w:rPr>
        <w:t xml:space="preserve">.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sz w:val="16"/>
          <w:szCs w:val="16"/>
        </w:rPr>
        <w:t xml:space="preserve">4Nařízení (ES) č 45/2001 Evropského parlamentu a Rady z 18. prosince 2000 o ochraně fyzických osob v souvislosti se zpracováním osobních údajů orgány a institucemi Společenství a o volném pohybu těchto údajů.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Tyto údaje zpracovává správce údajů uvedený v </w:t>
      </w:r>
      <w:proofErr w:type="gramStart"/>
      <w:r>
        <w:rPr>
          <w:color w:val="auto"/>
          <w:sz w:val="23"/>
          <w:szCs w:val="23"/>
        </w:rPr>
        <w:t>článku I.6.1</w:t>
      </w:r>
      <w:proofErr w:type="gramEnd"/>
      <w:r>
        <w:rPr>
          <w:color w:val="auto"/>
          <w:sz w:val="23"/>
          <w:szCs w:val="23"/>
        </w:rPr>
        <w:t xml:space="preserve"> výlučně pro účely provádění smlouvy, její správy a sledování jejího plnění nebo k ochraně finančních zájmů EU, včetně kontrol, auditů a vyšetřování v souladu s článkem II.27, aniž je dotčeno možné předávání těchto údajů subjektům pověřeným sledováním a kontrolou dodržování vnitrostátních právních předpisů, které se na smlouvu vztahují.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Příjemce grantu má právo přístupu ke svým osobním údajům a právo na opravu jakýchkoli takových údajů. Za tímto účelem musí jakýkoli požadavek ohledně zpracování svých osobních údajů zaslat správci osobních údajů uvedenému v </w:t>
      </w:r>
      <w:proofErr w:type="gramStart"/>
      <w:r>
        <w:rPr>
          <w:color w:val="auto"/>
          <w:sz w:val="23"/>
          <w:szCs w:val="23"/>
        </w:rPr>
        <w:t>článku I.6.1</w:t>
      </w:r>
      <w:proofErr w:type="gramEnd"/>
      <w:r>
        <w:rPr>
          <w:color w:val="auto"/>
          <w:sz w:val="23"/>
          <w:szCs w:val="23"/>
        </w:rPr>
        <w:t xml:space="preserve">.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Komise veškeré osobní údaje uvedené ve smlouvě zpracovává v souladu s Nařízením (ES) č. 45/2001.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Příjemce grantu má právo kdykoli se obrátit na Evropského inspektora ochrany údajů. </w:t>
      </w:r>
    </w:p>
    <w:p w:rsidR="008618BE" w:rsidRDefault="008618BE" w:rsidP="008618BE">
      <w:pPr>
        <w:pStyle w:val="Default"/>
        <w:jc w:val="both"/>
        <w:rPr>
          <w:color w:val="auto"/>
          <w:sz w:val="18"/>
          <w:szCs w:val="18"/>
        </w:rPr>
      </w:pPr>
      <w:r>
        <w:rPr>
          <w:color w:val="auto"/>
          <w:sz w:val="23"/>
          <w:szCs w:val="23"/>
        </w:rPr>
        <w:t xml:space="preserve">4. V článku </w:t>
      </w:r>
      <w:proofErr w:type="gramStart"/>
      <w:r>
        <w:rPr>
          <w:color w:val="auto"/>
          <w:sz w:val="23"/>
          <w:szCs w:val="23"/>
        </w:rPr>
        <w:t>II.9.3</w:t>
      </w:r>
      <w:proofErr w:type="gramEnd"/>
      <w:r>
        <w:rPr>
          <w:color w:val="auto"/>
          <w:sz w:val="23"/>
          <w:szCs w:val="23"/>
        </w:rPr>
        <w:t xml:space="preserve"> název a písmeno (a) v prvním odstavci musí být vykládány následovně: </w:t>
      </w:r>
      <w:r>
        <w:rPr>
          <w:color w:val="auto"/>
          <w:sz w:val="18"/>
          <w:szCs w:val="18"/>
        </w:rPr>
        <w:t>Číslo smlouvy: 2017-1-CZ01-KA101-034845 Grantová smlouva (</w:t>
      </w:r>
      <w:r>
        <w:rPr>
          <w:b/>
          <w:bCs/>
          <w:color w:val="auto"/>
          <w:sz w:val="18"/>
          <w:szCs w:val="18"/>
        </w:rPr>
        <w:t>jeden příjemce</w:t>
      </w:r>
      <w:r>
        <w:rPr>
          <w:color w:val="auto"/>
          <w:sz w:val="18"/>
          <w:szCs w:val="18"/>
        </w:rPr>
        <w:t xml:space="preserve">)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</w:p>
    <w:p w:rsidR="008618BE" w:rsidRDefault="008618BE" w:rsidP="008618BE">
      <w:pPr>
        <w:pStyle w:val="Default"/>
        <w:jc w:val="both"/>
        <w:rPr>
          <w:color w:val="auto"/>
        </w:rPr>
      </w:pPr>
    </w:p>
    <w:p w:rsidR="008618BE" w:rsidRDefault="008618BE" w:rsidP="008618BE">
      <w:pPr>
        <w:pStyle w:val="Default"/>
        <w:pageBreakBefore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>„</w:t>
      </w:r>
      <w:proofErr w:type="gramStart"/>
      <w:r>
        <w:rPr>
          <w:b/>
          <w:bCs/>
          <w:color w:val="auto"/>
          <w:sz w:val="23"/>
          <w:szCs w:val="23"/>
        </w:rPr>
        <w:t>II.9.3</w:t>
      </w:r>
      <w:proofErr w:type="gramEnd"/>
      <w:r>
        <w:rPr>
          <w:b/>
          <w:bCs/>
          <w:color w:val="auto"/>
          <w:sz w:val="23"/>
          <w:szCs w:val="23"/>
        </w:rPr>
        <w:t xml:space="preserve"> Užívací práva NA a Unie k výsledkům a dříve založeným právům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Příjemce poskytuje NA a Unii tato užívací práva k výsledkům </w:t>
      </w:r>
      <w:r>
        <w:rPr>
          <w:i/>
          <w:iCs/>
          <w:color w:val="auto"/>
          <w:sz w:val="23"/>
          <w:szCs w:val="23"/>
        </w:rPr>
        <w:t>projektu</w:t>
      </w:r>
      <w:r>
        <w:rPr>
          <w:color w:val="auto"/>
          <w:sz w:val="23"/>
          <w:szCs w:val="23"/>
        </w:rPr>
        <w:t xml:space="preserve">: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(a) pro jejich vlastní účely, zejména právo tyto výsledky poskytnout osobám, jež pracují pro NA, Komisi, ostatní orgány, agentury a subjekty Unie, orgánům členských států, jakož i je kopírovat a reprodukovat v plném či částečném rozsahu a v neomezeném počtu kopií;“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Ve zbytku tohoto článku musí být termín „Unie“ chápán jako „NA a/nebo Unie“.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 Druhý odstavec článku </w:t>
      </w:r>
      <w:proofErr w:type="gramStart"/>
      <w:r>
        <w:rPr>
          <w:color w:val="auto"/>
          <w:sz w:val="23"/>
          <w:szCs w:val="23"/>
        </w:rPr>
        <w:t>II.10.1</w:t>
      </w:r>
      <w:proofErr w:type="gramEnd"/>
      <w:r>
        <w:rPr>
          <w:color w:val="auto"/>
          <w:sz w:val="23"/>
          <w:szCs w:val="23"/>
        </w:rPr>
        <w:t xml:space="preserve"> musí být vykládán takto: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„Příjemce musí zajistit, že NA, Komise, Evropský účetní dvůr a Evropský úřad pro boj proti podvodům (OLAF) budou moci vykonávat svá práva podle článku </w:t>
      </w:r>
      <w:proofErr w:type="gramStart"/>
      <w:r>
        <w:rPr>
          <w:color w:val="auto"/>
          <w:sz w:val="23"/>
          <w:szCs w:val="23"/>
        </w:rPr>
        <w:t>II.27</w:t>
      </w:r>
      <w:proofErr w:type="gramEnd"/>
      <w:r>
        <w:rPr>
          <w:color w:val="auto"/>
          <w:sz w:val="23"/>
          <w:szCs w:val="23"/>
        </w:rPr>
        <w:t xml:space="preserve"> rovněž vůči zhotovitelům, dodavatelům nebo poskytovatelům příjemce.“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 Článek </w:t>
      </w:r>
      <w:proofErr w:type="gramStart"/>
      <w:r>
        <w:rPr>
          <w:color w:val="auto"/>
          <w:sz w:val="23"/>
          <w:szCs w:val="23"/>
        </w:rPr>
        <w:t>II.18</w:t>
      </w:r>
      <w:proofErr w:type="gramEnd"/>
      <w:r>
        <w:rPr>
          <w:color w:val="auto"/>
          <w:sz w:val="23"/>
          <w:szCs w:val="23"/>
        </w:rPr>
        <w:t xml:space="preserve"> musí být vykládán takto: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„</w:t>
      </w:r>
      <w:proofErr w:type="gramStart"/>
      <w:r>
        <w:rPr>
          <w:b/>
          <w:bCs/>
          <w:color w:val="auto"/>
          <w:sz w:val="23"/>
          <w:szCs w:val="23"/>
        </w:rPr>
        <w:t>II.18.1</w:t>
      </w:r>
      <w:proofErr w:type="gramEnd"/>
      <w:r>
        <w:rPr>
          <w:b/>
          <w:bCs/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Tato smlouva se řídí právním řádem České republiky.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proofErr w:type="gramStart"/>
      <w:r>
        <w:rPr>
          <w:b/>
          <w:bCs/>
          <w:color w:val="auto"/>
          <w:sz w:val="23"/>
          <w:szCs w:val="23"/>
        </w:rPr>
        <w:t>II.18.2</w:t>
      </w:r>
      <w:proofErr w:type="gramEnd"/>
      <w:r>
        <w:rPr>
          <w:b/>
          <w:bCs/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Příslušný soud určený v souladu s příslušnými vnitrostátními právními předpisy je výlučně příslušný rozhodovat o jakýchkoli sporech mezi NA a kterýmkoli příjemcem ohledně výkladu, uplatňování nebo platnosti této smlouvy, pokud takový spor nelze vyřešit dohodou obou stran.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Jakýkoliv právní akt přijatý </w:t>
      </w:r>
      <w:proofErr w:type="gramStart"/>
      <w:r>
        <w:rPr>
          <w:color w:val="auto"/>
          <w:sz w:val="23"/>
          <w:szCs w:val="23"/>
        </w:rPr>
        <w:t>NA lze</w:t>
      </w:r>
      <w:proofErr w:type="gramEnd"/>
      <w:r>
        <w:rPr>
          <w:color w:val="auto"/>
          <w:sz w:val="23"/>
          <w:szCs w:val="23"/>
        </w:rPr>
        <w:t xml:space="preserve"> v souladu s právním řádem České republiky napadnout žalobou u příslušného soudu České republiky.“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7. Článek </w:t>
      </w:r>
      <w:proofErr w:type="gramStart"/>
      <w:r>
        <w:rPr>
          <w:color w:val="auto"/>
          <w:sz w:val="23"/>
          <w:szCs w:val="23"/>
        </w:rPr>
        <w:t>II.19.1</w:t>
      </w:r>
      <w:proofErr w:type="gramEnd"/>
      <w:r>
        <w:rPr>
          <w:color w:val="auto"/>
          <w:sz w:val="23"/>
          <w:szCs w:val="23"/>
        </w:rPr>
        <w:t xml:space="preserve"> musí být vykládán takto: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„Podmínky pro způsobilost nákladů jsou definovány v části I.1 a </w:t>
      </w:r>
      <w:proofErr w:type="gramStart"/>
      <w:r>
        <w:rPr>
          <w:color w:val="auto"/>
          <w:sz w:val="23"/>
          <w:szCs w:val="23"/>
        </w:rPr>
        <w:t>II.1 přílohy</w:t>
      </w:r>
      <w:proofErr w:type="gramEnd"/>
      <w:r>
        <w:rPr>
          <w:color w:val="auto"/>
          <w:sz w:val="23"/>
          <w:szCs w:val="23"/>
        </w:rPr>
        <w:t xml:space="preserve"> III.“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8. Článek </w:t>
      </w:r>
      <w:proofErr w:type="gramStart"/>
      <w:r>
        <w:rPr>
          <w:color w:val="auto"/>
          <w:sz w:val="23"/>
          <w:szCs w:val="23"/>
        </w:rPr>
        <w:t>II.20.1</w:t>
      </w:r>
      <w:proofErr w:type="gramEnd"/>
      <w:r>
        <w:rPr>
          <w:color w:val="auto"/>
          <w:sz w:val="23"/>
          <w:szCs w:val="23"/>
        </w:rPr>
        <w:t xml:space="preserve"> musí být vykládán takto: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„Podmínky pro vykazování nákladů jsou definovány v části I.2 a </w:t>
      </w:r>
      <w:proofErr w:type="gramStart"/>
      <w:r>
        <w:rPr>
          <w:color w:val="auto"/>
          <w:sz w:val="23"/>
          <w:szCs w:val="23"/>
        </w:rPr>
        <w:t>II.2 přílohy</w:t>
      </w:r>
      <w:proofErr w:type="gramEnd"/>
      <w:r>
        <w:rPr>
          <w:color w:val="auto"/>
          <w:sz w:val="23"/>
          <w:szCs w:val="23"/>
        </w:rPr>
        <w:t xml:space="preserve"> III.“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9. Článek </w:t>
      </w:r>
      <w:proofErr w:type="gramStart"/>
      <w:r>
        <w:rPr>
          <w:color w:val="auto"/>
          <w:sz w:val="23"/>
          <w:szCs w:val="23"/>
        </w:rPr>
        <w:t>II.20.2</w:t>
      </w:r>
      <w:proofErr w:type="gramEnd"/>
      <w:r>
        <w:rPr>
          <w:color w:val="auto"/>
          <w:sz w:val="23"/>
          <w:szCs w:val="23"/>
        </w:rPr>
        <w:t xml:space="preserve"> musí být vykládán takto: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„Podmínky pro záznamy a další podkladovou dokumentaci k vykazovaným nákladům jsou definovány v části I.2 a </w:t>
      </w:r>
      <w:proofErr w:type="gramStart"/>
      <w:r>
        <w:rPr>
          <w:color w:val="auto"/>
          <w:sz w:val="23"/>
          <w:szCs w:val="23"/>
        </w:rPr>
        <w:t>II.2 přílohy</w:t>
      </w:r>
      <w:proofErr w:type="gramEnd"/>
      <w:r>
        <w:rPr>
          <w:color w:val="auto"/>
          <w:sz w:val="23"/>
          <w:szCs w:val="23"/>
        </w:rPr>
        <w:t xml:space="preserve"> III.“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10. První odstavec článku </w:t>
      </w:r>
      <w:proofErr w:type="gramStart"/>
      <w:r>
        <w:rPr>
          <w:color w:val="auto"/>
          <w:sz w:val="23"/>
          <w:szCs w:val="23"/>
        </w:rPr>
        <w:t>II.22</w:t>
      </w:r>
      <w:proofErr w:type="gramEnd"/>
      <w:r>
        <w:rPr>
          <w:color w:val="auto"/>
          <w:sz w:val="23"/>
          <w:szCs w:val="23"/>
        </w:rPr>
        <w:t xml:space="preserve"> musí být vykládán takto: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„Je-li projekt prováděn v souladu s popisem v příloze II, je příjemce oprávněn upravovat přidělený rozpočet v příloze II tím způsobem, že prostředky v rozpočtu přesouvá mezi jednotlivými rozpočtovými kategoriemi. Tyto úpravy nevyžadují změnu smlouvy dle článku </w:t>
      </w:r>
      <w:proofErr w:type="gramStart"/>
      <w:r>
        <w:rPr>
          <w:color w:val="auto"/>
          <w:sz w:val="23"/>
          <w:szCs w:val="23"/>
        </w:rPr>
        <w:t>II.13</w:t>
      </w:r>
      <w:proofErr w:type="gramEnd"/>
      <w:r>
        <w:rPr>
          <w:color w:val="auto"/>
          <w:sz w:val="23"/>
          <w:szCs w:val="23"/>
        </w:rPr>
        <w:t xml:space="preserve">, pokud budou dodrženy podmínky článku I.3.3.“ </w:t>
      </w:r>
    </w:p>
    <w:p w:rsidR="008618BE" w:rsidRDefault="008618BE" w:rsidP="008618BE">
      <w:pPr>
        <w:pStyle w:val="Default"/>
        <w:jc w:val="both"/>
        <w:rPr>
          <w:color w:val="auto"/>
          <w:sz w:val="18"/>
          <w:szCs w:val="18"/>
        </w:rPr>
      </w:pPr>
      <w:r>
        <w:rPr>
          <w:color w:val="auto"/>
          <w:sz w:val="23"/>
          <w:szCs w:val="23"/>
        </w:rPr>
        <w:t xml:space="preserve">11. Článek </w:t>
      </w:r>
      <w:proofErr w:type="gramStart"/>
      <w:r>
        <w:rPr>
          <w:color w:val="auto"/>
          <w:sz w:val="23"/>
          <w:szCs w:val="23"/>
        </w:rPr>
        <w:t>II.23</w:t>
      </w:r>
      <w:proofErr w:type="gramEnd"/>
      <w:r>
        <w:rPr>
          <w:color w:val="auto"/>
          <w:sz w:val="23"/>
          <w:szCs w:val="23"/>
        </w:rPr>
        <w:t xml:space="preserve">(b) musí být vykládán takto: </w:t>
      </w:r>
      <w:r>
        <w:rPr>
          <w:color w:val="auto"/>
          <w:sz w:val="18"/>
          <w:szCs w:val="18"/>
        </w:rPr>
        <w:t>Číslo smlouvy: 2017-1-CZ01-KA101-034845 Grantová smlouva (</w:t>
      </w:r>
      <w:r>
        <w:rPr>
          <w:b/>
          <w:bCs/>
          <w:color w:val="auto"/>
          <w:sz w:val="18"/>
          <w:szCs w:val="18"/>
        </w:rPr>
        <w:t>jeden příjemce</w:t>
      </w:r>
      <w:r>
        <w:rPr>
          <w:color w:val="auto"/>
          <w:sz w:val="18"/>
          <w:szCs w:val="18"/>
        </w:rPr>
        <w:t xml:space="preserve">)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</w:p>
    <w:p w:rsidR="008618BE" w:rsidRDefault="008618BE" w:rsidP="008618BE">
      <w:pPr>
        <w:pStyle w:val="Default"/>
        <w:jc w:val="both"/>
        <w:rPr>
          <w:color w:val="auto"/>
        </w:rPr>
      </w:pPr>
    </w:p>
    <w:p w:rsidR="008618BE" w:rsidRDefault="008618BE" w:rsidP="008618BE">
      <w:pPr>
        <w:pStyle w:val="Default"/>
        <w:pageBreakBefore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„nepředloží takovou žádost ani ve lhůtě dalších 30 kalendářních dnů poté, co mu </w:t>
      </w:r>
      <w:proofErr w:type="gramStart"/>
      <w:r>
        <w:rPr>
          <w:color w:val="auto"/>
          <w:sz w:val="23"/>
          <w:szCs w:val="23"/>
        </w:rPr>
        <w:t>NA</w:t>
      </w:r>
      <w:proofErr w:type="gramEnd"/>
      <w:r>
        <w:rPr>
          <w:color w:val="auto"/>
          <w:sz w:val="23"/>
          <w:szCs w:val="23"/>
        </w:rPr>
        <w:t xml:space="preserve">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zašle písemnou upomínku.“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12. První odstavec článku </w:t>
      </w:r>
      <w:proofErr w:type="gramStart"/>
      <w:r>
        <w:rPr>
          <w:color w:val="auto"/>
          <w:sz w:val="23"/>
          <w:szCs w:val="23"/>
        </w:rPr>
        <w:t>II.24.1.3</w:t>
      </w:r>
      <w:proofErr w:type="gramEnd"/>
      <w:r>
        <w:rPr>
          <w:color w:val="auto"/>
          <w:sz w:val="23"/>
          <w:szCs w:val="23"/>
        </w:rPr>
        <w:t xml:space="preserve"> musí být vykládán takto: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„Během období pozastavení plateb příjemce není oprávněn podávat jakékoli žádosti o platby a podklady uvedené v </w:t>
      </w:r>
      <w:proofErr w:type="gramStart"/>
      <w:r>
        <w:rPr>
          <w:color w:val="auto"/>
          <w:sz w:val="23"/>
          <w:szCs w:val="23"/>
        </w:rPr>
        <w:t>článcích I.4.3</w:t>
      </w:r>
      <w:proofErr w:type="gramEnd"/>
      <w:r>
        <w:rPr>
          <w:color w:val="auto"/>
          <w:sz w:val="23"/>
          <w:szCs w:val="23"/>
        </w:rPr>
        <w:t xml:space="preserve"> a I.4.4“.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13. Článek </w:t>
      </w:r>
      <w:proofErr w:type="gramStart"/>
      <w:r>
        <w:rPr>
          <w:color w:val="auto"/>
          <w:sz w:val="23"/>
          <w:szCs w:val="23"/>
        </w:rPr>
        <w:t>II.25.1</w:t>
      </w:r>
      <w:proofErr w:type="gramEnd"/>
      <w:r>
        <w:rPr>
          <w:color w:val="auto"/>
          <w:sz w:val="23"/>
          <w:szCs w:val="23"/>
        </w:rPr>
        <w:t xml:space="preserve"> musí být vykládán takto: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„</w:t>
      </w:r>
      <w:proofErr w:type="gramStart"/>
      <w:r>
        <w:rPr>
          <w:b/>
          <w:bCs/>
          <w:color w:val="auto"/>
          <w:sz w:val="23"/>
          <w:szCs w:val="23"/>
        </w:rPr>
        <w:t>II.25.1</w:t>
      </w:r>
      <w:proofErr w:type="gramEnd"/>
      <w:r>
        <w:rPr>
          <w:b/>
          <w:bCs/>
          <w:color w:val="auto"/>
          <w:sz w:val="23"/>
          <w:szCs w:val="23"/>
        </w:rPr>
        <w:t xml:space="preserve"> Krok 1 – Uplatnění sazby proplácených nákladů na způsobilé náklady a připočtení jednotkového příspěvku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Tento krok je prováděn následovně: </w:t>
      </w:r>
    </w:p>
    <w:p w:rsidR="008618BE" w:rsidRDefault="008618BE" w:rsidP="008618BE">
      <w:pPr>
        <w:pStyle w:val="Default"/>
        <w:spacing w:after="2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(a) Je-li grant v souladu s </w:t>
      </w:r>
      <w:proofErr w:type="gramStart"/>
      <w:r>
        <w:rPr>
          <w:color w:val="auto"/>
          <w:sz w:val="23"/>
          <w:szCs w:val="23"/>
        </w:rPr>
        <w:t>článkem I.3.2</w:t>
      </w:r>
      <w:proofErr w:type="gramEnd"/>
      <w:r>
        <w:rPr>
          <w:color w:val="auto"/>
          <w:sz w:val="23"/>
          <w:szCs w:val="23"/>
        </w:rPr>
        <w:t xml:space="preserve">(a) udělen formou úhrady způsobilých nákladů, je sazba proplácených nákladů specifikovaná v článku II.2 přílohy III uplatněna na způsobilé náklady na projekt, které schválí NA pro dané kategorie nákladů a příjemce;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(b) Je-li grant v souladu s </w:t>
      </w:r>
      <w:proofErr w:type="gramStart"/>
      <w:r>
        <w:rPr>
          <w:color w:val="auto"/>
          <w:sz w:val="23"/>
          <w:szCs w:val="23"/>
        </w:rPr>
        <w:t>článkem I.3.2</w:t>
      </w:r>
      <w:proofErr w:type="gramEnd"/>
      <w:r>
        <w:rPr>
          <w:color w:val="auto"/>
          <w:sz w:val="23"/>
          <w:szCs w:val="23"/>
        </w:rPr>
        <w:t xml:space="preserve">(b) udělen formou jednotkového příspěvku, je jednotkový příspěvek specifikovaný v příloze IV vynásoben skutečným počtem jednotek, který schválí NA pro daného příjemce.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Stanoví-li </w:t>
      </w:r>
      <w:proofErr w:type="gramStart"/>
      <w:r>
        <w:rPr>
          <w:color w:val="auto"/>
          <w:sz w:val="23"/>
          <w:szCs w:val="23"/>
        </w:rPr>
        <w:t>článek I.3.2</w:t>
      </w:r>
      <w:proofErr w:type="gramEnd"/>
      <w:r>
        <w:rPr>
          <w:color w:val="auto"/>
          <w:sz w:val="23"/>
          <w:szCs w:val="23"/>
        </w:rPr>
        <w:t xml:space="preserve"> kombinaci různých forem grantů, výsledné částky se sčítají.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14. Druhý odstavec článku </w:t>
      </w:r>
      <w:proofErr w:type="gramStart"/>
      <w:r>
        <w:rPr>
          <w:color w:val="auto"/>
          <w:sz w:val="23"/>
          <w:szCs w:val="23"/>
        </w:rPr>
        <w:t>II.25.4</w:t>
      </w:r>
      <w:proofErr w:type="gramEnd"/>
      <w:r>
        <w:rPr>
          <w:color w:val="auto"/>
          <w:sz w:val="23"/>
          <w:szCs w:val="23"/>
        </w:rPr>
        <w:t xml:space="preserve"> musí být vykládán takto: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„Rozsah snížení je úměrný rozsahu realizace projektu, v němž projekt nebyl proveden řádně, či rozsahu závažnosti porušení povinnosti v souladu s částí IV přílohy III.“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15. Třetí odstavec článku </w:t>
      </w:r>
      <w:proofErr w:type="gramStart"/>
      <w:r>
        <w:rPr>
          <w:color w:val="auto"/>
          <w:sz w:val="23"/>
          <w:szCs w:val="23"/>
        </w:rPr>
        <w:t>II.26.2</w:t>
      </w:r>
      <w:proofErr w:type="gramEnd"/>
      <w:r>
        <w:rPr>
          <w:color w:val="auto"/>
          <w:sz w:val="23"/>
          <w:szCs w:val="23"/>
        </w:rPr>
        <w:t xml:space="preserve"> musí být vykládán takto: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„Není-li do data uvedeného ve výzvě k úhradě platba provedena, bude </w:t>
      </w:r>
      <w:proofErr w:type="gramStart"/>
      <w:r>
        <w:rPr>
          <w:color w:val="auto"/>
          <w:sz w:val="23"/>
          <w:szCs w:val="23"/>
        </w:rPr>
        <w:t>NA vymáhat</w:t>
      </w:r>
      <w:proofErr w:type="gramEnd"/>
      <w:r>
        <w:rPr>
          <w:color w:val="auto"/>
          <w:sz w:val="23"/>
          <w:szCs w:val="23"/>
        </w:rPr>
        <w:t xml:space="preserve"> dlužnou částku: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(a) započtením, bez předchozího souhlasu příjemce, proti veškerým dlužným částkám, které </w:t>
      </w:r>
      <w:proofErr w:type="gramStart"/>
      <w:r>
        <w:rPr>
          <w:color w:val="auto"/>
          <w:sz w:val="23"/>
          <w:szCs w:val="23"/>
        </w:rPr>
        <w:t>NA dluží</w:t>
      </w:r>
      <w:proofErr w:type="gramEnd"/>
      <w:r>
        <w:rPr>
          <w:color w:val="auto"/>
          <w:sz w:val="23"/>
          <w:szCs w:val="23"/>
        </w:rPr>
        <w:t xml:space="preserve"> příjemci („započtení“);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Za výjimečných okolností je NA za účelem ochrany finančních zájmů Unie oprávněna provést započtení ještě před termínem splatnosti.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Proti započtení lze podat žalobu k příslušnému soudu v souladu s článkem </w:t>
      </w:r>
      <w:proofErr w:type="gramStart"/>
      <w:r>
        <w:rPr>
          <w:color w:val="auto"/>
          <w:sz w:val="23"/>
          <w:szCs w:val="23"/>
        </w:rPr>
        <w:t>II.18.2</w:t>
      </w:r>
      <w:proofErr w:type="gramEnd"/>
      <w:r>
        <w:rPr>
          <w:color w:val="auto"/>
          <w:sz w:val="23"/>
          <w:szCs w:val="23"/>
        </w:rPr>
        <w:t xml:space="preserve">; </w:t>
      </w:r>
    </w:p>
    <w:p w:rsidR="008618BE" w:rsidRDefault="008618BE" w:rsidP="008618BE">
      <w:pPr>
        <w:pStyle w:val="Default"/>
        <w:spacing w:after="2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(b) čerpáním finanční záruky v souladu s </w:t>
      </w:r>
      <w:proofErr w:type="gramStart"/>
      <w:r>
        <w:rPr>
          <w:color w:val="auto"/>
          <w:sz w:val="23"/>
          <w:szCs w:val="23"/>
        </w:rPr>
        <w:t>článkem I.4.2</w:t>
      </w:r>
      <w:proofErr w:type="gramEnd"/>
      <w:r>
        <w:rPr>
          <w:color w:val="auto"/>
          <w:sz w:val="23"/>
          <w:szCs w:val="23"/>
        </w:rPr>
        <w:t xml:space="preserve"> („čerpání finanční záruky“);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(c) učiněním právních kroků v souladu s článkem </w:t>
      </w:r>
      <w:proofErr w:type="gramStart"/>
      <w:r>
        <w:rPr>
          <w:color w:val="auto"/>
          <w:sz w:val="23"/>
          <w:szCs w:val="23"/>
        </w:rPr>
        <w:t>II.18.2</w:t>
      </w:r>
      <w:proofErr w:type="gramEnd"/>
      <w:r>
        <w:rPr>
          <w:color w:val="auto"/>
          <w:sz w:val="23"/>
          <w:szCs w:val="23"/>
        </w:rPr>
        <w:t xml:space="preserve">, nebo se zvláštními podmínkami.“ </w:t>
      </w:r>
    </w:p>
    <w:p w:rsidR="008618BE" w:rsidRDefault="008618BE" w:rsidP="008618BE">
      <w:pPr>
        <w:pStyle w:val="Default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Číslo smlouvy: 2017-1-CZ01-KA101-034845 Grantová smlouva (</w:t>
      </w:r>
      <w:r>
        <w:rPr>
          <w:b/>
          <w:bCs/>
          <w:color w:val="auto"/>
          <w:sz w:val="18"/>
          <w:szCs w:val="18"/>
        </w:rPr>
        <w:t>jeden příjemce</w:t>
      </w:r>
      <w:r>
        <w:rPr>
          <w:color w:val="auto"/>
          <w:sz w:val="18"/>
          <w:szCs w:val="18"/>
        </w:rPr>
        <w:t xml:space="preserve">)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</w:p>
    <w:p w:rsidR="008618BE" w:rsidRDefault="008618BE" w:rsidP="008618BE">
      <w:pPr>
        <w:pStyle w:val="Default"/>
        <w:jc w:val="both"/>
        <w:rPr>
          <w:color w:val="auto"/>
        </w:rPr>
      </w:pPr>
    </w:p>
    <w:p w:rsidR="008618BE" w:rsidRDefault="008618BE" w:rsidP="008618BE">
      <w:pPr>
        <w:pStyle w:val="Default"/>
        <w:pageBreakBefore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16. Třetí odstavec článku </w:t>
      </w:r>
      <w:proofErr w:type="gramStart"/>
      <w:r>
        <w:rPr>
          <w:color w:val="auto"/>
          <w:sz w:val="23"/>
          <w:szCs w:val="23"/>
        </w:rPr>
        <w:t>II.27.2</w:t>
      </w:r>
      <w:proofErr w:type="gramEnd"/>
      <w:r>
        <w:rPr>
          <w:color w:val="auto"/>
          <w:sz w:val="23"/>
          <w:szCs w:val="23"/>
        </w:rPr>
        <w:t xml:space="preserve"> musí být vykládán takto: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„Období uvedená v prvním a druhém pododstavci se prodlužují v případě, že to vyžadují vnitrostátní právní předpisy nebo v souvislosti s grantem probíhají audity, jsou podány opravné prostředky, probíhají soudní spory či jsou vymáhány pohledávky, a to včetně případů podle článku </w:t>
      </w:r>
      <w:proofErr w:type="gramStart"/>
      <w:r>
        <w:rPr>
          <w:color w:val="auto"/>
          <w:sz w:val="23"/>
          <w:szCs w:val="23"/>
        </w:rPr>
        <w:t>II.27.7</w:t>
      </w:r>
      <w:proofErr w:type="gramEnd"/>
      <w:r>
        <w:rPr>
          <w:color w:val="auto"/>
          <w:sz w:val="23"/>
          <w:szCs w:val="23"/>
        </w:rPr>
        <w:t xml:space="preserve">. V takových případech je příjemce povinen uchovávat dokumenty až do doby, kdy jsou tyto audity, uplatňování opravných prostředků, soudní spory či vymáhání pohledávek ukončeny.“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17. Článek </w:t>
      </w:r>
      <w:proofErr w:type="gramStart"/>
      <w:r>
        <w:rPr>
          <w:color w:val="auto"/>
          <w:sz w:val="23"/>
          <w:szCs w:val="23"/>
        </w:rPr>
        <w:t>II.27.3</w:t>
      </w:r>
      <w:proofErr w:type="gramEnd"/>
      <w:r>
        <w:rPr>
          <w:color w:val="auto"/>
          <w:sz w:val="23"/>
          <w:szCs w:val="23"/>
        </w:rPr>
        <w:t xml:space="preserve"> musí být vykládán takto: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„Příjemce je povinen poskytnout všechny údaje včetně údajů v elektronické podobě, jež si NA nebo Komise či externí subjekt zmocněný tak činit jménem </w:t>
      </w:r>
      <w:proofErr w:type="gramStart"/>
      <w:r>
        <w:rPr>
          <w:color w:val="auto"/>
          <w:sz w:val="23"/>
          <w:szCs w:val="23"/>
        </w:rPr>
        <w:t>NA vyžádají</w:t>
      </w:r>
      <w:proofErr w:type="gramEnd"/>
      <w:r>
        <w:rPr>
          <w:color w:val="auto"/>
          <w:sz w:val="23"/>
          <w:szCs w:val="23"/>
        </w:rPr>
        <w:t xml:space="preserve">.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Nesplní-li příjemce povinnosti podle prvního a druhého pododstavce, je </w:t>
      </w:r>
      <w:proofErr w:type="gramStart"/>
      <w:r>
        <w:rPr>
          <w:color w:val="auto"/>
          <w:sz w:val="23"/>
          <w:szCs w:val="23"/>
        </w:rPr>
        <w:t>NA oprávněna</w:t>
      </w:r>
      <w:proofErr w:type="gramEnd"/>
      <w:r>
        <w:rPr>
          <w:color w:val="auto"/>
          <w:sz w:val="23"/>
          <w:szCs w:val="23"/>
        </w:rPr>
        <w:t xml:space="preserve"> považovat: </w:t>
      </w:r>
    </w:p>
    <w:p w:rsidR="008618BE" w:rsidRDefault="008618BE" w:rsidP="008618BE">
      <w:pPr>
        <w:pStyle w:val="Default"/>
        <w:spacing w:after="2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(a) náklady, jež nejsou příjemcem dostatečně odůvodněné, za nezpůsobilé;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(b) jednotkové příspěvky, jednorázové částky a paušální grant, jež nejsou příjemcem dostatečně odůvodněné, za neoprávněné.“ </w:t>
      </w: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</w:p>
    <w:p w:rsidR="008618BE" w:rsidRDefault="008618BE" w:rsidP="008618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Smlouva je vyhotovena ve dvou stejnopisech po jednom pro NA a pro příjemce.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64"/>
        <w:gridCol w:w="3264"/>
      </w:tblGrid>
      <w:tr w:rsidR="008618BE">
        <w:trPr>
          <w:trHeight w:val="2455"/>
        </w:trPr>
        <w:tc>
          <w:tcPr>
            <w:tcW w:w="3264" w:type="dxa"/>
          </w:tcPr>
          <w:p w:rsidR="008618BE" w:rsidRDefault="008618BE" w:rsidP="008618BE">
            <w:pPr>
              <w:pStyle w:val="Default"/>
              <w:jc w:val="both"/>
            </w:pPr>
            <w:r>
              <w:rPr>
                <w:color w:val="auto"/>
                <w:sz w:val="23"/>
                <w:szCs w:val="23"/>
              </w:rPr>
              <w:t xml:space="preserve">PODPISY </w:t>
            </w:r>
            <w:r>
              <w:t xml:space="preserve">Za příjemce grantu </w:t>
            </w:r>
          </w:p>
          <w:p w:rsidR="008618BE" w:rsidRDefault="008618BE" w:rsidP="008618B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Mgr. Jan Mareš, MBA </w:t>
            </w:r>
          </w:p>
          <w:p w:rsidR="008618BE" w:rsidRDefault="008618BE" w:rsidP="008618B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ředitel školy </w:t>
            </w:r>
          </w:p>
          <w:p w:rsidR="008618BE" w:rsidRDefault="008618BE" w:rsidP="008618B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Podpis </w:t>
            </w:r>
          </w:p>
          <w:p w:rsidR="008618BE" w:rsidRDefault="008618BE" w:rsidP="008618B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 </w:t>
            </w:r>
            <w:proofErr w:type="gramStart"/>
            <w:r>
              <w:rPr>
                <w:sz w:val="23"/>
                <w:szCs w:val="23"/>
              </w:rPr>
              <w:t>dne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8618BE" w:rsidRDefault="008618BE" w:rsidP="008618B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Razítko: </w:t>
            </w:r>
          </w:p>
        </w:tc>
        <w:tc>
          <w:tcPr>
            <w:tcW w:w="3264" w:type="dxa"/>
          </w:tcPr>
          <w:p w:rsidR="008618BE" w:rsidRDefault="008618BE" w:rsidP="008618B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Za národní agenturu </w:t>
            </w:r>
          </w:p>
          <w:p w:rsidR="008618BE" w:rsidRDefault="008618BE" w:rsidP="008618B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Ing. Dana Petrova </w:t>
            </w:r>
          </w:p>
          <w:p w:rsidR="008618BE" w:rsidRDefault="008618BE" w:rsidP="008618B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ředitelka </w:t>
            </w:r>
          </w:p>
          <w:p w:rsidR="008618BE" w:rsidRDefault="008618BE" w:rsidP="008618B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Podpis </w:t>
            </w:r>
          </w:p>
          <w:p w:rsidR="008618BE" w:rsidRDefault="008618BE" w:rsidP="008618B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 Praze dne </w:t>
            </w:r>
          </w:p>
          <w:p w:rsidR="008618BE" w:rsidRDefault="008618BE" w:rsidP="008618B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Razítko: </w:t>
            </w:r>
          </w:p>
        </w:tc>
      </w:tr>
    </w:tbl>
    <w:p w:rsidR="007B2016" w:rsidRDefault="007B2016" w:rsidP="008618BE">
      <w:pPr>
        <w:jc w:val="both"/>
      </w:pPr>
    </w:p>
    <w:sectPr w:rsidR="007B2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20D0BC7"/>
    <w:multiLevelType w:val="hybridMultilevel"/>
    <w:tmpl w:val="1F77F4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8B28593"/>
    <w:multiLevelType w:val="hybridMultilevel"/>
    <w:tmpl w:val="8421ED9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E926879"/>
    <w:multiLevelType w:val="hybridMultilevel"/>
    <w:tmpl w:val="CEDD25F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CB60D74"/>
    <w:multiLevelType w:val="hybridMultilevel"/>
    <w:tmpl w:val="BA49A5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F62A6B9"/>
    <w:multiLevelType w:val="hybridMultilevel"/>
    <w:tmpl w:val="A40578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8220B3C"/>
    <w:multiLevelType w:val="hybridMultilevel"/>
    <w:tmpl w:val="626017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9963C34"/>
    <w:multiLevelType w:val="hybridMultilevel"/>
    <w:tmpl w:val="0628E5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44C277E"/>
    <w:multiLevelType w:val="hybridMultilevel"/>
    <w:tmpl w:val="FA7193A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7135444"/>
    <w:multiLevelType w:val="hybridMultilevel"/>
    <w:tmpl w:val="B332618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D947F15"/>
    <w:multiLevelType w:val="hybridMultilevel"/>
    <w:tmpl w:val="14D4410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4CEC49D"/>
    <w:multiLevelType w:val="hybridMultilevel"/>
    <w:tmpl w:val="1C7F1F3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66F6306"/>
    <w:multiLevelType w:val="hybridMultilevel"/>
    <w:tmpl w:val="ED93E5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10798C4"/>
    <w:multiLevelType w:val="hybridMultilevel"/>
    <w:tmpl w:val="AE4DBF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4"/>
  </w:num>
  <w:num w:numId="5">
    <w:abstractNumId w:val="8"/>
  </w:num>
  <w:num w:numId="6">
    <w:abstractNumId w:val="11"/>
  </w:num>
  <w:num w:numId="7">
    <w:abstractNumId w:val="2"/>
  </w:num>
  <w:num w:numId="8">
    <w:abstractNumId w:val="1"/>
  </w:num>
  <w:num w:numId="9">
    <w:abstractNumId w:val="9"/>
  </w:num>
  <w:num w:numId="10">
    <w:abstractNumId w:val="7"/>
  </w:num>
  <w:num w:numId="11">
    <w:abstractNumId w:val="10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8BE"/>
    <w:rsid w:val="007B2016"/>
    <w:rsid w:val="008618BE"/>
    <w:rsid w:val="00C37D6C"/>
    <w:rsid w:val="00E158F6"/>
    <w:rsid w:val="00E5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A0ED7"/>
  <w15:docId w15:val="{199F2352-28E6-4CA2-8EA1-2415C2B9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618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1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18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3685</Words>
  <Characters>21742</Characters>
  <Application>Microsoft Office Word</Application>
  <DocSecurity>0</DocSecurity>
  <Lines>181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Petra Kouřilová</cp:lastModifiedBy>
  <cp:revision>3</cp:revision>
  <dcterms:created xsi:type="dcterms:W3CDTF">2017-07-21T07:44:00Z</dcterms:created>
  <dcterms:modified xsi:type="dcterms:W3CDTF">2017-07-21T08:45:00Z</dcterms:modified>
</cp:coreProperties>
</file>