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3608C5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A5" w:rsidRDefault="007649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S/05541/UL/24</w:t>
      </w:r>
    </w:p>
    <w:p w:rsidR="00561AA5" w:rsidRDefault="007649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05541/UL/24</w:t>
      </w:r>
    </w:p>
    <w:p w:rsidR="00561AA5" w:rsidRDefault="007649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1239/53/24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3608C5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Ing. Vladislav Kopecký</w:t>
      </w:r>
      <w:r w:rsidR="00FF6FA8" w:rsidRPr="009008C5">
        <w:rPr>
          <w:rFonts w:ascii="Arial" w:hAnsi="Arial" w:cs="Arial"/>
        </w:rPr>
        <w:t xml:space="preserve">, </w:t>
      </w:r>
      <w:r w:rsidR="00821C1F">
        <w:rPr>
          <w:rFonts w:ascii="Arial" w:hAnsi="Arial" w:cs="Arial"/>
        </w:rPr>
        <w:t>pověřený řízením</w:t>
      </w:r>
      <w:r>
        <w:rPr>
          <w:rFonts w:ascii="Arial" w:hAnsi="Arial" w:cs="Arial"/>
        </w:rPr>
        <w:t xml:space="preserve">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 w:rsidR="00821C1F">
        <w:rPr>
          <w:rFonts w:ascii="Arial" w:hAnsi="Arial" w:cs="Arial"/>
        </w:rPr>
        <w:t>vlastníkem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6B3D71" w:rsidRPr="006B3D71">
        <w:rPr>
          <w:rFonts w:ascii="Arial" w:hAnsi="Arial" w:cs="Arial"/>
          <w:highlight w:val="black"/>
        </w:rPr>
        <w:t>xxxxxxxxxxxxxxxxxx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821C1F">
        <w:rPr>
          <w:rFonts w:ascii="Arial" w:hAnsi="Arial" w:cs="Arial"/>
          <w:b/>
        </w:rPr>
        <w:t>Vlastník</w:t>
      </w:r>
    </w:p>
    <w:p w:rsidR="00821C1F" w:rsidRDefault="003608C5" w:rsidP="00E6249C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Lesy České republiky, s.</w:t>
      </w:r>
      <w:r w:rsidR="007607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2015210237/0100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i7s2ceu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Petr Chvála, lesní správce</w:t>
      </w:r>
      <w:r w:rsidR="00E2133F">
        <w:rPr>
          <w:rFonts w:ascii="Arial" w:hAnsi="Arial" w:cs="Arial"/>
        </w:rPr>
        <w:t>, LS Litoměřice</w:t>
      </w:r>
      <w:r w:rsidR="007A5BB5">
        <w:rPr>
          <w:rFonts w:ascii="Arial" w:hAnsi="Arial" w:cs="Arial"/>
        </w:rPr>
        <w:t xml:space="preserve"> </w:t>
      </w:r>
    </w:p>
    <w:p w:rsidR="00E83E5F" w:rsidRPr="009008C5" w:rsidRDefault="007A5BB5" w:rsidP="00E6249C">
      <w:pPr>
        <w:spacing w:before="40" w:after="0"/>
      </w:pPr>
      <w:r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3608C5">
        <w:rPr>
          <w:rFonts w:ascii="Arial" w:hAnsi="Arial" w:cs="Arial"/>
        </w:rPr>
        <w:t>Ing. Petr Chvála, lesní správce</w:t>
      </w:r>
      <w:r w:rsidR="00CF1409">
        <w:rPr>
          <w:rFonts w:ascii="Arial" w:hAnsi="Arial" w:cs="Arial"/>
        </w:rPr>
        <w:t xml:space="preserve">, </w:t>
      </w:r>
      <w:r w:rsidR="00CF1409" w:rsidRPr="00245AA4">
        <w:rPr>
          <w:rFonts w:ascii="Arial" w:hAnsi="Arial" w:cs="Arial"/>
        </w:rPr>
        <w:t>telefon:</w:t>
      </w:r>
      <w:r w:rsidR="00E02224" w:rsidRPr="00245AA4">
        <w:rPr>
          <w:rFonts w:ascii="Arial" w:hAnsi="Arial" w:cs="Arial"/>
        </w:rPr>
        <w:t xml:space="preserve"> </w:t>
      </w:r>
      <w:r w:rsidR="006B3D71" w:rsidRPr="006B3D71">
        <w:rPr>
          <w:rFonts w:ascii="Arial" w:hAnsi="Arial" w:cs="Arial"/>
          <w:highlight w:val="black"/>
        </w:rPr>
        <w:t>xxxxxxxxxxxxxx</w:t>
      </w:r>
      <w:r w:rsidR="00E02224" w:rsidRPr="00245AA4">
        <w:rPr>
          <w:rFonts w:ascii="Arial" w:hAnsi="Arial" w:cs="Arial"/>
        </w:rPr>
        <w:t>,</w:t>
      </w:r>
      <w:r w:rsidR="00CF1409" w:rsidRPr="00245AA4">
        <w:rPr>
          <w:rFonts w:ascii="Arial" w:hAnsi="Arial" w:cs="Arial"/>
        </w:rPr>
        <w:t xml:space="preserve"> email:</w:t>
      </w:r>
      <w:r w:rsidR="00E02224">
        <w:rPr>
          <w:rFonts w:ascii="Arial" w:hAnsi="Arial" w:cs="Arial"/>
        </w:rPr>
        <w:t xml:space="preserve"> </w:t>
      </w:r>
      <w:r w:rsidR="006B3D71" w:rsidRPr="006B3D71">
        <w:rPr>
          <w:rFonts w:ascii="Arial" w:hAnsi="Arial" w:cs="Arial"/>
          <w:highlight w:val="black"/>
        </w:rPr>
        <w:t>xxxxxxxxxxxxxxxxxx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245AA4">
        <w:rPr>
          <w:rFonts w:ascii="Arial" w:hAnsi="Arial" w:cs="Arial"/>
        </w:rPr>
        <w:t>jakožto</w:t>
      </w:r>
      <w:r w:rsidR="00C962A5" w:rsidRPr="00245AA4">
        <w:t xml:space="preserve"> </w:t>
      </w:r>
      <w:r w:rsidR="00821C1F" w:rsidRPr="00245AA4">
        <w:rPr>
          <w:rFonts w:ascii="Arial" w:hAnsi="Arial" w:cs="Arial"/>
        </w:rPr>
        <w:t>vlastník</w:t>
      </w:r>
      <w:r w:rsidR="00C962A5" w:rsidRPr="00245AA4">
        <w:rPr>
          <w:rFonts w:ascii="Arial" w:hAnsi="Arial" w:cs="Arial"/>
        </w:rPr>
        <w:t xml:space="preserve"> </w:t>
      </w:r>
      <w:r w:rsidRPr="00245AA4">
        <w:rPr>
          <w:rFonts w:ascii="Arial" w:hAnsi="Arial" w:cs="Arial"/>
        </w:rPr>
        <w:t>pozemků p.</w:t>
      </w:r>
      <w:r w:rsidR="00245AA4">
        <w:rPr>
          <w:rFonts w:ascii="Arial" w:hAnsi="Arial" w:cs="Arial"/>
        </w:rPr>
        <w:t xml:space="preserve"> </w:t>
      </w:r>
      <w:r w:rsidRPr="00245AA4">
        <w:rPr>
          <w:rFonts w:ascii="Arial" w:hAnsi="Arial" w:cs="Arial"/>
        </w:rPr>
        <w:t>č. 480, 481, 530, 552/1, 553/1, 554/1, 554/7</w:t>
      </w:r>
      <w:r w:rsidR="00245AA4" w:rsidRPr="00245AA4">
        <w:rPr>
          <w:rFonts w:ascii="Arial" w:hAnsi="Arial" w:cs="Arial"/>
        </w:rPr>
        <w:t xml:space="preserve"> k. ú. Oparno</w:t>
      </w:r>
      <w:r w:rsidRPr="00245AA4">
        <w:rPr>
          <w:rFonts w:ascii="Arial" w:hAnsi="Arial" w:cs="Arial"/>
        </w:rPr>
        <w:t>; p.</w:t>
      </w:r>
      <w:r w:rsidR="00821C1F" w:rsidRPr="00245AA4">
        <w:rPr>
          <w:rFonts w:ascii="Arial" w:hAnsi="Arial" w:cs="Arial"/>
        </w:rPr>
        <w:t xml:space="preserve"> </w:t>
      </w:r>
      <w:r w:rsidRPr="00245AA4">
        <w:rPr>
          <w:rFonts w:ascii="Arial" w:hAnsi="Arial" w:cs="Arial"/>
        </w:rPr>
        <w:t>č. 1245</w:t>
      </w:r>
      <w:r w:rsidR="00245AA4" w:rsidRPr="00245AA4">
        <w:rPr>
          <w:rFonts w:ascii="Arial" w:hAnsi="Arial" w:cs="Arial"/>
        </w:rPr>
        <w:t xml:space="preserve"> k. ú. Radostice u Vchynice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821C1F">
        <w:rPr>
          <w:rFonts w:ascii="Arial" w:hAnsi="Arial" w:cs="Arial"/>
          <w:b/>
        </w:rPr>
        <w:t>vlastník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821C1F">
        <w:rPr>
          <w:rFonts w:ascii="Arial" w:hAnsi="Arial" w:cs="Arial"/>
        </w:rPr>
        <w:t>vlastník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821C1F">
        <w:t>CHKO České středohoří</w:t>
      </w:r>
      <w:r w:rsidR="00DD0A91">
        <w:t>;</w:t>
      </w:r>
      <w:r w:rsidR="00821C1F">
        <w:t xml:space="preserve"> </w:t>
      </w:r>
      <w:r w:rsidR="00DD0A91">
        <w:t>CZ0424037 EVL</w:t>
      </w:r>
      <w:r>
        <w:t xml:space="preserve"> Lovoš</w:t>
      </w:r>
      <w:r w:rsidR="00DD0A91">
        <w:t>; CZ0420459</w:t>
      </w:r>
      <w:r>
        <w:t xml:space="preserve"> EVL Košťálov</w:t>
      </w:r>
      <w:r w:rsidR="00330185">
        <w:t xml:space="preserve"> </w:t>
      </w:r>
      <w:r w:rsidRPr="007A2884">
        <w:t>z důvodu ochrany přírody dle §</w:t>
      </w:r>
      <w:r w:rsidR="00E24EC4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821C1F">
        <w:t>vlastník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821C1F">
        <w:t>vlastníkovi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45AA4">
        <w:rPr>
          <w:rFonts w:ascii="Arial" w:hAnsi="Arial" w:cs="Arial"/>
          <w:sz w:val="22"/>
          <w:szCs w:val="22"/>
        </w:rPr>
        <w:t>vlastník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821C1F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Lovoš - </w:t>
      </w:r>
      <w:r w:rsidR="004814AC">
        <w:rPr>
          <w:rFonts w:ascii="Arial" w:hAnsi="Arial" w:cs="Arial"/>
          <w:b/>
        </w:rPr>
        <w:t>odstraněn</w:t>
      </w:r>
      <w:r>
        <w:rPr>
          <w:rFonts w:ascii="Arial" w:hAnsi="Arial" w:cs="Arial"/>
          <w:b/>
        </w:rPr>
        <w:t>í výmladků</w:t>
      </w:r>
      <w:r w:rsidR="00FE57C7">
        <w:rPr>
          <w:rFonts w:ascii="Arial" w:hAnsi="Arial" w:cs="Arial"/>
          <w:b/>
        </w:rPr>
        <w:t xml:space="preserve"> křovin</w:t>
      </w:r>
      <w:r>
        <w:rPr>
          <w:rFonts w:ascii="Arial" w:hAnsi="Arial" w:cs="Arial"/>
          <w:b/>
        </w:rPr>
        <w:t xml:space="preserve"> na vrcholové stepi,</w:t>
      </w:r>
      <w:r w:rsidR="003608C5">
        <w:rPr>
          <w:rFonts w:ascii="Arial" w:hAnsi="Arial" w:cs="Arial"/>
          <w:b/>
        </w:rPr>
        <w:t xml:space="preserve"> injektáž akátu; </w:t>
      </w:r>
      <w:r w:rsidR="0038440B">
        <w:rPr>
          <w:rFonts w:ascii="Arial" w:hAnsi="Arial" w:cs="Arial"/>
          <w:b/>
        </w:rPr>
        <w:t xml:space="preserve">Košťálov, část </w:t>
      </w:r>
      <w:r w:rsidR="003608C5">
        <w:rPr>
          <w:rFonts w:ascii="Arial" w:hAnsi="Arial" w:cs="Arial"/>
          <w:b/>
        </w:rPr>
        <w:t xml:space="preserve">Ovčín </w:t>
      </w:r>
      <w:r w:rsidR="00E2133F">
        <w:rPr>
          <w:rFonts w:ascii="Arial" w:hAnsi="Arial" w:cs="Arial"/>
          <w:b/>
        </w:rPr>
        <w:t>-</w:t>
      </w:r>
      <w:r w:rsidR="003608C5">
        <w:rPr>
          <w:rFonts w:ascii="Arial" w:hAnsi="Arial" w:cs="Arial"/>
          <w:b/>
        </w:rPr>
        <w:t xml:space="preserve"> kosení</w:t>
      </w:r>
      <w:r>
        <w:rPr>
          <w:rFonts w:ascii="Arial" w:hAnsi="Arial" w:cs="Arial"/>
          <w:b/>
        </w:rPr>
        <w:t xml:space="preserve"> vrcholové stepi.</w:t>
      </w:r>
    </w:p>
    <w:p w:rsidR="00653A3C" w:rsidRPr="00653A3C" w:rsidRDefault="00653A3C" w:rsidP="00821C1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na </w:t>
      </w:r>
      <w:r w:rsidR="0038440B">
        <w:rPr>
          <w:rFonts w:ascii="Arial" w:hAnsi="Arial" w:cs="Arial"/>
          <w:sz w:val="22"/>
          <w:szCs w:val="22"/>
        </w:rPr>
        <w:t>p. p. č.</w:t>
      </w:r>
      <w:r>
        <w:rPr>
          <w:rFonts w:ascii="Arial" w:hAnsi="Arial" w:cs="Arial"/>
          <w:sz w:val="22"/>
          <w:szCs w:val="22"/>
        </w:rPr>
        <w:t xml:space="preserve"> v k.</w:t>
      </w:r>
      <w:r w:rsidR="00821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Oparno - p.</w:t>
      </w:r>
      <w:r w:rsidR="00821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480, 481, 530, 552/1, 553/1, 554/1, 554/7; k.</w:t>
      </w:r>
      <w:r w:rsidR="00821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Radostice u Vchynice - p.</w:t>
      </w:r>
      <w:r w:rsidR="00384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1245</w:t>
      </w:r>
      <w:r w:rsidR="00821C1F">
        <w:rPr>
          <w:rFonts w:ascii="Arial" w:hAnsi="Arial" w:cs="Arial"/>
          <w:sz w:val="22"/>
          <w:szCs w:val="22"/>
        </w:rPr>
        <w:t>,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15.</w:t>
      </w:r>
      <w:r w:rsidR="00821C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821C1F">
        <w:rPr>
          <w:rFonts w:ascii="Arial" w:hAnsi="Arial" w:cs="Arial"/>
          <w:b/>
          <w:sz w:val="22"/>
          <w:szCs w:val="22"/>
        </w:rPr>
        <w:t xml:space="preserve"> </w:t>
      </w:r>
      <w:r w:rsidRPr="00821C1F">
        <w:rPr>
          <w:rFonts w:ascii="Arial" w:hAnsi="Arial" w:cs="Arial"/>
          <w:b/>
          <w:sz w:val="22"/>
          <w:szCs w:val="22"/>
        </w:rPr>
        <w:t xml:space="preserve">2024 </w:t>
      </w:r>
      <w:r w:rsidRPr="00821C1F">
        <w:rPr>
          <w:rFonts w:ascii="Arial" w:hAnsi="Arial" w:cs="Arial"/>
          <w:sz w:val="22"/>
          <w:szCs w:val="22"/>
        </w:rPr>
        <w:t>a</w:t>
      </w:r>
      <w:r w:rsidRPr="00821C1F">
        <w:rPr>
          <w:rFonts w:ascii="Arial" w:hAnsi="Arial" w:cs="Arial"/>
          <w:b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F03E9B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 xml:space="preserve">standardy č. </w:t>
      </w:r>
      <w:r w:rsidR="004814AC">
        <w:rPr>
          <w:rFonts w:ascii="Arial" w:hAnsi="Arial" w:cs="Arial"/>
          <w:sz w:val="22"/>
          <w:szCs w:val="22"/>
        </w:rPr>
        <w:t xml:space="preserve"> D02 002 - </w:t>
      </w:r>
      <w:hyperlink r:id="rId11" w:tgtFrame="_blank" w:history="1">
        <w:r w:rsidR="004814AC" w:rsidRPr="004814AC">
          <w:rPr>
            <w:rStyle w:val="Hypertextovodkaz"/>
            <w:rFonts w:ascii="Arial" w:eastAsiaTheme="majorEastAsia" w:hAnsi="Arial" w:cs="Arial"/>
            <w:color w:val="auto"/>
            <w:sz w:val="22"/>
            <w:u w:val="none"/>
          </w:rPr>
          <w:t>Obnova dlouhodobě neobhospodařovaných travních společenstev (vč. likvidace náletových dřevin)</w:t>
        </w:r>
      </w:hyperlink>
      <w:r w:rsidR="004814AC">
        <w:rPr>
          <w:rFonts w:ascii="Arial" w:hAnsi="Arial" w:cs="Arial"/>
          <w:sz w:val="22"/>
        </w:rPr>
        <w:t>,</w:t>
      </w:r>
      <w:r w:rsidR="00481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D02</w:t>
      </w:r>
      <w:r w:rsidR="008A176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007</w:t>
      </w:r>
      <w:r w:rsidR="008A1760">
        <w:rPr>
          <w:rFonts w:ascii="Arial" w:hAnsi="Arial" w:cs="Arial"/>
          <w:sz w:val="22"/>
          <w:szCs w:val="22"/>
        </w:rPr>
        <w:t xml:space="preserve"> – Likvidace vybraných invazních druhů rostlin</w:t>
      </w:r>
      <w:r>
        <w:rPr>
          <w:rFonts w:ascii="Arial" w:hAnsi="Arial" w:cs="Arial"/>
          <w:sz w:val="22"/>
          <w:szCs w:val="22"/>
        </w:rPr>
        <w:t>, D02</w:t>
      </w:r>
      <w:r w:rsidR="008A176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004</w:t>
      </w:r>
      <w:r w:rsidR="008A1760">
        <w:rPr>
          <w:rFonts w:ascii="Arial" w:hAnsi="Arial" w:cs="Arial"/>
          <w:sz w:val="22"/>
          <w:szCs w:val="22"/>
        </w:rPr>
        <w:t xml:space="preserve"> - Sečení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F03E9B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</w:t>
      </w:r>
      <w:r w:rsidR="00821C1F">
        <w:rPr>
          <w:rFonts w:ascii="Arial" w:hAnsi="Arial" w:cs="Arial"/>
          <w:sz w:val="22"/>
          <w:szCs w:val="22"/>
        </w:rPr>
        <w:t xml:space="preserve"> a příloze č. 2 Mapov</w:t>
      </w:r>
      <w:r w:rsidR="00E2133F">
        <w:rPr>
          <w:rFonts w:ascii="Arial" w:hAnsi="Arial" w:cs="Arial"/>
          <w:sz w:val="22"/>
          <w:szCs w:val="22"/>
        </w:rPr>
        <w:t xml:space="preserve">é </w:t>
      </w:r>
      <w:r w:rsidR="00821C1F">
        <w:rPr>
          <w:rFonts w:ascii="Arial" w:hAnsi="Arial" w:cs="Arial"/>
          <w:sz w:val="22"/>
          <w:szCs w:val="22"/>
        </w:rPr>
        <w:t>zákres</w:t>
      </w:r>
      <w:r w:rsidR="00E2133F">
        <w:rPr>
          <w:rFonts w:ascii="Arial" w:hAnsi="Arial" w:cs="Arial"/>
          <w:sz w:val="22"/>
          <w:szCs w:val="22"/>
        </w:rPr>
        <w:t>y</w:t>
      </w:r>
      <w:r w:rsidRPr="00653A3C">
        <w:rPr>
          <w:rFonts w:ascii="Arial" w:hAnsi="Arial" w:cs="Arial"/>
          <w:sz w:val="22"/>
          <w:szCs w:val="22"/>
        </w:rPr>
        <w:t>.</w:t>
      </w:r>
    </w:p>
    <w:p w:rsidR="00653A3C" w:rsidRDefault="00653A3C" w:rsidP="00821C1F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76490D" w:rsidRDefault="0076490D" w:rsidP="00821C1F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</w:p>
    <w:p w:rsidR="00F03E9B" w:rsidRPr="006424D8" w:rsidRDefault="00F03E9B" w:rsidP="00332DAE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 dle § 90 odst. 21 zákona č. 114/1992 Sb., které jsou potřebné k realizaci managementových opatření.</w:t>
      </w:r>
    </w:p>
    <w:p w:rsidR="00F03E9B" w:rsidRPr="006424D8" w:rsidRDefault="00F03E9B" w:rsidP="00332DAE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A to při splnění následujících podmínek:</w:t>
      </w:r>
    </w:p>
    <w:p w:rsidR="00F03E9B" w:rsidRPr="006424D8" w:rsidRDefault="00F03E9B" w:rsidP="00332DAE">
      <w:pPr>
        <w:pStyle w:val="Odstavecseseznamem"/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6424D8">
        <w:rPr>
          <w:rFonts w:ascii="Arial" w:hAnsi="Arial" w:cs="Arial"/>
          <w:bCs/>
          <w:sz w:val="22"/>
          <w:szCs w:val="22"/>
        </w:rPr>
        <w:t xml:space="preserve">- výjimky ze základních ochranných podmínek chráněných krajinných oblastí podle § 43 odst. 1 </w:t>
      </w:r>
      <w:r w:rsidR="00332DAE" w:rsidRPr="006424D8">
        <w:rPr>
          <w:rFonts w:ascii="Arial" w:hAnsi="Arial" w:cs="Arial"/>
          <w:sz w:val="22"/>
          <w:szCs w:val="22"/>
        </w:rPr>
        <w:t xml:space="preserve">zákona č. 114/1992 Sb. </w:t>
      </w:r>
      <w:r w:rsidR="00332DAE" w:rsidRPr="006424D8">
        <w:rPr>
          <w:rFonts w:ascii="Arial" w:hAnsi="Arial" w:cs="Arial"/>
          <w:bCs/>
          <w:sz w:val="22"/>
          <w:szCs w:val="22"/>
        </w:rPr>
        <w:t>–</w:t>
      </w:r>
      <w:r w:rsidRPr="006424D8">
        <w:rPr>
          <w:rFonts w:ascii="Arial" w:hAnsi="Arial" w:cs="Arial"/>
          <w:bCs/>
          <w:sz w:val="22"/>
          <w:szCs w:val="22"/>
        </w:rPr>
        <w:t xml:space="preserve"> </w:t>
      </w:r>
      <w:r w:rsidR="00332DAE" w:rsidRPr="006424D8">
        <w:rPr>
          <w:rFonts w:ascii="Arial" w:hAnsi="Arial" w:cs="Arial"/>
          <w:sz w:val="22"/>
          <w:szCs w:val="22"/>
        </w:rPr>
        <w:t>vstup mimo cesty vyznačené se souhlasem orgánu ochrany přírody v NPR Lovoš</w:t>
      </w:r>
      <w:r w:rsidR="00332DAE" w:rsidRPr="006424D8">
        <w:rPr>
          <w:rFonts w:ascii="Arial" w:hAnsi="Arial" w:cs="Arial"/>
          <w:bCs/>
          <w:sz w:val="22"/>
          <w:szCs w:val="22"/>
        </w:rPr>
        <w:t xml:space="preserve"> a </w:t>
      </w:r>
      <w:r w:rsidRPr="006424D8">
        <w:rPr>
          <w:rFonts w:ascii="Arial" w:hAnsi="Arial" w:cs="Arial"/>
          <w:bCs/>
          <w:sz w:val="22"/>
          <w:szCs w:val="22"/>
        </w:rPr>
        <w:t>vjezdy a setrvání s motorovými vozidly mimo silnice a místní komunikace a místa vyhrazená se souhlasem orgánu ochrany přírody</w:t>
      </w:r>
      <w:r w:rsidR="00332DAE" w:rsidRPr="006424D8">
        <w:rPr>
          <w:rFonts w:ascii="Arial" w:hAnsi="Arial" w:cs="Arial"/>
          <w:bCs/>
          <w:sz w:val="22"/>
          <w:szCs w:val="22"/>
        </w:rPr>
        <w:t xml:space="preserve"> v CHKO </w:t>
      </w:r>
      <w:r w:rsidRPr="006424D8">
        <w:rPr>
          <w:rFonts w:ascii="Arial" w:hAnsi="Arial" w:cs="Arial"/>
          <w:bCs/>
          <w:sz w:val="22"/>
          <w:szCs w:val="22"/>
        </w:rPr>
        <w:t>budou probíhat pouze v nezbytně nutné míře za účelem zajištění managementového opatření. Vjíždění a setrvání motorovými vozidly bude probíhat pouze za vhodných klimatických podmínek, aby nedošlo k poškození půdního povrchu.</w:t>
      </w:r>
    </w:p>
    <w:p w:rsidR="00F03E9B" w:rsidRPr="006424D8" w:rsidRDefault="00F03E9B" w:rsidP="00332DAE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 xml:space="preserve">- výjimky z ochranných podmínek </w:t>
      </w:r>
      <w:r w:rsidR="00332DAE" w:rsidRPr="006424D8">
        <w:rPr>
          <w:rFonts w:ascii="Arial" w:hAnsi="Arial" w:cs="Arial"/>
          <w:sz w:val="22"/>
          <w:szCs w:val="22"/>
        </w:rPr>
        <w:t>zvláště chráněných druhů (</w:t>
      </w:r>
      <w:r w:rsidRPr="006424D8">
        <w:rPr>
          <w:rFonts w:ascii="Arial" w:hAnsi="Arial" w:cs="Arial"/>
          <w:sz w:val="22"/>
          <w:szCs w:val="22"/>
        </w:rPr>
        <w:t>ZCHD</w:t>
      </w:r>
      <w:r w:rsidR="00332DAE" w:rsidRPr="006424D8">
        <w:rPr>
          <w:rFonts w:ascii="Arial" w:hAnsi="Arial" w:cs="Arial"/>
          <w:sz w:val="22"/>
          <w:szCs w:val="22"/>
        </w:rPr>
        <w:t>)</w:t>
      </w:r>
      <w:r w:rsidRPr="006424D8">
        <w:rPr>
          <w:rFonts w:ascii="Arial" w:hAnsi="Arial" w:cs="Arial"/>
          <w:sz w:val="22"/>
          <w:szCs w:val="22"/>
        </w:rPr>
        <w:t xml:space="preserve"> podle § 56 odst. 1 </w:t>
      </w:r>
      <w:r w:rsidR="00332DAE" w:rsidRPr="006424D8">
        <w:rPr>
          <w:rFonts w:ascii="Arial" w:hAnsi="Arial" w:cs="Arial"/>
          <w:sz w:val="22"/>
          <w:szCs w:val="22"/>
        </w:rPr>
        <w:t>zákona č. 114/1992 Sb</w:t>
      </w:r>
      <w:r w:rsidRPr="006424D8">
        <w:rPr>
          <w:rFonts w:ascii="Arial" w:hAnsi="Arial" w:cs="Arial"/>
          <w:sz w:val="22"/>
          <w:szCs w:val="22"/>
        </w:rPr>
        <w:t xml:space="preserve"> – zasahování do přirozeného vývoje ZCHD bude probíhat pouze v </w:t>
      </w:r>
      <w:r w:rsidRPr="006424D8">
        <w:rPr>
          <w:rFonts w:ascii="Arial" w:hAnsi="Arial" w:cs="Arial"/>
          <w:sz w:val="22"/>
          <w:szCs w:val="22"/>
        </w:rPr>
        <w:lastRenderedPageBreak/>
        <w:t>nezbytně nutné míře výhradně za účelem zajištění managementového opatření dle specifikace uvedené v této dohodě a jejích přílohách.</w:t>
      </w:r>
    </w:p>
    <w:p w:rsidR="00F03E9B" w:rsidRPr="006424D8" w:rsidRDefault="00F03E9B" w:rsidP="00332DAE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Tato Dohoda dle § 90 odst. 21 zákona č. 114/1992 Sb. nenahrazuje povolující správní akty v rozsahu činností prováděných mimo managementová opatření, jakož i činností prováděných v rozporu s podmínkami stanovenými v tomto odstavci. Takové činnosti jsou nadále omezené zákonem č. 114/1992 Sb.</w:t>
      </w:r>
    </w:p>
    <w:p w:rsidR="0076490D" w:rsidRPr="006424D8" w:rsidRDefault="0076490D" w:rsidP="0076490D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eastAsia="Arial Unicode MS" w:hAnsi="Arial" w:cs="Arial"/>
          <w:sz w:val="22"/>
          <w:szCs w:val="22"/>
        </w:rPr>
        <w:t>Vlastník</w:t>
      </w:r>
      <w:r w:rsidRPr="006424D8">
        <w:rPr>
          <w:rFonts w:ascii="Arial" w:hAnsi="Arial" w:cs="Arial"/>
          <w:sz w:val="22"/>
          <w:szCs w:val="22"/>
        </w:rPr>
        <w:t xml:space="preserve"> se zavazuje dodržet veškeré podmínky stanovené v odst. 2 tohoto článku. V případě porušení podmínek se </w:t>
      </w:r>
      <w:r w:rsidRPr="006424D8">
        <w:rPr>
          <w:rFonts w:ascii="Arial" w:eastAsia="Arial Unicode MS" w:hAnsi="Arial" w:cs="Arial"/>
          <w:sz w:val="22"/>
          <w:szCs w:val="22"/>
        </w:rPr>
        <w:t>vlastník</w:t>
      </w:r>
      <w:r w:rsidRPr="006424D8">
        <w:rPr>
          <w:rFonts w:ascii="Arial" w:hAnsi="Arial" w:cs="Arial"/>
          <w:sz w:val="22"/>
          <w:szCs w:val="22"/>
        </w:rPr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:rsidR="0076490D" w:rsidRPr="00653A3C" w:rsidRDefault="0076490D" w:rsidP="00821C1F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821C1F">
        <w:t>vlastník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4814AC">
        <w:rPr>
          <w:b/>
        </w:rPr>
        <w:t>94 102,5</w:t>
      </w:r>
      <w:r w:rsidRPr="00821C1F">
        <w:rPr>
          <w:b/>
        </w:rPr>
        <w:t>5</w:t>
      </w:r>
      <w:r w:rsidR="001E0AC4" w:rsidRPr="00821C1F">
        <w:rPr>
          <w:b/>
        </w:rPr>
        <w:t xml:space="preserve"> </w:t>
      </w:r>
      <w:r w:rsidRPr="00821C1F">
        <w:rPr>
          <w:b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>
        <w:t xml:space="preserve">vlastníkovi </w:t>
      </w:r>
      <w:r w:rsidRPr="00FC5123">
        <w:t xml:space="preserve">finanční příspěvek na péči v celkové výši </w:t>
      </w:r>
      <w:r w:rsidR="004814AC">
        <w:t>94 102,55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821C1F">
        <w:t>vlastníkovi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821C1F">
        <w:t>vlastník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vlastník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821C1F">
        <w:t>vlastník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>Pokud v době platnosti</w:t>
      </w:r>
      <w:r w:rsidR="00821C1F">
        <w:t xml:space="preserve"> této Dohody zanikne vlastnické právo,</w:t>
      </w:r>
      <w:r w:rsidRPr="00996436">
        <w:t xml:space="preserve"> finanční příspěvek se přiměřeně zkrátí. O skutečnosti uvedené v přechozí větě je </w:t>
      </w:r>
      <w:r w:rsidR="00821C1F">
        <w:t>vlastník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="00821C1F">
        <w:t xml:space="preserve"> vlastnického práva</w:t>
      </w:r>
      <w:r w:rsidRPr="00996436">
        <w:t xml:space="preserve"> v době platnosti této Dohody vyjde najevo po vyplacení finančního příspěvku, je </w:t>
      </w:r>
      <w:r w:rsidR="00821C1F">
        <w:t>vlastník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lastRenderedPageBreak/>
        <w:t xml:space="preserve">Vyúčtování </w:t>
      </w:r>
      <w:r w:rsidR="00245AA4">
        <w:rPr>
          <w:rFonts w:eastAsia="Arial Unicode MS"/>
        </w:rPr>
        <w:t>vlastníkovi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 w:rsidR="00821C1F">
        <w:rPr>
          <w:rFonts w:eastAsia="Arial Unicode MS"/>
        </w:rPr>
        <w:t>vlastníka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821C1F">
        <w:rPr>
          <w:rFonts w:eastAsia="Arial Unicode MS"/>
        </w:rPr>
        <w:t>vlastníkovi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15.</w:t>
      </w:r>
      <w:r w:rsidR="00821C1F">
        <w:rPr>
          <w:b/>
        </w:rPr>
        <w:t xml:space="preserve"> </w:t>
      </w:r>
      <w:r>
        <w:rPr>
          <w:b/>
        </w:rPr>
        <w:t>11.</w:t>
      </w:r>
      <w:r w:rsidR="00821C1F">
        <w:rPr>
          <w:b/>
        </w:rPr>
        <w:t xml:space="preserve"> </w:t>
      </w:r>
      <w:r>
        <w:rPr>
          <w:b/>
        </w:rPr>
        <w:t>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821C1F" w:rsidP="00B9212C">
      <w:pPr>
        <w:pStyle w:val="Nadpis2"/>
        <w:ind w:left="397" w:hanging="397"/>
      </w:pPr>
      <w:r>
        <w:t>Vlastník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</w:t>
      </w:r>
      <w:r w:rsidR="00A42D75">
        <w:lastRenderedPageBreak/>
        <w:t xml:space="preserve">souhlasí. </w:t>
      </w:r>
      <w:r>
        <w:t>Vlastník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Default="00A42D75" w:rsidP="00B9212C">
      <w:pPr>
        <w:pStyle w:val="Nadpis2"/>
        <w:numPr>
          <w:ilvl w:val="1"/>
          <w:numId w:val="0"/>
        </w:numPr>
        <w:ind w:left="397"/>
      </w:pPr>
      <w:r>
        <w:t>příloha č.</w:t>
      </w:r>
      <w:r w:rsidR="00035B5E">
        <w:t xml:space="preserve"> </w:t>
      </w:r>
      <w:r>
        <w:t xml:space="preserve">1 - Rozpočet a specifikace </w:t>
      </w:r>
      <w:r w:rsidR="00C17F8F">
        <w:t>opatření</w:t>
      </w:r>
      <w:r>
        <w:t>.</w:t>
      </w:r>
    </w:p>
    <w:p w:rsidR="00821C1F" w:rsidRPr="00821C1F" w:rsidRDefault="00821C1F" w:rsidP="00821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</w:t>
      </w:r>
      <w:r w:rsidRPr="00821C1F">
        <w:rPr>
          <w:rFonts w:ascii="Arial" w:hAnsi="Arial" w:cs="Arial"/>
        </w:rPr>
        <w:t xml:space="preserve">říloha č. 2 </w:t>
      </w:r>
      <w:r w:rsidR="00E2133F">
        <w:rPr>
          <w:rFonts w:ascii="Arial" w:hAnsi="Arial" w:cs="Arial"/>
        </w:rPr>
        <w:t>-</w:t>
      </w:r>
      <w:r w:rsidRPr="00821C1F">
        <w:rPr>
          <w:rFonts w:ascii="Arial" w:hAnsi="Arial" w:cs="Arial"/>
        </w:rPr>
        <w:t xml:space="preserve"> Mapový zákres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E2133F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E2133F">
              <w:rPr>
                <w:rFonts w:ascii="Arial" w:hAnsi="Arial" w:cs="Arial"/>
              </w:rPr>
              <w:t> Litoměřicích</w:t>
            </w:r>
          </w:p>
        </w:tc>
        <w:tc>
          <w:tcPr>
            <w:tcW w:w="2187" w:type="dxa"/>
          </w:tcPr>
          <w:p w:rsidR="000F7827" w:rsidRDefault="000F7827" w:rsidP="006278EB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6278EB">
              <w:rPr>
                <w:rFonts w:ascii="Arial" w:hAnsi="Arial" w:cs="Arial"/>
              </w:rPr>
              <w:t>11. 9. 2024</w:t>
            </w:r>
          </w:p>
        </w:tc>
        <w:tc>
          <w:tcPr>
            <w:tcW w:w="2615" w:type="dxa"/>
          </w:tcPr>
          <w:p w:rsidR="000F7827" w:rsidRDefault="00605CF1" w:rsidP="00E213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E2133F">
              <w:rPr>
                <w:rFonts w:ascii="Arial" w:hAnsi="Arial" w:cs="Arial"/>
              </w:rPr>
              <w:t xml:space="preserve">Litoměřicích </w:t>
            </w:r>
          </w:p>
        </w:tc>
        <w:tc>
          <w:tcPr>
            <w:tcW w:w="2052" w:type="dxa"/>
          </w:tcPr>
          <w:p w:rsidR="000F7827" w:rsidRDefault="000F7827" w:rsidP="006278EB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6278EB">
              <w:rPr>
                <w:rFonts w:ascii="Arial" w:hAnsi="Arial" w:cs="Arial"/>
              </w:rPr>
              <w:t>11. 9. 2024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E2133F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AOPK ČR</w:t>
            </w:r>
          </w:p>
        </w:tc>
        <w:tc>
          <w:tcPr>
            <w:tcW w:w="2187" w:type="dxa"/>
            <w:vAlign w:val="center"/>
          </w:tcPr>
          <w:p w:rsidR="000F7827" w:rsidRDefault="000F7827" w:rsidP="00E213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76490D" w:rsidP="00E213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</w:t>
            </w:r>
          </w:p>
        </w:tc>
        <w:tc>
          <w:tcPr>
            <w:tcW w:w="2052" w:type="dxa"/>
            <w:vAlign w:val="center"/>
          </w:tcPr>
          <w:p w:rsidR="000F7827" w:rsidRDefault="000F7827" w:rsidP="00E2133F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3608C5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</w:t>
            </w:r>
          </w:p>
          <w:p w:rsidR="00E54961" w:rsidRDefault="003608C5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E24EC4" w:rsidRDefault="00E24EC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Petr Chvála, </w:t>
            </w:r>
          </w:p>
          <w:p w:rsidR="00E24EC4" w:rsidRDefault="00E24EC4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lesní správce </w:t>
            </w:r>
          </w:p>
          <w:p w:rsidR="000F7827" w:rsidRDefault="003608C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</w:t>
            </w:r>
            <w:r w:rsidR="007607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C5" w:rsidRDefault="003608C5" w:rsidP="00F22E78">
      <w:pPr>
        <w:spacing w:after="0" w:line="240" w:lineRule="auto"/>
      </w:pPr>
      <w:r>
        <w:separator/>
      </w:r>
    </w:p>
  </w:endnote>
  <w:endnote w:type="continuationSeparator" w:id="0">
    <w:p w:rsidR="003608C5" w:rsidRDefault="003608C5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875748"/>
      <w:docPartObj>
        <w:docPartGallery w:val="Page Numbers (Bottom of Page)"/>
        <w:docPartUnique/>
      </w:docPartObj>
    </w:sdtPr>
    <w:sdtEndPr/>
    <w:sdtContent>
      <w:p w:rsidR="00035B5E" w:rsidRDefault="00035B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EB">
          <w:rPr>
            <w:noProof/>
          </w:rPr>
          <w:t>5</w:t>
        </w:r>
        <w:r>
          <w:fldChar w:fldCharType="end"/>
        </w:r>
      </w:p>
    </w:sdtContent>
  </w:sdt>
  <w:p w:rsidR="00035B5E" w:rsidRDefault="0003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434804"/>
      <w:docPartObj>
        <w:docPartGallery w:val="Page Numbers (Bottom of Page)"/>
        <w:docPartUnique/>
      </w:docPartObj>
    </w:sdtPr>
    <w:sdtEndPr/>
    <w:sdtContent>
      <w:p w:rsidR="00035B5E" w:rsidRDefault="00035B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EB">
          <w:rPr>
            <w:noProof/>
          </w:rPr>
          <w:t>1</w:t>
        </w:r>
        <w:r>
          <w:fldChar w:fldCharType="end"/>
        </w:r>
      </w:p>
    </w:sdtContent>
  </w:sdt>
  <w:p w:rsidR="00035B5E" w:rsidRDefault="0003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C5" w:rsidRDefault="003608C5" w:rsidP="00F22E78">
      <w:pPr>
        <w:spacing w:after="0" w:line="240" w:lineRule="auto"/>
      </w:pPr>
      <w:r>
        <w:separator/>
      </w:r>
    </w:p>
  </w:footnote>
  <w:footnote w:type="continuationSeparator" w:id="0">
    <w:p w:rsidR="003608C5" w:rsidRDefault="003608C5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35B5E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45AA4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2DAE"/>
    <w:rsid w:val="00343FA4"/>
    <w:rsid w:val="00346F2C"/>
    <w:rsid w:val="00351D4A"/>
    <w:rsid w:val="003608C5"/>
    <w:rsid w:val="003622FB"/>
    <w:rsid w:val="003742E0"/>
    <w:rsid w:val="0037433A"/>
    <w:rsid w:val="00375A7E"/>
    <w:rsid w:val="0038440B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814AC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61AA5"/>
    <w:rsid w:val="00573852"/>
    <w:rsid w:val="005A2D73"/>
    <w:rsid w:val="005B0FE2"/>
    <w:rsid w:val="005B1561"/>
    <w:rsid w:val="00605CF1"/>
    <w:rsid w:val="00617F1D"/>
    <w:rsid w:val="006278EB"/>
    <w:rsid w:val="00632261"/>
    <w:rsid w:val="006424D8"/>
    <w:rsid w:val="00644630"/>
    <w:rsid w:val="00653A3C"/>
    <w:rsid w:val="00673074"/>
    <w:rsid w:val="006B3D71"/>
    <w:rsid w:val="006E64D3"/>
    <w:rsid w:val="006F55FC"/>
    <w:rsid w:val="00710E72"/>
    <w:rsid w:val="00747A7C"/>
    <w:rsid w:val="007607EA"/>
    <w:rsid w:val="00761467"/>
    <w:rsid w:val="0076193D"/>
    <w:rsid w:val="0076490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21C1F"/>
    <w:rsid w:val="00842D38"/>
    <w:rsid w:val="00857C34"/>
    <w:rsid w:val="008830CE"/>
    <w:rsid w:val="008949C0"/>
    <w:rsid w:val="008A176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62556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52DFE"/>
    <w:rsid w:val="00D63031"/>
    <w:rsid w:val="00D85087"/>
    <w:rsid w:val="00DD0A91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133F"/>
    <w:rsid w:val="00E24EC4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03E9B"/>
    <w:rsid w:val="00F22E78"/>
    <w:rsid w:val="00F23927"/>
    <w:rsid w:val="00F67B22"/>
    <w:rsid w:val="00F71634"/>
    <w:rsid w:val="00F834DB"/>
    <w:rsid w:val="00FA27DC"/>
    <w:rsid w:val="00FB2495"/>
    <w:rsid w:val="00FE57C7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A531E6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character" w:styleId="Hypertextovodkaz">
    <w:name w:val="Hyperlink"/>
    <w:basedOn w:val="Standardnpsmoodstavce"/>
    <w:uiPriority w:val="99"/>
    <w:semiHidden/>
    <w:unhideWhenUsed/>
    <w:rsid w:val="00481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ure.cz/documents/20121/1200108/02002_OBNOVA_DLOUHODOBE_NEOBHOSPODAROVANYCH_TS.pdf/0e0f3f8e-49ed-fae9-a48c-eb3d3a14b5e7?t=165277628696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df795ae-2c70-464b-8ca3-4eb6d5c688a6"/>
    <ds:schemaRef ds:uri="63f5bd56-79c6-432a-8457-3215e7a0ead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1802</Words>
  <Characters>10633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17</cp:revision>
  <dcterms:created xsi:type="dcterms:W3CDTF">2024-08-09T12:24:00Z</dcterms:created>
  <dcterms:modified xsi:type="dcterms:W3CDTF">2024-09-27T05:35:00Z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