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3F4A" w:rsidRPr="00DC6F86" w:rsidRDefault="00D1621B" w:rsidP="001C15A4">
      <w:pPr>
        <w:spacing w:after="0" w:line="240" w:lineRule="auto"/>
        <w:jc w:val="center"/>
        <w:rPr>
          <w:rFonts w:ascii="Titillium" w:hAnsi="Titillium" w:cs="Times New Roman"/>
          <w:b/>
        </w:rPr>
      </w:pPr>
      <w:r w:rsidRPr="00D1621B">
        <w:rPr>
          <w:rFonts w:ascii="Titillium" w:hAnsi="Titillium" w:cs="Times New Roman"/>
          <w:b/>
        </w:rPr>
        <w:t>INOMINÁTNÍ SMLOUVU O SPOLUPRÁCI</w:t>
      </w:r>
      <w:r w:rsidR="00337BFB">
        <w:rPr>
          <w:rFonts w:ascii="Titillium" w:hAnsi="Titillium" w:cs="Times New Roman"/>
          <w:b/>
        </w:rPr>
        <w:t xml:space="preserve"> </w:t>
      </w:r>
      <w:r w:rsidR="00A74193" w:rsidRPr="00DC6F86">
        <w:rPr>
          <w:rFonts w:ascii="Titillium" w:hAnsi="Titillium" w:cs="Times New Roman"/>
          <w:b/>
        </w:rPr>
        <w:t>Č. HMP/2024/</w:t>
      </w:r>
      <w:r w:rsidR="00A319D5">
        <w:rPr>
          <w:rFonts w:ascii="Titillium" w:hAnsi="Titillium" w:cs="Times New Roman"/>
          <w:b/>
        </w:rPr>
        <w:t>4</w:t>
      </w:r>
      <w:r w:rsidR="00A74193" w:rsidRPr="00DC6F86">
        <w:rPr>
          <w:rFonts w:ascii="Titillium" w:hAnsi="Titillium" w:cs="Times New Roman"/>
          <w:b/>
        </w:rPr>
        <w:t>/S</w:t>
      </w:r>
    </w:p>
    <w:p w:rsidR="00703F4A" w:rsidRPr="00DC6F86" w:rsidRDefault="00A74193" w:rsidP="001C15A4">
      <w:pPr>
        <w:spacing w:after="0" w:line="240" w:lineRule="auto"/>
        <w:jc w:val="center"/>
        <w:rPr>
          <w:rFonts w:ascii="Titillium" w:hAnsi="Titillium" w:cs="Times New Roman"/>
          <w:b/>
        </w:rPr>
      </w:pPr>
      <w:r w:rsidRPr="00DC6F86">
        <w:rPr>
          <w:rFonts w:ascii="Titillium" w:hAnsi="Titillium" w:cs="Times New Roman"/>
          <w:b/>
        </w:rPr>
        <w:t>uzavřená níže uvedenými smluvními stranami v</w:t>
      </w:r>
      <w:r w:rsidRPr="00DC6F86">
        <w:rPr>
          <w:rFonts w:ascii="Courier New" w:hAnsi="Courier New" w:cs="Courier New"/>
          <w:b/>
        </w:rPr>
        <w:t> </w:t>
      </w:r>
      <w:r w:rsidRPr="00DC6F86">
        <w:rPr>
          <w:rFonts w:ascii="Titillium" w:hAnsi="Titillium" w:cs="Times New Roman"/>
          <w:b/>
        </w:rPr>
        <w:t>souladu s</w:t>
      </w:r>
      <w:r w:rsidRPr="00DC6F86">
        <w:rPr>
          <w:rFonts w:ascii="Courier New" w:hAnsi="Courier New" w:cs="Courier New"/>
          <w:b/>
        </w:rPr>
        <w:t> </w:t>
      </w:r>
      <w:proofErr w:type="spellStart"/>
      <w:r w:rsidRPr="00DC6F86">
        <w:rPr>
          <w:rFonts w:ascii="Titillium" w:hAnsi="Titillium" w:cs="Times New Roman"/>
          <w:b/>
        </w:rPr>
        <w:t>ust</w:t>
      </w:r>
      <w:proofErr w:type="spellEnd"/>
      <w:r w:rsidRPr="00DC6F86">
        <w:rPr>
          <w:rFonts w:ascii="Titillium" w:hAnsi="Titillium" w:cs="Times New Roman"/>
          <w:b/>
        </w:rPr>
        <w:t xml:space="preserve">. </w:t>
      </w:r>
      <w:r w:rsidRPr="00DC6F86">
        <w:rPr>
          <w:rFonts w:ascii="Titillium" w:hAnsi="Titillium" w:cs="Times New Roman"/>
        </w:rPr>
        <w:t xml:space="preserve">§ </w:t>
      </w:r>
      <w:r w:rsidRPr="00DC6F86">
        <w:rPr>
          <w:rFonts w:ascii="Titillium" w:hAnsi="Titillium" w:cs="Times New Roman"/>
          <w:b/>
        </w:rPr>
        <w:t xml:space="preserve">1746, odst. 2 </w:t>
      </w:r>
    </w:p>
    <w:p w:rsidR="00703F4A" w:rsidRPr="00DC6F86" w:rsidRDefault="00A74193" w:rsidP="001C15A4">
      <w:pPr>
        <w:spacing w:after="0" w:line="240" w:lineRule="auto"/>
        <w:jc w:val="center"/>
        <w:rPr>
          <w:rFonts w:ascii="Titillium" w:hAnsi="Titillium" w:cs="Times New Roman"/>
          <w:b/>
        </w:rPr>
      </w:pPr>
      <w:r w:rsidRPr="00DC6F86">
        <w:rPr>
          <w:rFonts w:ascii="Titillium" w:hAnsi="Titillium" w:cs="Times New Roman"/>
          <w:b/>
        </w:rPr>
        <w:t>zákona č. 89/2012 Sb., občanský zákoník, ve znění pozdějších předpisů.</w:t>
      </w:r>
    </w:p>
    <w:p w:rsidR="00703F4A" w:rsidRPr="00DC6F86" w:rsidRDefault="00703F4A">
      <w:pPr>
        <w:spacing w:after="0" w:line="360" w:lineRule="auto"/>
        <w:jc w:val="both"/>
        <w:rPr>
          <w:rFonts w:ascii="Titillium" w:hAnsi="Titillium" w:cs="Times New Roman"/>
          <w:b/>
        </w:rPr>
      </w:pPr>
    </w:p>
    <w:p w:rsidR="00703F4A" w:rsidRPr="00DC6F86" w:rsidRDefault="00A74193" w:rsidP="001C15A4">
      <w:pPr>
        <w:spacing w:after="0" w:line="240" w:lineRule="auto"/>
        <w:rPr>
          <w:rFonts w:ascii="Titillium" w:eastAsia="Times New Roman" w:hAnsi="Titillium" w:cs="Times New Roman"/>
          <w:b/>
        </w:rPr>
      </w:pPr>
      <w:r w:rsidRPr="00DC6F86">
        <w:rPr>
          <w:rFonts w:ascii="Titillium" w:eastAsia="Times New Roman" w:hAnsi="Titillium" w:cs="Times New Roman"/>
          <w:b/>
        </w:rPr>
        <w:t>Česká republika</w:t>
      </w:r>
    </w:p>
    <w:p w:rsidR="00703F4A" w:rsidRPr="00DC6F86" w:rsidRDefault="00A74193" w:rsidP="001C15A4">
      <w:pPr>
        <w:spacing w:after="0" w:line="240" w:lineRule="auto"/>
        <w:rPr>
          <w:rFonts w:ascii="Titillium" w:eastAsia="Times New Roman" w:hAnsi="Titillium" w:cs="Times New Roman"/>
          <w:b/>
        </w:rPr>
      </w:pPr>
      <w:r w:rsidRPr="00DC6F86">
        <w:rPr>
          <w:rFonts w:ascii="Titillium" w:eastAsia="Times New Roman" w:hAnsi="Titillium" w:cs="Times New Roman"/>
          <w:b/>
        </w:rPr>
        <w:t>Národní muzeum v</w:t>
      </w:r>
      <w:r w:rsidRPr="00DC6F86">
        <w:rPr>
          <w:rFonts w:ascii="Courier New" w:eastAsia="Times New Roman" w:hAnsi="Courier New" w:cs="Courier New"/>
          <w:b/>
        </w:rPr>
        <w:t> </w:t>
      </w:r>
      <w:r w:rsidRPr="00DC6F86">
        <w:rPr>
          <w:rFonts w:ascii="Titillium" w:eastAsia="Times New Roman" w:hAnsi="Titillium" w:cs="Times New Roman"/>
          <w:b/>
        </w:rPr>
        <w:t>p</w:t>
      </w:r>
      <w:r w:rsidRPr="00DC6F86">
        <w:rPr>
          <w:rFonts w:ascii="Titillium" w:eastAsia="Times New Roman" w:hAnsi="Titillium" w:cs="Titillium"/>
          <w:b/>
        </w:rPr>
        <w:t>ří</w:t>
      </w:r>
      <w:r w:rsidRPr="00DC6F86">
        <w:rPr>
          <w:rFonts w:ascii="Titillium" w:eastAsia="Times New Roman" w:hAnsi="Titillium" w:cs="Times New Roman"/>
          <w:b/>
        </w:rPr>
        <w:t>rod</w:t>
      </w:r>
      <w:r w:rsidRPr="00DC6F86">
        <w:rPr>
          <w:rFonts w:ascii="Titillium" w:eastAsia="Times New Roman" w:hAnsi="Titillium" w:cs="Titillium"/>
          <w:b/>
        </w:rPr>
        <w:t>ě</w:t>
      </w:r>
      <w:r w:rsidRPr="00DC6F86">
        <w:rPr>
          <w:rFonts w:ascii="Titillium" w:eastAsia="Times New Roman" w:hAnsi="Titillium" w:cs="Times New Roman"/>
          <w:b/>
        </w:rPr>
        <w:t>, p. o. / Han</w:t>
      </w:r>
      <w:r w:rsidRPr="00DC6F86">
        <w:rPr>
          <w:rFonts w:ascii="Titillium" w:eastAsia="Times New Roman" w:hAnsi="Titillium" w:cs="Titillium"/>
          <w:b/>
        </w:rPr>
        <w:t>á</w:t>
      </w:r>
      <w:r w:rsidRPr="00DC6F86">
        <w:rPr>
          <w:rFonts w:ascii="Titillium" w:eastAsia="Times New Roman" w:hAnsi="Titillium" w:cs="Times New Roman"/>
          <w:b/>
        </w:rPr>
        <w:t>ck</w:t>
      </w:r>
      <w:r w:rsidRPr="00DC6F86">
        <w:rPr>
          <w:rFonts w:ascii="Titillium" w:eastAsia="Times New Roman" w:hAnsi="Titillium" w:cs="Titillium"/>
          <w:b/>
        </w:rPr>
        <w:t>é</w:t>
      </w:r>
      <w:r w:rsidRPr="00DC6F86">
        <w:rPr>
          <w:rFonts w:ascii="Titillium" w:eastAsia="Times New Roman" w:hAnsi="Titillium" w:cs="Times New Roman"/>
          <w:b/>
        </w:rPr>
        <w:t xml:space="preserve"> muzeum v</w:t>
      </w:r>
      <w:r w:rsidRPr="00DC6F86">
        <w:rPr>
          <w:rFonts w:ascii="Courier New" w:eastAsia="Times New Roman" w:hAnsi="Courier New" w:cs="Courier New"/>
          <w:b/>
        </w:rPr>
        <w:t> </w:t>
      </w:r>
      <w:r w:rsidRPr="00DC6F86">
        <w:rPr>
          <w:rFonts w:ascii="Titillium" w:eastAsia="Times New Roman" w:hAnsi="Titillium" w:cs="Times New Roman"/>
          <w:b/>
        </w:rPr>
        <w:t>p</w:t>
      </w:r>
      <w:r w:rsidRPr="00DC6F86">
        <w:rPr>
          <w:rFonts w:ascii="Titillium" w:eastAsia="Times New Roman" w:hAnsi="Titillium" w:cs="Titillium"/>
          <w:b/>
        </w:rPr>
        <w:t>ří</w:t>
      </w:r>
      <w:r w:rsidRPr="00DC6F86">
        <w:rPr>
          <w:rFonts w:ascii="Titillium" w:eastAsia="Times New Roman" w:hAnsi="Titillium" w:cs="Times New Roman"/>
          <w:b/>
        </w:rPr>
        <w:t>rod</w:t>
      </w:r>
      <w:r w:rsidRPr="00DC6F86">
        <w:rPr>
          <w:rFonts w:ascii="Titillium" w:eastAsia="Times New Roman" w:hAnsi="Titillium" w:cs="Titillium"/>
          <w:b/>
        </w:rPr>
        <w:t>ě</w:t>
      </w:r>
      <w:r w:rsidRPr="00DC6F86">
        <w:rPr>
          <w:rFonts w:ascii="Titillium" w:eastAsia="Times New Roman" w:hAnsi="Titillium" w:cs="Times New Roman"/>
          <w:b/>
        </w:rPr>
        <w:t xml:space="preserve"> </w:t>
      </w:r>
    </w:p>
    <w:p w:rsidR="00703F4A" w:rsidRPr="00DC6F86" w:rsidRDefault="00A74193" w:rsidP="001C15A4">
      <w:pPr>
        <w:spacing w:after="0" w:line="240" w:lineRule="auto"/>
        <w:ind w:left="-5" w:right="2810"/>
        <w:rPr>
          <w:rFonts w:ascii="Titillium" w:hAnsi="Titillium" w:cs="Times New Roman"/>
        </w:rPr>
      </w:pPr>
      <w:r w:rsidRPr="00DC6F86">
        <w:rPr>
          <w:rFonts w:ascii="Titillium" w:hAnsi="Titillium" w:cs="Times New Roman"/>
        </w:rPr>
        <w:t>zastoupené PhDr. Petrem VODEŠILEM, PhD., vedoucím HMP</w:t>
      </w:r>
    </w:p>
    <w:p w:rsidR="00703F4A" w:rsidRPr="00DC6F86" w:rsidRDefault="00A74193" w:rsidP="001C15A4">
      <w:pPr>
        <w:spacing w:after="0" w:line="240" w:lineRule="auto"/>
        <w:ind w:left="-5"/>
        <w:rPr>
          <w:rFonts w:ascii="Titillium" w:hAnsi="Titillium" w:cs="Times New Roman"/>
        </w:rPr>
      </w:pPr>
      <w:r w:rsidRPr="00DC6F86">
        <w:rPr>
          <w:rFonts w:ascii="Titillium" w:hAnsi="Titillium" w:cs="Times New Roman"/>
        </w:rPr>
        <w:t xml:space="preserve">Palackého čp. 147, 756 61 Rožnov pod Radhoštěm </w:t>
      </w:r>
    </w:p>
    <w:p w:rsidR="00703F4A" w:rsidRPr="00DC6F86" w:rsidRDefault="00A74193" w:rsidP="001C15A4">
      <w:pPr>
        <w:spacing w:after="0" w:line="240" w:lineRule="auto"/>
        <w:ind w:left="-5"/>
        <w:rPr>
          <w:rFonts w:ascii="Titillium" w:hAnsi="Titillium" w:cs="Times New Roman"/>
        </w:rPr>
      </w:pPr>
      <w:r w:rsidRPr="00DC6F86">
        <w:rPr>
          <w:rFonts w:ascii="Titillium" w:hAnsi="Titillium" w:cs="Times New Roman"/>
        </w:rPr>
        <w:t>IČ: 00098604</w:t>
      </w:r>
    </w:p>
    <w:p w:rsidR="00703F4A" w:rsidRPr="00DC6F86" w:rsidRDefault="00A74193" w:rsidP="001C15A4">
      <w:pPr>
        <w:spacing w:after="0" w:line="240" w:lineRule="auto"/>
        <w:rPr>
          <w:rFonts w:ascii="Titillium" w:hAnsi="Titillium" w:cs="Times New Roman"/>
        </w:rPr>
      </w:pPr>
      <w:r w:rsidRPr="00DC6F86">
        <w:rPr>
          <w:rFonts w:ascii="Titillium" w:hAnsi="Titillium" w:cs="Times New Roman"/>
        </w:rPr>
        <w:t>Doručovací adresa: Hanácké muzeum v</w:t>
      </w:r>
      <w:r w:rsidRPr="00DC6F86">
        <w:rPr>
          <w:rFonts w:ascii="Courier New" w:hAnsi="Courier New" w:cs="Courier New"/>
        </w:rPr>
        <w:t> </w:t>
      </w:r>
      <w:r w:rsidRPr="00DC6F86">
        <w:rPr>
          <w:rFonts w:ascii="Titillium" w:hAnsi="Titillium" w:cs="Times New Roman"/>
        </w:rPr>
        <w:t>p</w:t>
      </w:r>
      <w:r w:rsidRPr="00DC6F86">
        <w:rPr>
          <w:rFonts w:ascii="Titillium" w:hAnsi="Titillium" w:cs="Titillium"/>
        </w:rPr>
        <w:t>ří</w:t>
      </w:r>
      <w:r w:rsidRPr="00DC6F86">
        <w:rPr>
          <w:rFonts w:ascii="Titillium" w:hAnsi="Titillium" w:cs="Times New Roman"/>
        </w:rPr>
        <w:t>rod</w:t>
      </w:r>
      <w:r w:rsidRPr="00DC6F86">
        <w:rPr>
          <w:rFonts w:ascii="Titillium" w:hAnsi="Titillium" w:cs="Titillium"/>
        </w:rPr>
        <w:t>ě</w:t>
      </w:r>
      <w:r w:rsidRPr="00DC6F86">
        <w:rPr>
          <w:rFonts w:ascii="Titillium" w:hAnsi="Titillium" w:cs="Times New Roman"/>
        </w:rPr>
        <w:t>, P</w:t>
      </w:r>
      <w:r w:rsidRPr="00DC6F86">
        <w:rPr>
          <w:rFonts w:ascii="Titillium" w:hAnsi="Titillium" w:cs="Titillium"/>
        </w:rPr>
        <w:t>ří</w:t>
      </w:r>
      <w:r w:rsidRPr="00DC6F86">
        <w:rPr>
          <w:rFonts w:ascii="Titillium" w:hAnsi="Titillium" w:cs="Times New Roman"/>
        </w:rPr>
        <w:t>kazy 54, 783 33 P</w:t>
      </w:r>
      <w:r w:rsidRPr="00DC6F86">
        <w:rPr>
          <w:rFonts w:ascii="Titillium" w:hAnsi="Titillium" w:cs="Titillium"/>
        </w:rPr>
        <w:t>ř</w:t>
      </w:r>
      <w:r w:rsidRPr="00DC6F86">
        <w:rPr>
          <w:rFonts w:ascii="Titillium" w:hAnsi="Titillium" w:cs="Times New Roman"/>
        </w:rPr>
        <w:t>íkazy</w:t>
      </w:r>
    </w:p>
    <w:p w:rsidR="00703F4A" w:rsidRPr="00DC6F86" w:rsidRDefault="00A74193" w:rsidP="001C15A4">
      <w:pPr>
        <w:spacing w:after="0" w:line="240" w:lineRule="auto"/>
        <w:rPr>
          <w:rFonts w:ascii="Titillium" w:hAnsi="Titillium" w:cs="Times New Roman"/>
        </w:rPr>
      </w:pPr>
      <w:r w:rsidRPr="00DC6F86">
        <w:rPr>
          <w:rFonts w:ascii="Titillium" w:hAnsi="Titillium" w:cs="Times New Roman"/>
        </w:rPr>
        <w:t>Pověřený pracovník za Hanácké muzeum v</w:t>
      </w:r>
      <w:r w:rsidRPr="00DC6F86">
        <w:rPr>
          <w:rFonts w:ascii="Calibri" w:hAnsi="Calibri" w:cs="Calibri"/>
        </w:rPr>
        <w:t> </w:t>
      </w:r>
      <w:r w:rsidRPr="00DC6F86">
        <w:rPr>
          <w:rFonts w:ascii="Titillium" w:hAnsi="Titillium" w:cs="Times New Roman"/>
        </w:rPr>
        <w:t>p</w:t>
      </w:r>
      <w:r w:rsidRPr="00DC6F86">
        <w:rPr>
          <w:rFonts w:ascii="Titillium" w:hAnsi="Titillium" w:cs="Titillium"/>
        </w:rPr>
        <w:t>ří</w:t>
      </w:r>
      <w:r w:rsidRPr="00DC6F86">
        <w:rPr>
          <w:rFonts w:ascii="Titillium" w:hAnsi="Titillium" w:cs="Times New Roman"/>
        </w:rPr>
        <w:t>rod</w:t>
      </w:r>
      <w:r w:rsidRPr="00DC6F86">
        <w:rPr>
          <w:rFonts w:ascii="Titillium" w:hAnsi="Titillium" w:cs="Titillium"/>
        </w:rPr>
        <w:t>ě</w:t>
      </w:r>
      <w:r w:rsidRPr="00DC6F86">
        <w:rPr>
          <w:rFonts w:ascii="Titillium" w:hAnsi="Titillium" w:cs="Times New Roman"/>
        </w:rPr>
        <w:t xml:space="preserve"> ve věcech technických: </w:t>
      </w:r>
      <w:r w:rsidR="00E31CB5" w:rsidRPr="00E31CB5">
        <w:rPr>
          <w:rFonts w:ascii="Titillium" w:hAnsi="Titillium" w:cs="Times New Roman"/>
          <w:b/>
        </w:rPr>
        <w:t>XXXXXXXXXXXX</w:t>
      </w:r>
    </w:p>
    <w:p w:rsidR="00703F4A" w:rsidRPr="00DC6F86" w:rsidRDefault="00A74193" w:rsidP="001C15A4">
      <w:pPr>
        <w:spacing w:after="0" w:line="240" w:lineRule="auto"/>
        <w:rPr>
          <w:rFonts w:ascii="Titillium" w:hAnsi="Titillium" w:cs="Times New Roman"/>
        </w:rPr>
      </w:pPr>
      <w:r w:rsidRPr="00DC6F86">
        <w:rPr>
          <w:rFonts w:ascii="Titillium" w:hAnsi="Titillium" w:cs="Times New Roman"/>
        </w:rPr>
        <w:t xml:space="preserve">(dále i jen </w:t>
      </w:r>
      <w:r w:rsidR="00337BFB">
        <w:rPr>
          <w:rFonts w:ascii="Titillium" w:hAnsi="Titillium" w:cs="Times New Roman"/>
        </w:rPr>
        <w:t>„</w:t>
      </w:r>
      <w:proofErr w:type="spellStart"/>
      <w:r w:rsidR="00337BFB">
        <w:rPr>
          <w:rFonts w:ascii="Titillium" w:hAnsi="Titillium" w:cs="Times New Roman"/>
        </w:rPr>
        <w:t>NMvP</w:t>
      </w:r>
      <w:proofErr w:type="spellEnd"/>
      <w:r w:rsidR="00337BFB">
        <w:rPr>
          <w:rFonts w:ascii="Titillium" w:hAnsi="Titillium" w:cs="Times New Roman"/>
        </w:rPr>
        <w:t>/</w:t>
      </w:r>
      <w:r w:rsidRPr="00DC6F86">
        <w:rPr>
          <w:rFonts w:ascii="Titillium" w:hAnsi="Titillium" w:cs="Times New Roman"/>
        </w:rPr>
        <w:t>HMP“)</w:t>
      </w:r>
    </w:p>
    <w:p w:rsidR="00703F4A" w:rsidRPr="00DC6F86" w:rsidRDefault="00703F4A" w:rsidP="001C15A4">
      <w:pPr>
        <w:tabs>
          <w:tab w:val="center" w:pos="3463"/>
        </w:tabs>
        <w:spacing w:after="0" w:line="240" w:lineRule="auto"/>
        <w:ind w:left="-15"/>
        <w:rPr>
          <w:rFonts w:ascii="Titillium" w:hAnsi="Titillium" w:cs="Times New Roman"/>
        </w:rPr>
      </w:pPr>
    </w:p>
    <w:p w:rsidR="00703F4A" w:rsidRPr="00DC6F86" w:rsidRDefault="00A74193" w:rsidP="001C15A4">
      <w:pPr>
        <w:spacing w:after="0" w:line="240" w:lineRule="auto"/>
        <w:jc w:val="both"/>
        <w:rPr>
          <w:rFonts w:ascii="Titillium" w:hAnsi="Titillium" w:cs="Times New Roman"/>
          <w:b/>
        </w:rPr>
      </w:pPr>
      <w:r w:rsidRPr="00DC6F86">
        <w:rPr>
          <w:rFonts w:ascii="Titillium" w:hAnsi="Titillium" w:cs="Times New Roman"/>
          <w:b/>
        </w:rPr>
        <w:t xml:space="preserve">a </w:t>
      </w:r>
    </w:p>
    <w:p w:rsidR="00703F4A" w:rsidRPr="00DC6F86" w:rsidRDefault="00703F4A" w:rsidP="001C15A4">
      <w:pPr>
        <w:spacing w:after="0" w:line="240" w:lineRule="auto"/>
        <w:jc w:val="both"/>
        <w:rPr>
          <w:rFonts w:ascii="Titillium" w:hAnsi="Titillium" w:cs="Times New Roman"/>
          <w:b/>
        </w:rPr>
      </w:pPr>
    </w:p>
    <w:p w:rsidR="00703F4A" w:rsidRPr="00DC6F86" w:rsidRDefault="00A74193" w:rsidP="001C15A4">
      <w:pPr>
        <w:spacing w:after="0" w:line="240" w:lineRule="auto"/>
        <w:rPr>
          <w:rFonts w:ascii="Titillium" w:eastAsia="Times New Roman" w:hAnsi="Titillium" w:cs="Times New Roman"/>
          <w:b/>
        </w:rPr>
      </w:pPr>
      <w:r w:rsidRPr="00DC6F86">
        <w:rPr>
          <w:rFonts w:ascii="Titillium" w:eastAsia="Times New Roman" w:hAnsi="Titillium" w:cs="Times New Roman"/>
          <w:b/>
        </w:rPr>
        <w:t>Hanácký folklorní</w:t>
      </w:r>
      <w:r w:rsidR="00A32856">
        <w:rPr>
          <w:rFonts w:ascii="Courier New" w:eastAsia="Times New Roman" w:hAnsi="Courier New" w:cs="Courier New"/>
          <w:b/>
        </w:rPr>
        <w:t xml:space="preserve"> </w:t>
      </w:r>
      <w:r w:rsidRPr="00DC6F86">
        <w:rPr>
          <w:rFonts w:ascii="Titillium" w:eastAsia="Times New Roman" w:hAnsi="Titillium" w:cs="Times New Roman"/>
          <w:b/>
        </w:rPr>
        <w:t xml:space="preserve">spolek </w:t>
      </w:r>
    </w:p>
    <w:p w:rsidR="00703F4A" w:rsidRPr="00DC6F86" w:rsidRDefault="00A74193" w:rsidP="001C15A4">
      <w:pPr>
        <w:spacing w:after="0" w:line="240" w:lineRule="auto"/>
        <w:ind w:left="-5" w:right="2810"/>
        <w:rPr>
          <w:rFonts w:ascii="Titillium" w:hAnsi="Titillium" w:cs="Times New Roman"/>
        </w:rPr>
      </w:pPr>
      <w:r w:rsidRPr="00DC6F86">
        <w:rPr>
          <w:rFonts w:ascii="Titillium" w:hAnsi="Titillium" w:cs="Times New Roman"/>
        </w:rPr>
        <w:t>zastoupený Ing. Hanou POSPÍŠILÍKOVOU, předsedkyní spolku</w:t>
      </w:r>
      <w:r w:rsidRPr="00DC6F86">
        <w:rPr>
          <w:rFonts w:ascii="Titillium" w:hAnsi="Titillium" w:cs="Times New Roman"/>
        </w:rPr>
        <w:br/>
        <w:t>Lužická 2662/12, 796 01</w:t>
      </w:r>
      <w:r w:rsidRPr="00DC6F86">
        <w:rPr>
          <w:rFonts w:ascii="Courier New" w:hAnsi="Courier New" w:cs="Courier New"/>
        </w:rPr>
        <w:t> </w:t>
      </w:r>
      <w:r w:rsidRPr="00DC6F86">
        <w:rPr>
          <w:rFonts w:ascii="Titillium" w:hAnsi="Titillium" w:cs="Times New Roman"/>
        </w:rPr>
        <w:t>Prost</w:t>
      </w:r>
      <w:r w:rsidRPr="00DC6F86">
        <w:rPr>
          <w:rFonts w:ascii="Titillium" w:hAnsi="Titillium" w:cs="Titillium"/>
        </w:rPr>
        <w:t>ě</w:t>
      </w:r>
      <w:r w:rsidRPr="00DC6F86">
        <w:rPr>
          <w:rFonts w:ascii="Titillium" w:hAnsi="Titillium" w:cs="Times New Roman"/>
        </w:rPr>
        <w:t>jov</w:t>
      </w:r>
    </w:p>
    <w:p w:rsidR="00703F4A" w:rsidRPr="00DC6F86" w:rsidRDefault="00A74193" w:rsidP="001C15A4">
      <w:pPr>
        <w:spacing w:after="0" w:line="240" w:lineRule="auto"/>
        <w:ind w:left="-5" w:right="2810"/>
        <w:rPr>
          <w:rFonts w:ascii="Titillium" w:hAnsi="Titillium" w:cs="Times New Roman"/>
        </w:rPr>
      </w:pPr>
      <w:r w:rsidRPr="00DC6F86">
        <w:rPr>
          <w:rFonts w:ascii="Titillium" w:hAnsi="Titillium" w:cs="Times New Roman"/>
        </w:rPr>
        <w:t>IČ: 41503457</w:t>
      </w:r>
    </w:p>
    <w:p w:rsidR="00703F4A" w:rsidRPr="00DC6F86" w:rsidRDefault="00A74193" w:rsidP="001C15A4">
      <w:pPr>
        <w:spacing w:after="0" w:line="240" w:lineRule="auto"/>
        <w:rPr>
          <w:rFonts w:ascii="Titillium" w:hAnsi="Titillium" w:cs="Times New Roman"/>
        </w:rPr>
      </w:pPr>
      <w:r w:rsidRPr="00DC6F86">
        <w:rPr>
          <w:rFonts w:ascii="Titillium" w:hAnsi="Titillium" w:cs="Times New Roman"/>
        </w:rPr>
        <w:t xml:space="preserve">Pověřený pracovník za Hanácký folklorní spolek ve věcech technických: </w:t>
      </w:r>
      <w:r w:rsidR="00E31CB5" w:rsidRPr="00E31CB5">
        <w:rPr>
          <w:rFonts w:ascii="Titillium" w:hAnsi="Titillium" w:cs="Times New Roman"/>
          <w:b/>
        </w:rPr>
        <w:t>XXXXXXXXXXXX</w:t>
      </w:r>
    </w:p>
    <w:p w:rsidR="00703F4A" w:rsidRPr="00DC6F86" w:rsidRDefault="00A74193" w:rsidP="001C15A4">
      <w:pPr>
        <w:spacing w:after="0" w:line="240" w:lineRule="auto"/>
        <w:ind w:left="-5" w:right="2810"/>
        <w:rPr>
          <w:rFonts w:ascii="Titillium" w:hAnsi="Titillium" w:cs="Times New Roman"/>
        </w:rPr>
      </w:pPr>
      <w:r w:rsidRPr="00DC6F86">
        <w:rPr>
          <w:rFonts w:ascii="Titillium" w:hAnsi="Titillium" w:cs="Times New Roman"/>
        </w:rPr>
        <w:t>(dále i jen „HANFOS“)</w:t>
      </w:r>
    </w:p>
    <w:p w:rsidR="00703F4A" w:rsidRPr="00DC6F86" w:rsidRDefault="00703F4A" w:rsidP="001C15A4">
      <w:pPr>
        <w:spacing w:after="0" w:line="240" w:lineRule="auto"/>
        <w:jc w:val="both"/>
        <w:rPr>
          <w:rFonts w:ascii="Titillium" w:eastAsia="Times New Roman" w:hAnsi="Titillium" w:cs="Times New Roman"/>
          <w:b/>
        </w:rPr>
      </w:pPr>
    </w:p>
    <w:p w:rsidR="00703F4A" w:rsidRPr="00DC6F86" w:rsidRDefault="00A74193" w:rsidP="001C15A4">
      <w:pPr>
        <w:spacing w:after="0" w:line="240" w:lineRule="auto"/>
        <w:jc w:val="both"/>
        <w:rPr>
          <w:rFonts w:ascii="Titillium" w:eastAsia="Times New Roman" w:hAnsi="Titillium" w:cs="Times New Roman"/>
        </w:rPr>
      </w:pPr>
      <w:r w:rsidRPr="00DC6F86">
        <w:rPr>
          <w:rFonts w:ascii="Titillium" w:eastAsia="Times New Roman" w:hAnsi="Titillium" w:cs="Times New Roman"/>
        </w:rPr>
        <w:t>Dále jen „Smluvní strany“</w:t>
      </w:r>
    </w:p>
    <w:p w:rsidR="00E128C2" w:rsidRPr="00DC6F86" w:rsidRDefault="00E128C2" w:rsidP="001C15A4">
      <w:pPr>
        <w:spacing w:after="0" w:line="360" w:lineRule="auto"/>
        <w:rPr>
          <w:rFonts w:ascii="Titillium" w:hAnsi="Titillium" w:cs="Times New Roman"/>
          <w:b/>
        </w:rPr>
      </w:pPr>
    </w:p>
    <w:p w:rsidR="00703F4A" w:rsidRPr="00DC6F86" w:rsidRDefault="00A74193" w:rsidP="001C15A4">
      <w:pPr>
        <w:spacing w:after="0" w:line="240" w:lineRule="auto"/>
        <w:jc w:val="center"/>
        <w:rPr>
          <w:rFonts w:ascii="Titillium" w:hAnsi="Titillium" w:cs="Times New Roman"/>
          <w:b/>
        </w:rPr>
      </w:pPr>
      <w:r w:rsidRPr="00DC6F86">
        <w:rPr>
          <w:rFonts w:ascii="Titillium" w:hAnsi="Titillium" w:cs="Times New Roman"/>
          <w:b/>
        </w:rPr>
        <w:t>ČLÁNEK I.</w:t>
      </w:r>
    </w:p>
    <w:p w:rsidR="00703F4A" w:rsidRPr="00DC6F86" w:rsidRDefault="00A74193" w:rsidP="001C15A4">
      <w:pPr>
        <w:spacing w:after="0" w:line="240" w:lineRule="auto"/>
        <w:jc w:val="center"/>
        <w:rPr>
          <w:rFonts w:ascii="Titillium" w:hAnsi="Titillium" w:cs="Times New Roman"/>
          <w:b/>
        </w:rPr>
      </w:pPr>
      <w:r w:rsidRPr="00DC6F86">
        <w:rPr>
          <w:rFonts w:ascii="Titillium" w:hAnsi="Titillium" w:cs="Times New Roman"/>
          <w:b/>
        </w:rPr>
        <w:t>Předmět smlouvy</w:t>
      </w:r>
    </w:p>
    <w:p w:rsidR="00703F4A" w:rsidRPr="00DC6F86" w:rsidRDefault="00A74193" w:rsidP="001C15A4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tillium" w:hAnsi="Titillium" w:cs="Times New Roman"/>
        </w:rPr>
      </w:pPr>
      <w:r w:rsidRPr="00DC6F86">
        <w:rPr>
          <w:rFonts w:ascii="Titillium" w:hAnsi="Titillium" w:cs="Times New Roman"/>
        </w:rPr>
        <w:t>Smluvní strany se dohodly, že ve vzájemné spolupráci vydají tiskem publikaci (sborník) příspěvků z</w:t>
      </w:r>
      <w:r w:rsidRPr="00DC6F86">
        <w:rPr>
          <w:rFonts w:ascii="Courier New" w:hAnsi="Courier New" w:cs="Courier New"/>
        </w:rPr>
        <w:t> </w:t>
      </w:r>
      <w:r w:rsidRPr="00DC6F86">
        <w:rPr>
          <w:rFonts w:ascii="Titillium" w:hAnsi="Titillium" w:cs="Times New Roman"/>
        </w:rPr>
        <w:t>XVII. konference o lidové kultuře na Hané, která se uskutečnila 9. listopadu 2023 v</w:t>
      </w:r>
      <w:r w:rsidRPr="00DC6F86">
        <w:rPr>
          <w:rFonts w:ascii="Courier New" w:hAnsi="Courier New" w:cs="Courier New"/>
        </w:rPr>
        <w:t> </w:t>
      </w:r>
      <w:proofErr w:type="spellStart"/>
      <w:r w:rsidRPr="00DC6F86">
        <w:rPr>
          <w:rFonts w:ascii="Titillium" w:hAnsi="Titillium" w:cs="Times New Roman"/>
        </w:rPr>
        <w:t>Příkazích</w:t>
      </w:r>
      <w:proofErr w:type="spellEnd"/>
      <w:r w:rsidRPr="00DC6F86">
        <w:rPr>
          <w:rFonts w:ascii="Titillium" w:hAnsi="Titillium" w:cs="Times New Roman"/>
        </w:rPr>
        <w:t>.</w:t>
      </w:r>
    </w:p>
    <w:p w:rsidR="00703F4A" w:rsidRPr="00DC6F86" w:rsidRDefault="00A74193" w:rsidP="001C15A4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tillium" w:hAnsi="Titillium" w:cs="Times New Roman"/>
        </w:rPr>
      </w:pPr>
      <w:r w:rsidRPr="00DC6F86">
        <w:rPr>
          <w:rFonts w:ascii="Titillium" w:hAnsi="Titillium" w:cs="Times New Roman"/>
        </w:rPr>
        <w:t>Publikace bude vydána nejpozději do 20. září 2024 a slavnostně uvedena 28. září 2024 v</w:t>
      </w:r>
      <w:r w:rsidRPr="00DC6F86">
        <w:rPr>
          <w:rFonts w:ascii="Courier New" w:hAnsi="Courier New" w:cs="Courier New"/>
        </w:rPr>
        <w:t xml:space="preserve"> </w:t>
      </w:r>
      <w:r w:rsidRPr="00DC6F86">
        <w:rPr>
          <w:rFonts w:ascii="Titillium" w:hAnsi="Titillium" w:cs="Times New Roman"/>
        </w:rPr>
        <w:t>rámci folklorního festivalu XV. setkání Hanáků v</w:t>
      </w:r>
      <w:r w:rsidRPr="00DC6F86">
        <w:rPr>
          <w:rFonts w:ascii="Courier New" w:hAnsi="Courier New" w:cs="Courier New"/>
        </w:rPr>
        <w:t xml:space="preserve"> </w:t>
      </w:r>
      <w:proofErr w:type="spellStart"/>
      <w:r w:rsidRPr="00DC6F86">
        <w:rPr>
          <w:rFonts w:ascii="Titillium" w:hAnsi="Titillium" w:cs="Times New Roman"/>
        </w:rPr>
        <w:t>P</w:t>
      </w:r>
      <w:r w:rsidRPr="00DC6F86">
        <w:rPr>
          <w:rFonts w:ascii="Titillium" w:hAnsi="Titillium" w:cs="Titillium"/>
        </w:rPr>
        <w:t>ří</w:t>
      </w:r>
      <w:r w:rsidRPr="00DC6F86">
        <w:rPr>
          <w:rFonts w:ascii="Titillium" w:hAnsi="Titillium" w:cs="Times New Roman"/>
        </w:rPr>
        <w:t>kaz</w:t>
      </w:r>
      <w:r w:rsidRPr="00DC6F86">
        <w:rPr>
          <w:rFonts w:ascii="Titillium" w:hAnsi="Titillium" w:cs="Titillium"/>
        </w:rPr>
        <w:t>í</w:t>
      </w:r>
      <w:r w:rsidRPr="00DC6F86">
        <w:rPr>
          <w:rFonts w:ascii="Titillium" w:hAnsi="Titillium" w:cs="Times New Roman"/>
        </w:rPr>
        <w:t>ch</w:t>
      </w:r>
      <w:proofErr w:type="spellEnd"/>
      <w:r w:rsidRPr="00DC6F86">
        <w:rPr>
          <w:rFonts w:ascii="Titillium" w:hAnsi="Titillium" w:cs="Times New Roman"/>
        </w:rPr>
        <w:t>.</w:t>
      </w:r>
    </w:p>
    <w:p w:rsidR="00703F4A" w:rsidRPr="00DC6F86" w:rsidRDefault="00A74193" w:rsidP="001C15A4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tillium" w:hAnsi="Titillium" w:cs="Times New Roman"/>
        </w:rPr>
      </w:pPr>
      <w:r w:rsidRPr="00DC6F86">
        <w:rPr>
          <w:rFonts w:ascii="Titillium" w:hAnsi="Titillium" w:cs="Times New Roman"/>
        </w:rPr>
        <w:t>Smluvní strany se zavazují publikaci vydat v</w:t>
      </w:r>
      <w:r w:rsidRPr="00DC6F86">
        <w:rPr>
          <w:rFonts w:ascii="Courier New" w:hAnsi="Courier New" w:cs="Courier New"/>
        </w:rPr>
        <w:t xml:space="preserve"> </w:t>
      </w:r>
      <w:r w:rsidRPr="00DC6F86">
        <w:rPr>
          <w:rFonts w:ascii="Titillium" w:hAnsi="Titillium" w:cs="Times New Roman"/>
        </w:rPr>
        <w:t>n</w:t>
      </w:r>
      <w:r w:rsidRPr="00DC6F86">
        <w:rPr>
          <w:rFonts w:ascii="Titillium" w:hAnsi="Titillium" w:cs="Titillium"/>
        </w:rPr>
        <w:t>á</w:t>
      </w:r>
      <w:r w:rsidRPr="00DC6F86">
        <w:rPr>
          <w:rFonts w:ascii="Titillium" w:hAnsi="Titillium" w:cs="Times New Roman"/>
        </w:rPr>
        <w:t xml:space="preserve">kladu </w:t>
      </w:r>
      <w:r w:rsidR="00FC7DAE">
        <w:rPr>
          <w:rFonts w:ascii="Titillium" w:hAnsi="Titillium" w:cs="Times New Roman"/>
        </w:rPr>
        <w:t>400</w:t>
      </w:r>
      <w:r w:rsidRPr="00DC6F86">
        <w:rPr>
          <w:rFonts w:ascii="Titillium" w:hAnsi="Titillium" w:cs="Times New Roman"/>
        </w:rPr>
        <w:t xml:space="preserve"> ks.</w:t>
      </w:r>
    </w:p>
    <w:p w:rsidR="00703F4A" w:rsidRPr="00DC6F86" w:rsidRDefault="00A74193" w:rsidP="001C15A4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tillium" w:hAnsi="Titillium" w:cs="Times New Roman"/>
        </w:rPr>
      </w:pPr>
      <w:r w:rsidRPr="00DC6F86">
        <w:rPr>
          <w:rFonts w:ascii="Titillium" w:hAnsi="Titillium" w:cs="Times New Roman"/>
        </w:rPr>
        <w:t>Smluvní strany se dohodly, že:</w:t>
      </w:r>
    </w:p>
    <w:p w:rsidR="00703F4A" w:rsidRDefault="00337BFB" w:rsidP="001C15A4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tillium" w:hAnsi="Titillium" w:cs="Times New Roman"/>
        </w:rPr>
      </w:pPr>
      <w:proofErr w:type="spellStart"/>
      <w:r>
        <w:rPr>
          <w:rFonts w:ascii="Titillium" w:hAnsi="Titillium" w:cs="Times New Roman"/>
        </w:rPr>
        <w:t>NMvP</w:t>
      </w:r>
      <w:proofErr w:type="spellEnd"/>
      <w:r>
        <w:rPr>
          <w:rFonts w:ascii="Titillium" w:hAnsi="Titillium" w:cs="Times New Roman"/>
        </w:rPr>
        <w:t>/</w:t>
      </w:r>
      <w:r w:rsidR="00A74193" w:rsidRPr="00DC6F86">
        <w:rPr>
          <w:rFonts w:ascii="Titillium" w:hAnsi="Titillium" w:cs="Times New Roman"/>
        </w:rPr>
        <w:t xml:space="preserve">HMP poskytne </w:t>
      </w:r>
      <w:proofErr w:type="spellStart"/>
      <w:r w:rsidR="00A74193" w:rsidRPr="00DC6F86">
        <w:rPr>
          <w:rFonts w:ascii="Titillium" w:hAnsi="Titillium" w:cs="Times New Roman"/>
        </w:rPr>
        <w:t>HANFOSu</w:t>
      </w:r>
      <w:proofErr w:type="spellEnd"/>
      <w:r w:rsidR="00A74193" w:rsidRPr="00DC6F86">
        <w:rPr>
          <w:rFonts w:ascii="Titillium" w:hAnsi="Titillium" w:cs="Times New Roman"/>
        </w:rPr>
        <w:t xml:space="preserve"> rukopisy příspěvků, fotografie, doplňující texty (předmluva, obsah apod.)</w:t>
      </w:r>
      <w:r w:rsidR="00B17252">
        <w:rPr>
          <w:rFonts w:ascii="Titillium" w:hAnsi="Titillium" w:cs="Times New Roman"/>
        </w:rPr>
        <w:t xml:space="preserve">, provede </w:t>
      </w:r>
      <w:r w:rsidR="00A32856">
        <w:rPr>
          <w:rFonts w:ascii="Titillium" w:hAnsi="Titillium" w:cs="Times New Roman"/>
        </w:rPr>
        <w:t xml:space="preserve">základní </w:t>
      </w:r>
      <w:r w:rsidR="00B17252">
        <w:rPr>
          <w:rFonts w:ascii="Titillium" w:hAnsi="Titillium" w:cs="Times New Roman"/>
        </w:rPr>
        <w:t>korektury</w:t>
      </w:r>
      <w:r w:rsidR="00A74193" w:rsidRPr="00DC6F86">
        <w:rPr>
          <w:rFonts w:ascii="Titillium" w:hAnsi="Titillium" w:cs="Times New Roman"/>
        </w:rPr>
        <w:t xml:space="preserve"> a bude komunikovat</w:t>
      </w:r>
      <w:r>
        <w:rPr>
          <w:rFonts w:ascii="Titillium" w:hAnsi="Titillium" w:cs="Times New Roman"/>
        </w:rPr>
        <w:t xml:space="preserve"> s</w:t>
      </w:r>
      <w:r w:rsidR="00A74193" w:rsidRPr="00DC6F86">
        <w:rPr>
          <w:rFonts w:ascii="Courier New" w:hAnsi="Courier New" w:cs="Courier New"/>
        </w:rPr>
        <w:t xml:space="preserve"> </w:t>
      </w:r>
      <w:r w:rsidR="00A74193" w:rsidRPr="00DC6F86">
        <w:rPr>
          <w:rFonts w:ascii="Titillium" w:hAnsi="Titillium" w:cs="Times New Roman"/>
        </w:rPr>
        <w:t>autory p</w:t>
      </w:r>
      <w:r w:rsidR="00A74193" w:rsidRPr="00DC6F86">
        <w:rPr>
          <w:rFonts w:ascii="Titillium" w:hAnsi="Titillium" w:cs="Titillium"/>
        </w:rPr>
        <w:t>ří</w:t>
      </w:r>
      <w:r w:rsidR="00A74193" w:rsidRPr="00DC6F86">
        <w:rPr>
          <w:rFonts w:ascii="Titillium" w:hAnsi="Titillium" w:cs="Times New Roman"/>
        </w:rPr>
        <w:t>sp</w:t>
      </w:r>
      <w:r w:rsidR="00A74193" w:rsidRPr="00DC6F86">
        <w:rPr>
          <w:rFonts w:ascii="Titillium" w:hAnsi="Titillium" w:cs="Titillium"/>
        </w:rPr>
        <w:t>ě</w:t>
      </w:r>
      <w:r w:rsidR="00A74193" w:rsidRPr="00DC6F86">
        <w:rPr>
          <w:rFonts w:ascii="Titillium" w:hAnsi="Titillium" w:cs="Times New Roman"/>
        </w:rPr>
        <w:t>vk</w:t>
      </w:r>
      <w:r w:rsidR="00A74193" w:rsidRPr="00DC6F86">
        <w:rPr>
          <w:rFonts w:ascii="Titillium" w:hAnsi="Titillium" w:cs="Titillium"/>
        </w:rPr>
        <w:t>ů</w:t>
      </w:r>
      <w:r w:rsidR="00A74193" w:rsidRPr="00DC6F86">
        <w:rPr>
          <w:rFonts w:ascii="Titillium" w:hAnsi="Titillium" w:cs="Times New Roman"/>
        </w:rPr>
        <w:t xml:space="preserve"> (autorsk</w:t>
      </w:r>
      <w:r w:rsidR="00A74193" w:rsidRPr="00DC6F86">
        <w:rPr>
          <w:rFonts w:ascii="Titillium" w:hAnsi="Titillium" w:cs="Titillium"/>
        </w:rPr>
        <w:t>é</w:t>
      </w:r>
      <w:r w:rsidR="00A74193" w:rsidRPr="00DC6F86">
        <w:rPr>
          <w:rFonts w:ascii="Titillium" w:hAnsi="Titillium" w:cs="Times New Roman"/>
        </w:rPr>
        <w:t xml:space="preserve"> korektury);</w:t>
      </w:r>
      <w:r>
        <w:rPr>
          <w:rFonts w:ascii="Titillium" w:hAnsi="Titillium" w:cs="Times New Roman"/>
        </w:rPr>
        <w:t xml:space="preserve"> </w:t>
      </w:r>
      <w:proofErr w:type="spellStart"/>
      <w:r>
        <w:rPr>
          <w:rFonts w:ascii="Titillium" w:hAnsi="Titillium" w:cs="Times New Roman"/>
        </w:rPr>
        <w:t>NMvP</w:t>
      </w:r>
      <w:proofErr w:type="spellEnd"/>
      <w:r>
        <w:rPr>
          <w:rFonts w:ascii="Titillium" w:hAnsi="Titillium" w:cs="Times New Roman"/>
        </w:rPr>
        <w:t>/HMP</w:t>
      </w:r>
      <w:r w:rsidRPr="00DC6F86">
        <w:rPr>
          <w:rFonts w:ascii="Titillium" w:hAnsi="Titillium" w:cs="Times New Roman"/>
        </w:rPr>
        <w:t xml:space="preserve"> se dále zavazuje k zajištění ISBN pro neperiodickou publikaci (název: Lidová kultura na Hané. Sborník</w:t>
      </w:r>
      <w:r w:rsidR="007C1ADB">
        <w:rPr>
          <w:rFonts w:ascii="Titillium" w:hAnsi="Titillium" w:cs="Times New Roman"/>
        </w:rPr>
        <w:t xml:space="preserve"> příspěvků</w:t>
      </w:r>
      <w:r w:rsidRPr="00DC6F86">
        <w:rPr>
          <w:rFonts w:ascii="Titillium" w:hAnsi="Titillium" w:cs="Times New Roman"/>
        </w:rPr>
        <w:t xml:space="preserve"> z XVII. konference</w:t>
      </w:r>
      <w:r w:rsidR="007C1ADB">
        <w:rPr>
          <w:rFonts w:ascii="Titillium" w:hAnsi="Titillium" w:cs="Times New Roman"/>
        </w:rPr>
        <w:t xml:space="preserve"> o Hané</w:t>
      </w:r>
      <w:r w:rsidR="00B17252">
        <w:rPr>
          <w:rFonts w:ascii="Titillium" w:hAnsi="Titillium" w:cs="Times New Roman"/>
        </w:rPr>
        <w:t>.</w:t>
      </w:r>
      <w:r w:rsidRPr="00DC6F86">
        <w:rPr>
          <w:rFonts w:ascii="Titillium" w:hAnsi="Titillium" w:cs="Times New Roman"/>
        </w:rPr>
        <w:t xml:space="preserve"> </w:t>
      </w:r>
      <w:r w:rsidR="00B17252">
        <w:rPr>
          <w:rFonts w:ascii="Titillium" w:hAnsi="Titillium" w:cs="Times New Roman"/>
        </w:rPr>
        <w:t>V</w:t>
      </w:r>
      <w:r w:rsidRPr="00DC6F86">
        <w:rPr>
          <w:rFonts w:ascii="Titillium" w:hAnsi="Titillium" w:cs="Times New Roman"/>
        </w:rPr>
        <w:t>ydavatel: Národní muzeum v</w:t>
      </w:r>
      <w:r>
        <w:rPr>
          <w:rFonts w:ascii="Titillium" w:hAnsi="Titillium" w:cs="Times New Roman"/>
        </w:rPr>
        <w:t> </w:t>
      </w:r>
      <w:r w:rsidRPr="00DC6F86">
        <w:rPr>
          <w:rFonts w:ascii="Titillium" w:hAnsi="Titillium" w:cs="Times New Roman"/>
        </w:rPr>
        <w:t>příro</w:t>
      </w:r>
      <w:r>
        <w:rPr>
          <w:rFonts w:ascii="Titillium" w:hAnsi="Titillium" w:cs="Times New Roman"/>
        </w:rPr>
        <w:t>dě</w:t>
      </w:r>
      <w:r w:rsidRPr="00DC6F86">
        <w:rPr>
          <w:rFonts w:ascii="Titillium" w:hAnsi="Titillium" w:cs="Times New Roman"/>
        </w:rPr>
        <w:t xml:space="preserve">, </w:t>
      </w:r>
      <w:r>
        <w:rPr>
          <w:rFonts w:ascii="Titillium" w:hAnsi="Titillium" w:cs="Times New Roman"/>
        </w:rPr>
        <w:t>Rožnov pod Radhoštěm</w:t>
      </w:r>
      <w:r w:rsidRPr="00DC6F86">
        <w:rPr>
          <w:rFonts w:ascii="Titillium" w:hAnsi="Titillium" w:cs="Times New Roman"/>
        </w:rPr>
        <w:t xml:space="preserve"> 2024</w:t>
      </w:r>
      <w:r>
        <w:rPr>
          <w:rFonts w:ascii="Titillium" w:hAnsi="Titillium" w:cs="Times New Roman"/>
        </w:rPr>
        <w:t xml:space="preserve">). </w:t>
      </w:r>
      <w:proofErr w:type="spellStart"/>
      <w:r>
        <w:rPr>
          <w:rFonts w:ascii="Titillium" w:hAnsi="Titillium" w:cs="Times New Roman"/>
        </w:rPr>
        <w:t>NMvP</w:t>
      </w:r>
      <w:proofErr w:type="spellEnd"/>
      <w:r>
        <w:rPr>
          <w:rFonts w:ascii="Titillium" w:hAnsi="Titillium" w:cs="Times New Roman"/>
        </w:rPr>
        <w:t>/HMP</w:t>
      </w:r>
      <w:r w:rsidRPr="00DC6F86">
        <w:rPr>
          <w:rFonts w:ascii="Titillium" w:hAnsi="Titillium" w:cs="Times New Roman"/>
        </w:rPr>
        <w:t xml:space="preserve"> dodá povinné výtisky knihovnám a splní i nabídkovou povinnost dle zákona č. 37/1995 Sb., o neperiodických publikacích v platném znění.</w:t>
      </w:r>
      <w:r>
        <w:rPr>
          <w:rFonts w:ascii="Titillium" w:hAnsi="Titillium" w:cs="Times New Roman"/>
        </w:rPr>
        <w:t xml:space="preserve"> </w:t>
      </w:r>
      <w:proofErr w:type="spellStart"/>
      <w:r w:rsidR="007C1ADB">
        <w:rPr>
          <w:rFonts w:ascii="Titillium" w:hAnsi="Titillium" w:cs="Times New Roman"/>
        </w:rPr>
        <w:t>NMvP</w:t>
      </w:r>
      <w:proofErr w:type="spellEnd"/>
      <w:r w:rsidR="007C1ADB">
        <w:rPr>
          <w:rFonts w:ascii="Titillium" w:hAnsi="Titillium" w:cs="Times New Roman"/>
        </w:rPr>
        <w:t>/</w:t>
      </w:r>
      <w:r w:rsidRPr="00337BFB">
        <w:rPr>
          <w:rFonts w:ascii="Titillium" w:hAnsi="Titillium" w:cs="Times New Roman"/>
        </w:rPr>
        <w:t>HMP prohlašuje, že je držitelem veškerých autorských licencí pro užívání a knižní (tištěné) šíření konferenčních příspěvků včetně fotografií.</w:t>
      </w:r>
    </w:p>
    <w:p w:rsidR="00337BFB" w:rsidRDefault="00A74193" w:rsidP="001C15A4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tillium" w:hAnsi="Titillium" w:cs="Times New Roman"/>
        </w:rPr>
      </w:pPr>
      <w:r w:rsidRPr="00337BFB">
        <w:rPr>
          <w:rFonts w:ascii="Titillium" w:hAnsi="Titillium" w:cs="Times New Roman"/>
        </w:rPr>
        <w:lastRenderedPageBreak/>
        <w:t>HANFOS zajistí grafické zpracování, sazbu</w:t>
      </w:r>
      <w:r w:rsidR="00AD102C">
        <w:rPr>
          <w:rFonts w:ascii="Titillium" w:hAnsi="Titillium" w:cs="Times New Roman"/>
        </w:rPr>
        <w:t xml:space="preserve"> a zlom</w:t>
      </w:r>
      <w:r w:rsidRPr="00337BFB">
        <w:rPr>
          <w:rFonts w:ascii="Titillium" w:hAnsi="Titillium" w:cs="Times New Roman"/>
        </w:rPr>
        <w:t xml:space="preserve">, zapracování autorských korektur, </w:t>
      </w:r>
      <w:r w:rsidR="00AD102C">
        <w:rPr>
          <w:rFonts w:ascii="Titillium" w:hAnsi="Titillium" w:cs="Times New Roman"/>
        </w:rPr>
        <w:t xml:space="preserve">technickou redakci, návrh obálky, </w:t>
      </w:r>
      <w:r w:rsidRPr="00337BFB">
        <w:rPr>
          <w:rFonts w:ascii="Titillium" w:hAnsi="Titillium" w:cs="Times New Roman"/>
        </w:rPr>
        <w:t>překlad jednoho z článků z polštiny do češtiny, nechá provést závěrečnou jazykovou</w:t>
      </w:r>
      <w:r w:rsidR="00B17252">
        <w:rPr>
          <w:rFonts w:ascii="Titillium" w:hAnsi="Titillium" w:cs="Times New Roman"/>
        </w:rPr>
        <w:t xml:space="preserve"> a stylistickou</w:t>
      </w:r>
      <w:r w:rsidRPr="00337BFB">
        <w:rPr>
          <w:rFonts w:ascii="Titillium" w:hAnsi="Titillium" w:cs="Times New Roman"/>
        </w:rPr>
        <w:t xml:space="preserve"> korekturu, </w:t>
      </w:r>
      <w:r w:rsidR="00B17252">
        <w:rPr>
          <w:rFonts w:ascii="Titillium" w:hAnsi="Titillium" w:cs="Times New Roman"/>
        </w:rPr>
        <w:t xml:space="preserve">provede </w:t>
      </w:r>
      <w:r w:rsidRPr="00337BFB">
        <w:rPr>
          <w:rFonts w:ascii="Titillium" w:hAnsi="Titillium" w:cs="Times New Roman"/>
        </w:rPr>
        <w:t>předtiskovou přípravu a tisk</w:t>
      </w:r>
      <w:r w:rsidR="00337BFB">
        <w:rPr>
          <w:rFonts w:ascii="Titillium" w:hAnsi="Titillium" w:cs="Times New Roman"/>
        </w:rPr>
        <w:t>.</w:t>
      </w:r>
      <w:r w:rsidRPr="00337BFB">
        <w:rPr>
          <w:rFonts w:ascii="Titillium" w:hAnsi="Titillium" w:cs="Times New Roman"/>
        </w:rPr>
        <w:t xml:space="preserve"> </w:t>
      </w:r>
      <w:r w:rsidR="00337BFB">
        <w:rPr>
          <w:rFonts w:ascii="Titillium" w:hAnsi="Titillium" w:cs="Times New Roman"/>
        </w:rPr>
        <w:t>P</w:t>
      </w:r>
      <w:r w:rsidRPr="00337BFB">
        <w:rPr>
          <w:rFonts w:ascii="Titillium" w:hAnsi="Titillium" w:cs="Times New Roman"/>
        </w:rPr>
        <w:t>rovede distribuci sborníků účastníkům konference poštovní/zásilkovou přepravou (c</w:t>
      </w:r>
      <w:r w:rsidR="00FC7DAE">
        <w:rPr>
          <w:rFonts w:ascii="Titillium" w:hAnsi="Titillium" w:cs="Times New Roman"/>
        </w:rPr>
        <w:t xml:space="preserve">ca </w:t>
      </w:r>
      <w:r w:rsidRPr="00337BFB">
        <w:rPr>
          <w:rFonts w:ascii="Titillium" w:hAnsi="Titillium" w:cs="Times New Roman"/>
        </w:rPr>
        <w:t>110 ks)</w:t>
      </w:r>
    </w:p>
    <w:p w:rsidR="00DC6F86" w:rsidRPr="00337BFB" w:rsidRDefault="00A74193" w:rsidP="001C15A4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tillium" w:hAnsi="Titillium" w:cs="Times New Roman"/>
        </w:rPr>
      </w:pPr>
      <w:r w:rsidRPr="00337BFB">
        <w:rPr>
          <w:rFonts w:ascii="Titillium" w:hAnsi="Titillium" w:cs="Times New Roman"/>
        </w:rPr>
        <w:t xml:space="preserve">Smluvní strany se dohodly, že celkový počet výtisků rozdělí takto: HMP – </w:t>
      </w:r>
      <w:r w:rsidR="00337BFB">
        <w:rPr>
          <w:rFonts w:ascii="Titillium" w:hAnsi="Titillium" w:cs="Times New Roman"/>
        </w:rPr>
        <w:t>2</w:t>
      </w:r>
      <w:r w:rsidR="00B17252">
        <w:rPr>
          <w:rFonts w:ascii="Titillium" w:hAnsi="Titillium" w:cs="Times New Roman"/>
        </w:rPr>
        <w:t>00</w:t>
      </w:r>
      <w:r w:rsidRPr="00337BFB">
        <w:rPr>
          <w:rFonts w:ascii="Titillium" w:hAnsi="Titillium" w:cs="Times New Roman"/>
        </w:rPr>
        <w:t xml:space="preserve"> ks, HANFOS – </w:t>
      </w:r>
      <w:r w:rsidR="00B17252">
        <w:rPr>
          <w:rFonts w:ascii="Titillium" w:hAnsi="Titillium" w:cs="Times New Roman"/>
        </w:rPr>
        <w:t>200</w:t>
      </w:r>
      <w:r w:rsidRPr="00337BFB">
        <w:rPr>
          <w:rFonts w:ascii="Titillium" w:hAnsi="Titillium" w:cs="Times New Roman"/>
        </w:rPr>
        <w:t xml:space="preserve"> ks.</w:t>
      </w:r>
    </w:p>
    <w:p w:rsidR="00DC6F86" w:rsidRPr="00DC6F86" w:rsidRDefault="00DC6F86" w:rsidP="001C15A4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tillium" w:hAnsi="Titillium" w:cs="Times New Roman"/>
        </w:rPr>
      </w:pPr>
      <w:r>
        <w:rPr>
          <w:rFonts w:ascii="Titillium" w:hAnsi="Titillium" w:cs="Times New Roman"/>
        </w:rPr>
        <w:t xml:space="preserve">Zisk z případného prodeje publikace se nedělí a náleží vždy smluvní straně, která publikaci nabízí </w:t>
      </w:r>
      <w:r w:rsidR="002955C1">
        <w:rPr>
          <w:rFonts w:ascii="Titillium" w:hAnsi="Titillium" w:cs="Times New Roman"/>
        </w:rPr>
        <w:t>k</w:t>
      </w:r>
      <w:r>
        <w:rPr>
          <w:rFonts w:ascii="Titillium" w:hAnsi="Titillium" w:cs="Times New Roman"/>
        </w:rPr>
        <w:t xml:space="preserve"> prodej</w:t>
      </w:r>
      <w:r w:rsidR="002955C1">
        <w:rPr>
          <w:rFonts w:ascii="Titillium" w:hAnsi="Titillium" w:cs="Times New Roman"/>
        </w:rPr>
        <w:t>i</w:t>
      </w:r>
      <w:r>
        <w:rPr>
          <w:rFonts w:ascii="Titillium" w:hAnsi="Titillium" w:cs="Times New Roman"/>
        </w:rPr>
        <w:t>.</w:t>
      </w:r>
      <w:r w:rsidR="00B17252">
        <w:rPr>
          <w:rFonts w:ascii="Titillium" w:hAnsi="Titillium" w:cs="Times New Roman"/>
        </w:rPr>
        <w:t xml:space="preserve"> Cena publikace je stanovena na </w:t>
      </w:r>
      <w:r w:rsidR="00A32856">
        <w:rPr>
          <w:rFonts w:ascii="Titillium" w:hAnsi="Titillium" w:cs="Times New Roman"/>
        </w:rPr>
        <w:t>150</w:t>
      </w:r>
      <w:r w:rsidR="00B17252">
        <w:rPr>
          <w:rFonts w:ascii="Titillium" w:hAnsi="Titillium" w:cs="Times New Roman"/>
        </w:rPr>
        <w:t xml:space="preserve"> Kč</w:t>
      </w:r>
      <w:r w:rsidR="00A32856">
        <w:rPr>
          <w:rFonts w:ascii="Titillium" w:hAnsi="Titillium" w:cs="Times New Roman"/>
        </w:rPr>
        <w:t xml:space="preserve"> (slovy: sto padesát korun českých).</w:t>
      </w:r>
    </w:p>
    <w:p w:rsidR="00703F4A" w:rsidRPr="00DC6F86" w:rsidRDefault="00703F4A" w:rsidP="001C15A4">
      <w:pPr>
        <w:spacing w:after="0" w:line="240" w:lineRule="auto"/>
        <w:jc w:val="center"/>
        <w:rPr>
          <w:rFonts w:ascii="Titillium" w:hAnsi="Titillium" w:cs="Times New Roman"/>
          <w:b/>
        </w:rPr>
      </w:pPr>
    </w:p>
    <w:p w:rsidR="00703F4A" w:rsidRPr="00DC6F86" w:rsidRDefault="00A74193" w:rsidP="001C15A4">
      <w:pPr>
        <w:spacing w:after="0" w:line="240" w:lineRule="auto"/>
        <w:jc w:val="center"/>
        <w:rPr>
          <w:rFonts w:ascii="Titillium" w:hAnsi="Titillium" w:cs="Times New Roman"/>
          <w:b/>
        </w:rPr>
      </w:pPr>
      <w:r w:rsidRPr="00DC6F86">
        <w:rPr>
          <w:rFonts w:ascii="Titillium" w:hAnsi="Titillium" w:cs="Times New Roman"/>
          <w:b/>
        </w:rPr>
        <w:t>ČLÁNEK II.</w:t>
      </w:r>
    </w:p>
    <w:p w:rsidR="00703F4A" w:rsidRPr="00DC6F86" w:rsidRDefault="00A74193" w:rsidP="001C15A4">
      <w:pPr>
        <w:spacing w:after="0" w:line="240" w:lineRule="auto"/>
        <w:jc w:val="center"/>
        <w:rPr>
          <w:rFonts w:ascii="Titillium" w:hAnsi="Titillium" w:cs="Times New Roman"/>
          <w:b/>
        </w:rPr>
      </w:pPr>
      <w:r w:rsidRPr="00DC6F86">
        <w:rPr>
          <w:rFonts w:ascii="Titillium" w:hAnsi="Titillium" w:cs="Times New Roman"/>
          <w:b/>
        </w:rPr>
        <w:t>Financování</w:t>
      </w:r>
    </w:p>
    <w:p w:rsidR="001C15A4" w:rsidRPr="001C15A4" w:rsidRDefault="00AD102C" w:rsidP="001C15A4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tillium" w:hAnsi="Titillium" w:cs="Times New Roman"/>
        </w:rPr>
      </w:pPr>
      <w:proofErr w:type="spellStart"/>
      <w:r w:rsidRPr="001C15A4">
        <w:rPr>
          <w:rFonts w:ascii="Titillium" w:hAnsi="Titillium" w:cs="Times New Roman"/>
        </w:rPr>
        <w:t>NMvP</w:t>
      </w:r>
      <w:proofErr w:type="spellEnd"/>
      <w:r w:rsidRPr="001C15A4">
        <w:rPr>
          <w:rFonts w:ascii="Titillium" w:hAnsi="Titillium" w:cs="Times New Roman"/>
        </w:rPr>
        <w:t>/</w:t>
      </w:r>
      <w:r w:rsidR="00A74193" w:rsidRPr="001C15A4">
        <w:rPr>
          <w:rFonts w:ascii="Titillium" w:hAnsi="Titillium" w:cs="Times New Roman"/>
        </w:rPr>
        <w:t>HMP se zavazuje uhradit</w:t>
      </w:r>
      <w:r w:rsidR="004B11F3" w:rsidRPr="001C15A4">
        <w:rPr>
          <w:rFonts w:ascii="Titillium" w:hAnsi="Titillium" w:cs="Times New Roman"/>
          <w:color w:val="FF0000"/>
        </w:rPr>
        <w:t xml:space="preserve"> </w:t>
      </w:r>
      <w:r w:rsidR="004B11F3" w:rsidRPr="001C15A4">
        <w:rPr>
          <w:rFonts w:ascii="Titillium" w:hAnsi="Titillium" w:cs="Times New Roman"/>
        </w:rPr>
        <w:t>ze svého rozpočtu</w:t>
      </w:r>
      <w:r w:rsidR="00A74193" w:rsidRPr="001C15A4">
        <w:rPr>
          <w:rFonts w:ascii="Titillium" w:hAnsi="Titillium" w:cs="Times New Roman"/>
        </w:rPr>
        <w:t xml:space="preserve"> </w:t>
      </w:r>
      <w:r w:rsidR="004B11F3" w:rsidRPr="001C15A4">
        <w:rPr>
          <w:rFonts w:ascii="Titillium" w:hAnsi="Titillium" w:cs="Times New Roman"/>
        </w:rPr>
        <w:t xml:space="preserve">maximálně </w:t>
      </w:r>
      <w:r w:rsidR="00A74193" w:rsidRPr="001C15A4">
        <w:rPr>
          <w:rFonts w:ascii="Titillium" w:hAnsi="Titillium" w:cs="Times New Roman"/>
        </w:rPr>
        <w:t>částku 120 000 Kč (</w:t>
      </w:r>
      <w:r w:rsidR="004B11F3" w:rsidRPr="001C15A4">
        <w:rPr>
          <w:rFonts w:ascii="Titillium" w:hAnsi="Titillium" w:cs="Times New Roman"/>
        </w:rPr>
        <w:t xml:space="preserve">slovy: jedno sto dvacet tisíc korun českých) </w:t>
      </w:r>
      <w:r w:rsidR="00A74193" w:rsidRPr="001C15A4">
        <w:rPr>
          <w:rFonts w:ascii="Titillium" w:hAnsi="Titillium" w:cs="Times New Roman"/>
        </w:rPr>
        <w:t xml:space="preserve">včetně DPH </w:t>
      </w:r>
      <w:proofErr w:type="spellStart"/>
      <w:r w:rsidR="004B11F3" w:rsidRPr="001C15A4">
        <w:rPr>
          <w:rFonts w:ascii="Titillium" w:hAnsi="Titillium" w:cs="Times New Roman"/>
        </w:rPr>
        <w:t>HANFOSu</w:t>
      </w:r>
      <w:proofErr w:type="spellEnd"/>
      <w:r w:rsidR="004B11F3" w:rsidRPr="001C15A4">
        <w:rPr>
          <w:rFonts w:ascii="Titillium" w:hAnsi="Titillium" w:cs="Times New Roman"/>
        </w:rPr>
        <w:t xml:space="preserve"> </w:t>
      </w:r>
      <w:r w:rsidR="00A74193" w:rsidRPr="001C15A4">
        <w:rPr>
          <w:rFonts w:ascii="Titillium" w:hAnsi="Titillium" w:cs="Times New Roman"/>
        </w:rPr>
        <w:t xml:space="preserve">na část </w:t>
      </w:r>
      <w:r w:rsidR="00970896" w:rsidRPr="001C15A4">
        <w:rPr>
          <w:rFonts w:ascii="Titillium" w:hAnsi="Titillium" w:cs="Times New Roman"/>
        </w:rPr>
        <w:t>nákladů</w:t>
      </w:r>
      <w:r w:rsidR="00970896" w:rsidRPr="001C15A4">
        <w:rPr>
          <w:rFonts w:ascii="Titillium" w:hAnsi="Titillium" w:cs="Times New Roman"/>
          <w:color w:val="FF0000"/>
        </w:rPr>
        <w:t xml:space="preserve"> </w:t>
      </w:r>
      <w:r w:rsidR="00A74193" w:rsidRPr="001C15A4">
        <w:rPr>
          <w:rFonts w:ascii="Titillium" w:hAnsi="Titillium" w:cs="Times New Roman"/>
        </w:rPr>
        <w:t>spojených se vznikem a distribucí publikace</w:t>
      </w:r>
      <w:r w:rsidR="007C1ADB" w:rsidRPr="001C15A4">
        <w:rPr>
          <w:rFonts w:ascii="Titillium" w:hAnsi="Titillium" w:cs="Times New Roman"/>
        </w:rPr>
        <w:t>, které</w:t>
      </w:r>
      <w:r w:rsidR="00A74193" w:rsidRPr="001C15A4">
        <w:rPr>
          <w:rFonts w:ascii="Titillium" w:hAnsi="Titillium" w:cs="Times New Roman"/>
        </w:rPr>
        <w:t xml:space="preserve"> jsou uvedené v článku I. odst. </w:t>
      </w:r>
      <w:proofErr w:type="gramStart"/>
      <w:r w:rsidR="00A74193" w:rsidRPr="001C15A4">
        <w:rPr>
          <w:rFonts w:ascii="Titillium" w:hAnsi="Titillium" w:cs="Times New Roman"/>
        </w:rPr>
        <w:t>4b</w:t>
      </w:r>
      <w:proofErr w:type="gramEnd"/>
      <w:r w:rsidR="00A74193" w:rsidRPr="001C15A4">
        <w:rPr>
          <w:rFonts w:ascii="Titillium" w:hAnsi="Titillium" w:cs="Times New Roman"/>
        </w:rPr>
        <w:t>.</w:t>
      </w:r>
      <w:r w:rsidR="004B11F3" w:rsidRPr="001C15A4">
        <w:rPr>
          <w:rFonts w:ascii="Titillium" w:hAnsi="Titillium" w:cs="Times New Roman"/>
        </w:rPr>
        <w:t xml:space="preserve"> Daňový doklad (faktura) bude </w:t>
      </w:r>
      <w:proofErr w:type="spellStart"/>
      <w:r w:rsidR="004B11F3" w:rsidRPr="001C15A4">
        <w:rPr>
          <w:rFonts w:ascii="Titillium" w:hAnsi="Titillium" w:cs="Times New Roman"/>
        </w:rPr>
        <w:t>HANFOSem</w:t>
      </w:r>
      <w:proofErr w:type="spellEnd"/>
      <w:r w:rsidR="004B11F3" w:rsidRPr="001C15A4">
        <w:rPr>
          <w:rFonts w:ascii="Titillium" w:hAnsi="Titillium" w:cs="Times New Roman"/>
        </w:rPr>
        <w:t xml:space="preserve"> vystaven po předání vytištěných publikací se splatností 21 dnů. Nedílnou součástí faktury budou </w:t>
      </w:r>
      <w:r w:rsidR="00970896" w:rsidRPr="001C15A4">
        <w:rPr>
          <w:rFonts w:ascii="Titillium" w:hAnsi="Titillium" w:cs="Times New Roman"/>
        </w:rPr>
        <w:t xml:space="preserve">všechny </w:t>
      </w:r>
      <w:r w:rsidR="004B11F3" w:rsidRPr="001C15A4">
        <w:rPr>
          <w:rFonts w:ascii="Titillium" w:hAnsi="Titillium" w:cs="Times New Roman"/>
        </w:rPr>
        <w:t xml:space="preserve">dílčí daňové doklady (dílčí faktury) prokazující relevantnost vynaložených </w:t>
      </w:r>
      <w:r w:rsidR="00970896" w:rsidRPr="001C15A4">
        <w:rPr>
          <w:rFonts w:ascii="Titillium" w:hAnsi="Titillium" w:cs="Times New Roman"/>
        </w:rPr>
        <w:t xml:space="preserve">nákladů </w:t>
      </w:r>
      <w:r w:rsidR="004B11F3" w:rsidRPr="001C15A4">
        <w:rPr>
          <w:rFonts w:ascii="Titillium" w:hAnsi="Titillium" w:cs="Times New Roman"/>
        </w:rPr>
        <w:t xml:space="preserve">na vydání knihy.  </w:t>
      </w:r>
    </w:p>
    <w:p w:rsidR="00703F4A" w:rsidRPr="001C15A4" w:rsidRDefault="00970896" w:rsidP="001C15A4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tillium" w:hAnsi="Titillium" w:cs="Times New Roman"/>
        </w:rPr>
      </w:pPr>
      <w:r w:rsidRPr="001C15A4">
        <w:rPr>
          <w:rFonts w:ascii="Titillium" w:hAnsi="Titillium" w:cs="Times New Roman"/>
        </w:rPr>
        <w:t>HANFOS se zavazuje uhradit zbývající část nákladů spojených se vznikem a distribucí publikace, které jsou uvedené v</w:t>
      </w:r>
      <w:r w:rsidRPr="001C15A4">
        <w:rPr>
          <w:rFonts w:ascii="Courier New" w:hAnsi="Courier New" w:cs="Courier New"/>
        </w:rPr>
        <w:t> </w:t>
      </w:r>
      <w:r w:rsidRPr="001C15A4">
        <w:rPr>
          <w:rFonts w:ascii="Titillium" w:hAnsi="Titillium" w:cs="Times New Roman"/>
        </w:rPr>
        <w:t xml:space="preserve">článku I. odst. 4b., a to v  </w:t>
      </w:r>
      <w:r w:rsidR="00A74193" w:rsidRPr="001C15A4">
        <w:rPr>
          <w:rFonts w:ascii="Titillium" w:hAnsi="Titillium" w:cs="Times New Roman"/>
        </w:rPr>
        <w:t xml:space="preserve"> minimální částce </w:t>
      </w:r>
      <w:r w:rsidR="00B17252" w:rsidRPr="001C15A4">
        <w:rPr>
          <w:rFonts w:ascii="Titillium" w:hAnsi="Titillium" w:cs="Times New Roman"/>
        </w:rPr>
        <w:t xml:space="preserve">40 </w:t>
      </w:r>
      <w:r w:rsidR="00A74193" w:rsidRPr="001C15A4">
        <w:rPr>
          <w:rFonts w:ascii="Titillium" w:hAnsi="Titillium" w:cs="Times New Roman"/>
        </w:rPr>
        <w:t>000 Kč (</w:t>
      </w:r>
      <w:r w:rsidRPr="001C15A4">
        <w:rPr>
          <w:rFonts w:ascii="Titillium" w:hAnsi="Titillium" w:cs="Times New Roman"/>
        </w:rPr>
        <w:t xml:space="preserve">slovy čtyřicet tisíc korun českých) </w:t>
      </w:r>
      <w:r w:rsidR="00A74193" w:rsidRPr="001C15A4">
        <w:rPr>
          <w:rFonts w:ascii="Titillium" w:hAnsi="Titillium" w:cs="Times New Roman"/>
        </w:rPr>
        <w:t>včetně DPH</w:t>
      </w:r>
      <w:r w:rsidRPr="001C15A4">
        <w:rPr>
          <w:rFonts w:ascii="Titillium" w:hAnsi="Titillium" w:cs="Times New Roman"/>
        </w:rPr>
        <w:t>.</w:t>
      </w:r>
    </w:p>
    <w:p w:rsidR="00703F4A" w:rsidRPr="00DC6F86" w:rsidRDefault="00A74193" w:rsidP="001C15A4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tillium" w:hAnsi="Titillium" w:cs="Times New Roman"/>
        </w:rPr>
      </w:pPr>
      <w:r w:rsidRPr="00DC6F86">
        <w:rPr>
          <w:rFonts w:ascii="Titillium" w:hAnsi="Titillium" w:cs="Times New Roman"/>
        </w:rPr>
        <w:t>Tato smlouva o spolupráci podléhá kontrole hospodaření podle rozpočtových pravidel, dále podle zákona č. 456/2011 Sb., o finanční správě České republiky, ve znění pozdějších předpisů, podle zákona č. 280/2009 Sb., daňový řád, ve znění pozdějších předpisů, dále podle zákona č. 166/1993 Sb., o Nejvyšším kontrolním úřadu, ve znění pozdějších předpisů, dále podle zákona č. 255/2012 Sb. o kontrole (kontrolní řád), ve znění pozdějších předpisů.  HANFOS neprodleně poskytne v kontrolnímu orgánu pro potřeby kontroly vyžádané podklady a informace a umožní pověřeným pracovníkům kontrolního orgánu vstup do svých objektů a na své pozemky.</w:t>
      </w:r>
    </w:p>
    <w:p w:rsidR="00703F4A" w:rsidRPr="00DC6F86" w:rsidRDefault="00A74193" w:rsidP="001C15A4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tillium" w:hAnsi="Titillium" w:cs="Times New Roman"/>
        </w:rPr>
      </w:pPr>
      <w:r w:rsidRPr="00DC6F86">
        <w:rPr>
          <w:rFonts w:ascii="Titillium" w:hAnsi="Titillium" w:cs="Times New Roman"/>
        </w:rPr>
        <w:t>V návaznosti na výše uvedené je kterákoliv smluvní strana oprávněna kdykoliv žádat druhou stranu o předložení potřebných dokladů nebo písemného vysvětlení za účelem provedení kontroly, či přípravy průběžné nebo závěrečné finanční zprávy.</w:t>
      </w:r>
    </w:p>
    <w:p w:rsidR="00703F4A" w:rsidRPr="00DC6F86" w:rsidRDefault="00703F4A" w:rsidP="001C15A4">
      <w:pPr>
        <w:spacing w:after="0" w:line="240" w:lineRule="auto"/>
        <w:jc w:val="both"/>
        <w:rPr>
          <w:rFonts w:ascii="Titillium" w:hAnsi="Titillium" w:cs="Times New Roman"/>
          <w:b/>
        </w:rPr>
      </w:pPr>
    </w:p>
    <w:p w:rsidR="00703F4A" w:rsidRPr="00DC6F86" w:rsidRDefault="00A74193" w:rsidP="001C15A4">
      <w:pPr>
        <w:spacing w:after="0" w:line="240" w:lineRule="auto"/>
        <w:jc w:val="center"/>
        <w:rPr>
          <w:rFonts w:ascii="Titillium" w:hAnsi="Titillium" w:cs="Times New Roman"/>
          <w:b/>
        </w:rPr>
      </w:pPr>
      <w:r w:rsidRPr="00DC6F86">
        <w:rPr>
          <w:rFonts w:ascii="Titillium" w:hAnsi="Titillium" w:cs="Times New Roman"/>
          <w:b/>
        </w:rPr>
        <w:t>ČLÁNEK III.</w:t>
      </w:r>
    </w:p>
    <w:p w:rsidR="00703F4A" w:rsidRPr="00DC6F86" w:rsidRDefault="00A74193" w:rsidP="001C15A4">
      <w:pPr>
        <w:spacing w:after="0" w:line="240" w:lineRule="auto"/>
        <w:jc w:val="center"/>
        <w:rPr>
          <w:rFonts w:ascii="Titillium" w:hAnsi="Titillium" w:cs="Times New Roman"/>
          <w:b/>
        </w:rPr>
      </w:pPr>
      <w:r w:rsidRPr="00DC6F86">
        <w:rPr>
          <w:rFonts w:ascii="Titillium" w:hAnsi="Titillium" w:cs="Times New Roman"/>
          <w:b/>
        </w:rPr>
        <w:t>Platnost a účinnost smlouvy</w:t>
      </w:r>
    </w:p>
    <w:p w:rsidR="00703F4A" w:rsidRPr="001C15A4" w:rsidRDefault="00A74193" w:rsidP="001C15A4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tillium" w:hAnsi="Titillium" w:cs="Times New Roman"/>
        </w:rPr>
      </w:pPr>
      <w:r w:rsidRPr="001C15A4">
        <w:rPr>
          <w:rFonts w:ascii="Titillium" w:hAnsi="Titillium" w:cs="Times New Roman"/>
        </w:rPr>
        <w:t>Tato smlouva je</w:t>
      </w:r>
      <w:r w:rsidR="002A3355" w:rsidRPr="001C15A4">
        <w:rPr>
          <w:rFonts w:ascii="Titillium" w:hAnsi="Titillium" w:cs="Times New Roman"/>
        </w:rPr>
        <w:t xml:space="preserve"> uzavřena dnem jejího podpisu smluvními stranami a nabývá účinnosti dnem zveřejnění v</w:t>
      </w:r>
      <w:r w:rsidR="002A3355" w:rsidRPr="001C15A4">
        <w:rPr>
          <w:rFonts w:ascii="Courier New" w:hAnsi="Courier New" w:cs="Courier New"/>
        </w:rPr>
        <w:t> </w:t>
      </w:r>
      <w:r w:rsidR="002A3355" w:rsidRPr="001C15A4">
        <w:rPr>
          <w:rFonts w:ascii="Titillium" w:hAnsi="Titillium" w:cs="Times New Roman"/>
        </w:rPr>
        <w:t>Registru smluv podle zákona č. 340/2015 Sb., o zvláštních podmínkách účinnosti některých smluv, uv</w:t>
      </w:r>
      <w:r w:rsidR="001C15A4">
        <w:rPr>
          <w:rFonts w:ascii="Titillium" w:hAnsi="Titillium" w:cs="Times New Roman"/>
        </w:rPr>
        <w:t>e</w:t>
      </w:r>
      <w:r w:rsidR="002A3355" w:rsidRPr="001C15A4">
        <w:rPr>
          <w:rFonts w:ascii="Titillium" w:hAnsi="Titillium" w:cs="Times New Roman"/>
        </w:rPr>
        <w:t>řejňování těchto smluv a o registru smluv (zákon o registru smluv). Zveřejnění smlouvy v</w:t>
      </w:r>
      <w:r w:rsidR="002A3355" w:rsidRPr="001C15A4">
        <w:rPr>
          <w:rFonts w:ascii="Courier New" w:hAnsi="Courier New" w:cs="Courier New"/>
        </w:rPr>
        <w:t> </w:t>
      </w:r>
      <w:r w:rsidR="002A3355" w:rsidRPr="001C15A4">
        <w:rPr>
          <w:rFonts w:ascii="Titillium" w:hAnsi="Titillium" w:cs="Times New Roman"/>
        </w:rPr>
        <w:t xml:space="preserve">Registru smluv zajistí </w:t>
      </w:r>
      <w:proofErr w:type="spellStart"/>
      <w:r w:rsidR="002A3355" w:rsidRPr="001C15A4">
        <w:rPr>
          <w:rFonts w:ascii="Titillium" w:hAnsi="Titillium" w:cs="Times New Roman"/>
        </w:rPr>
        <w:t>NMvP</w:t>
      </w:r>
      <w:proofErr w:type="spellEnd"/>
      <w:r w:rsidR="002A3355" w:rsidRPr="001C15A4">
        <w:rPr>
          <w:rFonts w:ascii="Titillium" w:hAnsi="Titillium" w:cs="Times New Roman"/>
        </w:rPr>
        <w:t>/HMP.</w:t>
      </w:r>
      <w:r w:rsidRPr="001C15A4">
        <w:rPr>
          <w:rFonts w:ascii="Titillium" w:hAnsi="Titillium" w:cs="Times New Roman"/>
        </w:rPr>
        <w:t xml:space="preserve"> </w:t>
      </w:r>
      <w:r w:rsidR="002A3355" w:rsidRPr="001C15A4">
        <w:rPr>
          <w:rFonts w:ascii="Titillium" w:hAnsi="Titillium" w:cs="Times New Roman"/>
        </w:rPr>
        <w:t xml:space="preserve">Smlouva je </w:t>
      </w:r>
      <w:r w:rsidRPr="001C15A4">
        <w:rPr>
          <w:rFonts w:ascii="Titillium" w:hAnsi="Titillium" w:cs="Times New Roman"/>
        </w:rPr>
        <w:t>platná po</w:t>
      </w:r>
      <w:r w:rsidR="002A3355" w:rsidRPr="001C15A4">
        <w:rPr>
          <w:rFonts w:ascii="Titillium" w:hAnsi="Titillium" w:cs="Times New Roman"/>
        </w:rPr>
        <w:t xml:space="preserve"> celou</w:t>
      </w:r>
      <w:r w:rsidRPr="001C15A4">
        <w:rPr>
          <w:rFonts w:ascii="Titillium" w:hAnsi="Titillium" w:cs="Times New Roman"/>
        </w:rPr>
        <w:t xml:space="preserve"> dobu šíření knihy smluvními stranami. Po tuto dob</w:t>
      </w:r>
      <w:r w:rsidR="002A3355" w:rsidRPr="001C15A4">
        <w:rPr>
          <w:rFonts w:ascii="Titillium" w:hAnsi="Titillium" w:cs="Times New Roman"/>
        </w:rPr>
        <w:t xml:space="preserve">u </w:t>
      </w:r>
      <w:r w:rsidRPr="001C15A4">
        <w:rPr>
          <w:rFonts w:ascii="Titillium" w:hAnsi="Titillium" w:cs="Times New Roman"/>
        </w:rPr>
        <w:t>trvá rovněž odpovědnost smluvních stran za vady plnění poskytnuté druhé smluvní straně.</w:t>
      </w:r>
    </w:p>
    <w:p w:rsidR="00703F4A" w:rsidRPr="00DC6F86" w:rsidRDefault="00A74193" w:rsidP="001C15A4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tillium" w:hAnsi="Titillium" w:cs="Times New Roman"/>
        </w:rPr>
      </w:pPr>
      <w:r w:rsidRPr="00DC6F86">
        <w:rPr>
          <w:rFonts w:ascii="Titillium" w:hAnsi="Titillium" w:cs="Times New Roman"/>
        </w:rPr>
        <w:t>Účinnost této smlouvy může dále skončit dohodou smluvních stran.</w:t>
      </w:r>
    </w:p>
    <w:p w:rsidR="00703F4A" w:rsidRPr="00DC6F86" w:rsidRDefault="00703F4A" w:rsidP="001C15A4">
      <w:pPr>
        <w:spacing w:after="0" w:line="240" w:lineRule="auto"/>
        <w:rPr>
          <w:rFonts w:ascii="Titillium" w:hAnsi="Titillium" w:cs="Times New Roman"/>
          <w:b/>
        </w:rPr>
      </w:pPr>
    </w:p>
    <w:p w:rsidR="00703F4A" w:rsidRPr="00DC6F86" w:rsidRDefault="00A74193" w:rsidP="001C15A4">
      <w:pPr>
        <w:spacing w:after="0" w:line="240" w:lineRule="auto"/>
        <w:jc w:val="center"/>
        <w:rPr>
          <w:rFonts w:ascii="Titillium" w:hAnsi="Titillium" w:cs="Times New Roman"/>
          <w:b/>
        </w:rPr>
      </w:pPr>
      <w:r w:rsidRPr="00DC6F86">
        <w:rPr>
          <w:rFonts w:ascii="Titillium" w:hAnsi="Titillium" w:cs="Times New Roman"/>
          <w:b/>
        </w:rPr>
        <w:lastRenderedPageBreak/>
        <w:t>ČLÁNEK IV.</w:t>
      </w:r>
    </w:p>
    <w:p w:rsidR="00703F4A" w:rsidRPr="00DC6F86" w:rsidRDefault="00A74193" w:rsidP="001C15A4">
      <w:pPr>
        <w:spacing w:after="0" w:line="240" w:lineRule="auto"/>
        <w:jc w:val="center"/>
        <w:rPr>
          <w:rFonts w:ascii="Titillium" w:hAnsi="Titillium" w:cs="Times New Roman"/>
          <w:b/>
        </w:rPr>
      </w:pPr>
      <w:r w:rsidRPr="00DC6F86">
        <w:rPr>
          <w:rFonts w:ascii="Titillium" w:hAnsi="Titillium" w:cs="Times New Roman"/>
          <w:b/>
        </w:rPr>
        <w:t>Závěrečná ujednání</w:t>
      </w:r>
    </w:p>
    <w:p w:rsidR="00703F4A" w:rsidRPr="00DC6F86" w:rsidRDefault="00A74193" w:rsidP="001C15A4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tillium" w:hAnsi="Titillium" w:cs="Times New Roman"/>
        </w:rPr>
      </w:pPr>
      <w:r w:rsidRPr="00DC6F86">
        <w:rPr>
          <w:rFonts w:ascii="Titillium" w:hAnsi="Titillium" w:cs="Times New Roman"/>
        </w:rPr>
        <w:t>Ve věcech touto smlouvou výslovně neupravených se budou smluvní strany řídit ustanoveními obecně závazných právních předpisů, zejména zák. č. 89/2012 Sb., občanský zákoník.</w:t>
      </w:r>
    </w:p>
    <w:p w:rsidR="00703F4A" w:rsidRPr="00DC6F86" w:rsidRDefault="00A74193" w:rsidP="001C15A4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tillium" w:hAnsi="Titillium" w:cs="Times New Roman"/>
        </w:rPr>
      </w:pPr>
      <w:r w:rsidRPr="00DC6F86">
        <w:rPr>
          <w:rFonts w:ascii="Titillium" w:hAnsi="Titillium" w:cs="Times New Roman"/>
        </w:rPr>
        <w:t>Dodatky, kterými výlučně lze tuto smlouvu měnit či doplňovat, musí být takto výslovně označeny, musí mít písemnou formu a musí být podepsány k</w:t>
      </w:r>
      <w:r w:rsidRPr="00DC6F86">
        <w:rPr>
          <w:rFonts w:ascii="Courier New" w:hAnsi="Courier New" w:cs="Courier New"/>
        </w:rPr>
        <w:t> </w:t>
      </w:r>
      <w:r w:rsidRPr="00DC6F86">
        <w:rPr>
          <w:rFonts w:ascii="Titillium" w:hAnsi="Titillium" w:cs="Times New Roman"/>
        </w:rPr>
        <w:t>tomu zmocn</w:t>
      </w:r>
      <w:r w:rsidRPr="00DC6F86">
        <w:rPr>
          <w:rFonts w:ascii="Titillium" w:hAnsi="Titillium" w:cs="Titillium"/>
        </w:rPr>
        <w:t>ě</w:t>
      </w:r>
      <w:r w:rsidRPr="00DC6F86">
        <w:rPr>
          <w:rFonts w:ascii="Titillium" w:hAnsi="Titillium" w:cs="Times New Roman"/>
        </w:rPr>
        <w:t>n</w:t>
      </w:r>
      <w:r w:rsidRPr="00DC6F86">
        <w:rPr>
          <w:rFonts w:ascii="Titillium" w:hAnsi="Titillium" w:cs="Titillium"/>
        </w:rPr>
        <w:t>ý</w:t>
      </w:r>
      <w:r w:rsidRPr="00DC6F86">
        <w:rPr>
          <w:rFonts w:ascii="Titillium" w:hAnsi="Titillium" w:cs="Times New Roman"/>
        </w:rPr>
        <w:t>mi z</w:t>
      </w:r>
      <w:r w:rsidRPr="00DC6F86">
        <w:rPr>
          <w:rFonts w:ascii="Titillium" w:hAnsi="Titillium" w:cs="Titillium"/>
        </w:rPr>
        <w:t>á</w:t>
      </w:r>
      <w:r w:rsidRPr="00DC6F86">
        <w:rPr>
          <w:rFonts w:ascii="Titillium" w:hAnsi="Titillium" w:cs="Times New Roman"/>
        </w:rPr>
        <w:t>stupci obou smluvn</w:t>
      </w:r>
      <w:r w:rsidRPr="00DC6F86">
        <w:rPr>
          <w:rFonts w:ascii="Titillium" w:hAnsi="Titillium" w:cs="Titillium"/>
        </w:rPr>
        <w:t>í</w:t>
      </w:r>
      <w:r w:rsidRPr="00DC6F86">
        <w:rPr>
          <w:rFonts w:ascii="Titillium" w:hAnsi="Titillium" w:cs="Times New Roman"/>
        </w:rPr>
        <w:t>ch stran, jinak jsou neplatná. Za písemnou formu nebude pro tento účel považována výměna e-mailových či jiných elektronických zpráv.</w:t>
      </w:r>
    </w:p>
    <w:p w:rsidR="00703F4A" w:rsidRPr="00DC6F86" w:rsidRDefault="00A74193" w:rsidP="001C15A4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tillium" w:hAnsi="Titillium" w:cs="Times New Roman"/>
        </w:rPr>
      </w:pPr>
      <w:r w:rsidRPr="00DC6F86">
        <w:rPr>
          <w:rFonts w:ascii="Titillium" w:hAnsi="Titillium" w:cs="Times New Roman"/>
        </w:rPr>
        <w:t>Je-li nebo stane-li se některé ustanovení této smlouvy neplatným či neúčinným, zůstávají ostatní ustanovení této smlouvy platná a účinná. Namísto neplatného či neúčinného ustanovení se použijí ustanovení obecně závazných právních předpisů upravujících vztah přijetím jiného ustanovení, které svým výsledkem nejlépe odpovídá záměru ustanovení neplatného, resp. neúčinného.</w:t>
      </w:r>
    </w:p>
    <w:p w:rsidR="00703F4A" w:rsidRPr="00DC6F86" w:rsidRDefault="00A74193" w:rsidP="001C15A4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tillium" w:hAnsi="Titillium" w:cs="Times New Roman"/>
        </w:rPr>
      </w:pPr>
      <w:r w:rsidRPr="00DC6F86">
        <w:rPr>
          <w:rFonts w:ascii="Titillium" w:hAnsi="Titillium" w:cs="Times New Roman"/>
        </w:rPr>
        <w:t>Ve věcech touto smlouvou výslovně neupravených ve smluvních vztah řídí ustanoveními obecně závazných právních předpisů.</w:t>
      </w:r>
    </w:p>
    <w:p w:rsidR="00703F4A" w:rsidRPr="00DC6F86" w:rsidRDefault="00A74193" w:rsidP="001C15A4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tillium" w:hAnsi="Titillium" w:cs="Times New Roman"/>
        </w:rPr>
      </w:pPr>
      <w:r w:rsidRPr="00DC6F86">
        <w:rPr>
          <w:rFonts w:ascii="Titillium" w:hAnsi="Titillium" w:cs="Times New Roman"/>
        </w:rPr>
        <w:t>Tato smlouva je vyhotovena ve třech exemplářích, z</w:t>
      </w:r>
      <w:r w:rsidRPr="00DC6F86">
        <w:rPr>
          <w:rFonts w:ascii="Courier New" w:hAnsi="Courier New" w:cs="Courier New"/>
        </w:rPr>
        <w:t> </w:t>
      </w:r>
      <w:r w:rsidRPr="00DC6F86">
        <w:rPr>
          <w:rFonts w:ascii="Titillium" w:hAnsi="Titillium" w:cs="Times New Roman"/>
        </w:rPr>
        <w:t>nich</w:t>
      </w:r>
      <w:r w:rsidRPr="00DC6F86">
        <w:rPr>
          <w:rFonts w:ascii="Titillium" w:hAnsi="Titillium" w:cs="Titillium"/>
        </w:rPr>
        <w:t>ž</w:t>
      </w:r>
      <w:r w:rsidRPr="00DC6F86">
        <w:rPr>
          <w:rFonts w:ascii="Titillium" w:hAnsi="Titillium" w:cs="Times New Roman"/>
        </w:rPr>
        <w:t xml:space="preserve"> dva obdrží </w:t>
      </w:r>
      <w:proofErr w:type="spellStart"/>
      <w:r w:rsidR="00B17252">
        <w:rPr>
          <w:rFonts w:ascii="Titillium" w:hAnsi="Titillium" w:cs="Times New Roman"/>
        </w:rPr>
        <w:t>NMvP</w:t>
      </w:r>
      <w:proofErr w:type="spellEnd"/>
      <w:r w:rsidR="00B17252">
        <w:rPr>
          <w:rFonts w:ascii="Titillium" w:hAnsi="Titillium" w:cs="Times New Roman"/>
        </w:rPr>
        <w:t>/</w:t>
      </w:r>
      <w:r w:rsidRPr="00DC6F86">
        <w:rPr>
          <w:rFonts w:ascii="Titillium" w:hAnsi="Titillium" w:cs="Times New Roman"/>
        </w:rPr>
        <w:t>HMP a jeden HANFOS.</w:t>
      </w:r>
    </w:p>
    <w:p w:rsidR="00703F4A" w:rsidRPr="00DC6F86" w:rsidRDefault="00A74193" w:rsidP="001C15A4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tillium" w:hAnsi="Titillium" w:cs="Times New Roman"/>
        </w:rPr>
      </w:pPr>
      <w:r w:rsidRPr="00DC6F86">
        <w:rPr>
          <w:rFonts w:ascii="Titillium" w:hAnsi="Titillium" w:cs="Times New Roman"/>
        </w:rPr>
        <w:t>Obě smluvní strany potvrzují autentičnost této smlouvy svým podpisem.</w:t>
      </w:r>
    </w:p>
    <w:p w:rsidR="00703F4A" w:rsidRPr="00DC6F86" w:rsidRDefault="00703F4A" w:rsidP="001C15A4">
      <w:pPr>
        <w:spacing w:after="0" w:line="240" w:lineRule="auto"/>
        <w:jc w:val="both"/>
        <w:rPr>
          <w:rFonts w:ascii="Titillium" w:hAnsi="Titillium" w:cs="Times New Roman"/>
        </w:rPr>
      </w:pPr>
    </w:p>
    <w:p w:rsidR="00703F4A" w:rsidRPr="00DC6F86" w:rsidRDefault="00703F4A" w:rsidP="001C15A4">
      <w:pPr>
        <w:spacing w:after="0" w:line="240" w:lineRule="auto"/>
        <w:jc w:val="both"/>
        <w:rPr>
          <w:rFonts w:ascii="Titillium" w:hAnsi="Titillium" w:cs="Times New Roman"/>
        </w:rPr>
      </w:pPr>
    </w:p>
    <w:p w:rsidR="00703F4A" w:rsidRPr="00DC6F86" w:rsidRDefault="00A74193" w:rsidP="001C15A4">
      <w:pPr>
        <w:tabs>
          <w:tab w:val="center" w:pos="1698"/>
        </w:tabs>
        <w:spacing w:after="0" w:line="240" w:lineRule="auto"/>
        <w:ind w:left="-15"/>
        <w:rPr>
          <w:rFonts w:ascii="Titillium" w:hAnsi="Titillium"/>
        </w:rPr>
      </w:pPr>
      <w:r w:rsidRPr="00DC6F86">
        <w:rPr>
          <w:rFonts w:ascii="Titillium" w:hAnsi="Titillium"/>
        </w:rPr>
        <w:t>Příkazy,</w:t>
      </w:r>
      <w:r w:rsidRPr="00DC6F86">
        <w:rPr>
          <w:rFonts w:ascii="Titillium" w:hAnsi="Titillium"/>
        </w:rPr>
        <w:tab/>
      </w:r>
      <w:r w:rsidRPr="00DC6F86">
        <w:rPr>
          <w:rFonts w:ascii="Titillium" w:hAnsi="Titillium"/>
        </w:rPr>
        <w:tab/>
      </w:r>
      <w:r w:rsidRPr="00DC6F86">
        <w:rPr>
          <w:rFonts w:ascii="Titillium" w:hAnsi="Titillium"/>
        </w:rPr>
        <w:tab/>
      </w:r>
      <w:r w:rsidRPr="00DC6F86">
        <w:rPr>
          <w:rFonts w:ascii="Titillium" w:hAnsi="Titillium"/>
        </w:rPr>
        <w:tab/>
      </w:r>
      <w:r w:rsidRPr="00DC6F86">
        <w:rPr>
          <w:rFonts w:ascii="Titillium" w:hAnsi="Titillium"/>
        </w:rPr>
        <w:tab/>
      </w:r>
      <w:r w:rsidRPr="00DC6F86">
        <w:rPr>
          <w:rFonts w:ascii="Titillium" w:hAnsi="Titillium"/>
        </w:rPr>
        <w:tab/>
      </w:r>
      <w:r w:rsidR="00A319D5">
        <w:rPr>
          <w:rFonts w:ascii="Titillium" w:hAnsi="Titillium"/>
        </w:rPr>
        <w:t>Prostějov</w:t>
      </w:r>
      <w:r w:rsidRPr="00DC6F86">
        <w:rPr>
          <w:rFonts w:ascii="Titillium" w:hAnsi="Titillium"/>
        </w:rPr>
        <w:t xml:space="preserve">, </w:t>
      </w:r>
    </w:p>
    <w:p w:rsidR="00703F4A" w:rsidRPr="00DC6F86" w:rsidRDefault="00A74193" w:rsidP="001C15A4">
      <w:pPr>
        <w:tabs>
          <w:tab w:val="center" w:pos="1698"/>
        </w:tabs>
        <w:spacing w:after="0" w:line="240" w:lineRule="auto"/>
        <w:rPr>
          <w:rFonts w:ascii="Titillium" w:hAnsi="Titillium"/>
        </w:rPr>
      </w:pPr>
      <w:r w:rsidRPr="00DC6F86">
        <w:rPr>
          <w:rFonts w:ascii="Titillium" w:hAnsi="Titillium"/>
        </w:rPr>
        <w:tab/>
      </w:r>
      <w:r w:rsidRPr="00DC6F86">
        <w:rPr>
          <w:rFonts w:ascii="Titillium" w:hAnsi="Titillium"/>
        </w:rPr>
        <w:tab/>
      </w:r>
      <w:r w:rsidRPr="00DC6F86">
        <w:rPr>
          <w:rFonts w:ascii="Titillium" w:hAnsi="Titillium"/>
        </w:rPr>
        <w:tab/>
      </w:r>
      <w:r w:rsidRPr="00DC6F86">
        <w:rPr>
          <w:rFonts w:ascii="Titillium" w:hAnsi="Titillium"/>
        </w:rPr>
        <w:tab/>
      </w:r>
      <w:r w:rsidRPr="00DC6F86">
        <w:rPr>
          <w:rFonts w:ascii="Titillium" w:hAnsi="Titillium"/>
        </w:rPr>
        <w:tab/>
      </w:r>
      <w:r w:rsidRPr="00DC6F86">
        <w:rPr>
          <w:rFonts w:ascii="Titillium" w:hAnsi="Titillium"/>
        </w:rPr>
        <w:tab/>
      </w:r>
      <w:r w:rsidRPr="00DC6F86">
        <w:rPr>
          <w:rFonts w:ascii="Titillium" w:hAnsi="Titillium"/>
        </w:rPr>
        <w:tab/>
      </w:r>
      <w:r w:rsidRPr="00DC6F86">
        <w:rPr>
          <w:rFonts w:ascii="Titillium" w:hAnsi="Titillium"/>
        </w:rPr>
        <w:tab/>
      </w:r>
      <w:r w:rsidRPr="00DC6F86">
        <w:rPr>
          <w:rFonts w:ascii="Titillium" w:hAnsi="Titillium"/>
        </w:rPr>
        <w:tab/>
      </w:r>
      <w:r w:rsidRPr="00DC6F86">
        <w:rPr>
          <w:rFonts w:ascii="Titillium" w:hAnsi="Titillium"/>
        </w:rPr>
        <w:tab/>
      </w:r>
    </w:p>
    <w:p w:rsidR="00703F4A" w:rsidRPr="00DC6F86" w:rsidRDefault="00703F4A" w:rsidP="001C15A4">
      <w:pPr>
        <w:tabs>
          <w:tab w:val="center" w:pos="1698"/>
        </w:tabs>
        <w:spacing w:after="0" w:line="240" w:lineRule="auto"/>
        <w:rPr>
          <w:rFonts w:ascii="Titillium" w:hAnsi="Titillium"/>
        </w:rPr>
      </w:pPr>
    </w:p>
    <w:p w:rsidR="00703F4A" w:rsidRPr="00DC6F86" w:rsidRDefault="00A74193" w:rsidP="001C15A4">
      <w:pPr>
        <w:tabs>
          <w:tab w:val="center" w:pos="1698"/>
        </w:tabs>
        <w:spacing w:after="0" w:line="240" w:lineRule="auto"/>
        <w:ind w:left="-15"/>
        <w:rPr>
          <w:rFonts w:ascii="Titillium" w:hAnsi="Titillium"/>
        </w:rPr>
      </w:pPr>
      <w:r w:rsidRPr="00DC6F86">
        <w:rPr>
          <w:rFonts w:ascii="Titillium" w:hAnsi="Titillium"/>
        </w:rPr>
        <w:t>__</w:t>
      </w:r>
      <w:r w:rsidR="001C15A4">
        <w:rPr>
          <w:rFonts w:ascii="Titillium" w:hAnsi="Titillium"/>
        </w:rPr>
        <w:t xml:space="preserve">_________________________                         </w:t>
      </w:r>
      <w:r w:rsidRPr="00DC6F86">
        <w:rPr>
          <w:rFonts w:ascii="Titillium" w:hAnsi="Titillium"/>
        </w:rPr>
        <w:t>_____________________________</w:t>
      </w:r>
    </w:p>
    <w:p w:rsidR="00703F4A" w:rsidRPr="00DC6F86" w:rsidRDefault="00A74193" w:rsidP="001C15A4">
      <w:pPr>
        <w:tabs>
          <w:tab w:val="center" w:pos="1698"/>
        </w:tabs>
        <w:spacing w:after="0" w:line="240" w:lineRule="auto"/>
        <w:ind w:left="-15"/>
        <w:rPr>
          <w:rFonts w:ascii="Titillium" w:hAnsi="Titillium"/>
        </w:rPr>
      </w:pPr>
      <w:r w:rsidRPr="00DC6F86">
        <w:rPr>
          <w:rFonts w:ascii="Titillium" w:hAnsi="Titillium"/>
        </w:rPr>
        <w:t xml:space="preserve">          PhDr. Petr VODEŠIL, Ph.D.</w:t>
      </w:r>
      <w:r w:rsidRPr="00DC6F86">
        <w:rPr>
          <w:rFonts w:ascii="Titillium" w:hAnsi="Titillium"/>
        </w:rPr>
        <w:tab/>
      </w:r>
      <w:r w:rsidRPr="00DC6F86">
        <w:rPr>
          <w:rFonts w:ascii="Titillium" w:hAnsi="Titillium"/>
        </w:rPr>
        <w:tab/>
      </w:r>
      <w:r w:rsidRPr="00DC6F86">
        <w:rPr>
          <w:rFonts w:ascii="Titillium" w:hAnsi="Titillium"/>
        </w:rPr>
        <w:tab/>
      </w:r>
      <w:r w:rsidRPr="00DC6F86">
        <w:rPr>
          <w:rFonts w:ascii="Titillium" w:hAnsi="Titillium"/>
        </w:rPr>
        <w:tab/>
        <w:t xml:space="preserve">  Ing. Hana POSPÍŠILÍKOVÁ</w:t>
      </w:r>
    </w:p>
    <w:p w:rsidR="00703F4A" w:rsidRDefault="00A74193" w:rsidP="001C15A4">
      <w:pPr>
        <w:spacing w:after="0" w:line="240" w:lineRule="auto"/>
        <w:rPr>
          <w:rFonts w:ascii="Titillium" w:hAnsi="Titillium"/>
        </w:rPr>
      </w:pPr>
      <w:r w:rsidRPr="00DC6F86">
        <w:rPr>
          <w:rFonts w:ascii="Titillium" w:hAnsi="Titillium"/>
        </w:rPr>
        <w:t xml:space="preserve">                    vedoucí HMP                </w:t>
      </w:r>
      <w:r w:rsidRPr="00DC6F86">
        <w:rPr>
          <w:rFonts w:ascii="Titillium" w:hAnsi="Titillium"/>
        </w:rPr>
        <w:tab/>
      </w:r>
      <w:r w:rsidRPr="00DC6F86">
        <w:rPr>
          <w:rFonts w:ascii="Titillium" w:hAnsi="Titillium"/>
        </w:rPr>
        <w:tab/>
        <w:t xml:space="preserve">                 předsedkyně </w:t>
      </w:r>
      <w:proofErr w:type="spellStart"/>
      <w:r w:rsidRPr="00DC6F86">
        <w:rPr>
          <w:rFonts w:ascii="Titillium" w:hAnsi="Titillium"/>
        </w:rPr>
        <w:t>HANFOSu</w:t>
      </w:r>
      <w:proofErr w:type="spellEnd"/>
    </w:p>
    <w:p w:rsidR="007A3833" w:rsidRDefault="007A3833" w:rsidP="001C15A4">
      <w:pPr>
        <w:spacing w:after="0" w:line="240" w:lineRule="auto"/>
        <w:rPr>
          <w:rFonts w:ascii="Titillium" w:hAnsi="Titillium"/>
        </w:rPr>
      </w:pPr>
    </w:p>
    <w:p w:rsidR="007A3833" w:rsidRDefault="007A3833" w:rsidP="001C15A4">
      <w:pPr>
        <w:spacing w:after="0" w:line="240" w:lineRule="auto"/>
        <w:rPr>
          <w:rFonts w:ascii="Titillium" w:hAnsi="Titillium"/>
        </w:rPr>
      </w:pPr>
    </w:p>
    <w:p w:rsidR="001C15A4" w:rsidRDefault="001C15A4" w:rsidP="001C15A4">
      <w:pPr>
        <w:spacing w:after="0" w:line="240" w:lineRule="auto"/>
        <w:rPr>
          <w:rFonts w:ascii="Titillium" w:hAnsi="Titillium"/>
        </w:rPr>
      </w:pPr>
    </w:p>
    <w:p w:rsidR="00D1621B" w:rsidRDefault="00D1621B" w:rsidP="001C15A4">
      <w:pPr>
        <w:spacing w:after="0" w:line="240" w:lineRule="auto"/>
        <w:rPr>
          <w:rFonts w:ascii="Titillium" w:hAnsi="Titillium"/>
        </w:rPr>
      </w:pPr>
    </w:p>
    <w:p w:rsidR="00D1621B" w:rsidRDefault="00D1621B" w:rsidP="001C15A4">
      <w:pPr>
        <w:spacing w:after="0" w:line="240" w:lineRule="auto"/>
        <w:rPr>
          <w:rFonts w:ascii="Titillium" w:hAnsi="Titillium"/>
        </w:rPr>
      </w:pPr>
    </w:p>
    <w:p w:rsidR="00D1621B" w:rsidRDefault="00D1621B" w:rsidP="001C15A4">
      <w:pPr>
        <w:spacing w:after="0" w:line="240" w:lineRule="auto"/>
        <w:rPr>
          <w:rFonts w:ascii="Titillium" w:hAnsi="Titillium"/>
        </w:rPr>
      </w:pPr>
    </w:p>
    <w:p w:rsidR="00D1621B" w:rsidRDefault="00D1621B" w:rsidP="001C15A4">
      <w:pPr>
        <w:spacing w:after="0" w:line="240" w:lineRule="auto"/>
        <w:rPr>
          <w:rFonts w:ascii="Titillium" w:hAnsi="Titillium"/>
        </w:rPr>
      </w:pPr>
    </w:p>
    <w:p w:rsidR="00D1621B" w:rsidRDefault="00D1621B" w:rsidP="001C15A4">
      <w:pPr>
        <w:spacing w:after="0" w:line="240" w:lineRule="auto"/>
        <w:rPr>
          <w:rFonts w:ascii="Titillium" w:hAnsi="Titillium"/>
        </w:rPr>
      </w:pPr>
    </w:p>
    <w:p w:rsidR="00D1621B" w:rsidRDefault="00D1621B" w:rsidP="001C15A4">
      <w:pPr>
        <w:spacing w:after="0" w:line="240" w:lineRule="auto"/>
        <w:rPr>
          <w:rFonts w:ascii="Titillium" w:hAnsi="Titillium"/>
        </w:rPr>
      </w:pPr>
    </w:p>
    <w:p w:rsidR="00D1621B" w:rsidRDefault="00D1621B" w:rsidP="001C15A4">
      <w:pPr>
        <w:spacing w:after="0" w:line="240" w:lineRule="auto"/>
        <w:rPr>
          <w:rFonts w:ascii="Titillium" w:hAnsi="Titillium"/>
        </w:rPr>
      </w:pPr>
    </w:p>
    <w:p w:rsidR="00D1621B" w:rsidRDefault="00D1621B" w:rsidP="001C15A4">
      <w:pPr>
        <w:spacing w:after="0" w:line="240" w:lineRule="auto"/>
        <w:rPr>
          <w:rFonts w:ascii="Titillium" w:hAnsi="Titillium"/>
        </w:rPr>
      </w:pPr>
    </w:p>
    <w:p w:rsidR="00D1621B" w:rsidRDefault="00D1621B" w:rsidP="001C15A4">
      <w:pPr>
        <w:spacing w:after="0" w:line="240" w:lineRule="auto"/>
        <w:rPr>
          <w:rFonts w:ascii="Titillium" w:hAnsi="Titillium"/>
        </w:rPr>
      </w:pPr>
    </w:p>
    <w:p w:rsidR="00D1621B" w:rsidRDefault="00D1621B" w:rsidP="001C15A4">
      <w:pPr>
        <w:spacing w:after="0" w:line="240" w:lineRule="auto"/>
        <w:rPr>
          <w:rFonts w:ascii="Titillium" w:hAnsi="Titillium"/>
        </w:rPr>
      </w:pPr>
    </w:p>
    <w:p w:rsidR="00D1621B" w:rsidRDefault="00D1621B" w:rsidP="001C15A4">
      <w:pPr>
        <w:spacing w:after="0" w:line="240" w:lineRule="auto"/>
        <w:rPr>
          <w:rFonts w:ascii="Titillium" w:hAnsi="Titillium"/>
        </w:rPr>
      </w:pPr>
    </w:p>
    <w:p w:rsidR="00D1621B" w:rsidRDefault="00D1621B" w:rsidP="001C15A4">
      <w:pPr>
        <w:spacing w:after="0" w:line="240" w:lineRule="auto"/>
        <w:rPr>
          <w:rFonts w:ascii="Titillium" w:hAnsi="Titillium"/>
        </w:rPr>
      </w:pPr>
    </w:p>
    <w:p w:rsidR="00D1621B" w:rsidRDefault="00D1621B" w:rsidP="001C15A4">
      <w:pPr>
        <w:spacing w:after="0" w:line="240" w:lineRule="auto"/>
        <w:rPr>
          <w:rFonts w:ascii="Titillium" w:hAnsi="Titillium"/>
        </w:rPr>
      </w:pPr>
    </w:p>
    <w:p w:rsidR="00D1621B" w:rsidRDefault="00D1621B" w:rsidP="001C15A4">
      <w:pPr>
        <w:spacing w:after="0" w:line="240" w:lineRule="auto"/>
        <w:rPr>
          <w:rFonts w:ascii="Titillium" w:hAnsi="Titillium"/>
        </w:rPr>
      </w:pPr>
    </w:p>
    <w:p w:rsidR="00D1621B" w:rsidRDefault="00D1621B" w:rsidP="001C15A4">
      <w:pPr>
        <w:spacing w:after="0" w:line="240" w:lineRule="auto"/>
        <w:rPr>
          <w:rFonts w:ascii="Titillium" w:hAnsi="Titillium"/>
        </w:rPr>
      </w:pPr>
    </w:p>
    <w:p w:rsidR="00D1621B" w:rsidRDefault="00D1621B" w:rsidP="001C15A4">
      <w:pPr>
        <w:spacing w:after="0" w:line="240" w:lineRule="auto"/>
        <w:rPr>
          <w:rFonts w:ascii="Titillium" w:hAnsi="Titillium"/>
        </w:rPr>
      </w:pPr>
    </w:p>
    <w:p w:rsidR="00D1621B" w:rsidRDefault="00D1621B" w:rsidP="001C15A4">
      <w:pPr>
        <w:spacing w:after="0" w:line="240" w:lineRule="auto"/>
        <w:rPr>
          <w:rFonts w:ascii="Titillium" w:hAnsi="Titillium"/>
        </w:rPr>
      </w:pPr>
    </w:p>
    <w:p w:rsidR="00D1621B" w:rsidRDefault="00D1621B" w:rsidP="001C15A4">
      <w:pPr>
        <w:spacing w:after="0" w:line="240" w:lineRule="auto"/>
        <w:rPr>
          <w:rFonts w:ascii="Titillium" w:hAnsi="Titillium"/>
        </w:rPr>
      </w:pPr>
    </w:p>
    <w:p w:rsidR="007A3833" w:rsidRPr="001C15A4" w:rsidRDefault="007A3833" w:rsidP="001C15A4">
      <w:pPr>
        <w:spacing w:after="0" w:line="240" w:lineRule="auto"/>
        <w:rPr>
          <w:rFonts w:ascii="Titillium" w:hAnsi="Titillium"/>
          <w:sz w:val="20"/>
          <w:szCs w:val="20"/>
        </w:rPr>
      </w:pPr>
      <w:r w:rsidRPr="001C15A4">
        <w:rPr>
          <w:rFonts w:ascii="Titillium" w:hAnsi="Titillium"/>
          <w:sz w:val="20"/>
          <w:szCs w:val="20"/>
        </w:rPr>
        <w:t>Doložka objednatele:</w:t>
      </w:r>
    </w:p>
    <w:p w:rsidR="007A3833" w:rsidRPr="001C15A4" w:rsidRDefault="007A3833" w:rsidP="001C15A4">
      <w:pPr>
        <w:spacing w:after="0" w:line="240" w:lineRule="auto"/>
        <w:rPr>
          <w:rFonts w:ascii="Titillium" w:hAnsi="Titillium"/>
          <w:sz w:val="20"/>
          <w:szCs w:val="20"/>
        </w:rPr>
      </w:pPr>
    </w:p>
    <w:p w:rsidR="007A3833" w:rsidRPr="001C15A4" w:rsidRDefault="007A3833" w:rsidP="001C15A4">
      <w:pPr>
        <w:spacing w:after="0" w:line="240" w:lineRule="auto"/>
        <w:rPr>
          <w:rFonts w:ascii="Titillium" w:hAnsi="Titillium"/>
          <w:sz w:val="20"/>
          <w:szCs w:val="20"/>
        </w:rPr>
      </w:pPr>
      <w:r w:rsidRPr="001C15A4">
        <w:rPr>
          <w:rFonts w:ascii="Titillium" w:hAnsi="Titillium"/>
          <w:sz w:val="20"/>
          <w:szCs w:val="20"/>
        </w:rPr>
        <w:t xml:space="preserve">Předběžnou řídící kontrolu dle ustanovení § 10, §11, §13 </w:t>
      </w:r>
      <w:proofErr w:type="spellStart"/>
      <w:r w:rsidRPr="001C15A4">
        <w:rPr>
          <w:rFonts w:ascii="Titillium" w:hAnsi="Titillium"/>
          <w:sz w:val="20"/>
          <w:szCs w:val="20"/>
        </w:rPr>
        <w:t>vyhl</w:t>
      </w:r>
      <w:proofErr w:type="spellEnd"/>
      <w:r w:rsidRPr="001C15A4">
        <w:rPr>
          <w:rFonts w:ascii="Titillium" w:hAnsi="Titillium"/>
          <w:sz w:val="20"/>
          <w:szCs w:val="20"/>
        </w:rPr>
        <w:t>. Č. 416/2004 Sb., kterou se provádí zákon č. 320/2001 Sb., o finanční kontrole, v</w:t>
      </w:r>
      <w:r w:rsidRPr="001C15A4">
        <w:rPr>
          <w:rFonts w:ascii="Courier New" w:hAnsi="Courier New" w:cs="Courier New"/>
          <w:sz w:val="20"/>
          <w:szCs w:val="20"/>
        </w:rPr>
        <w:t> </w:t>
      </w:r>
      <w:r w:rsidRPr="001C15A4">
        <w:rPr>
          <w:rFonts w:ascii="Titillium" w:hAnsi="Titillium"/>
          <w:sz w:val="20"/>
          <w:szCs w:val="20"/>
        </w:rPr>
        <w:t>platném znění provedl:</w:t>
      </w:r>
    </w:p>
    <w:p w:rsidR="007A3833" w:rsidRPr="001C15A4" w:rsidRDefault="007A3833" w:rsidP="001C15A4">
      <w:pPr>
        <w:spacing w:after="0" w:line="240" w:lineRule="auto"/>
        <w:rPr>
          <w:rFonts w:ascii="Titillium" w:hAnsi="Titillium"/>
          <w:sz w:val="20"/>
          <w:szCs w:val="20"/>
        </w:rPr>
      </w:pPr>
    </w:p>
    <w:p w:rsidR="007A3833" w:rsidRPr="001C15A4" w:rsidRDefault="007A3833" w:rsidP="001C15A4">
      <w:pPr>
        <w:spacing w:after="0" w:line="240" w:lineRule="auto"/>
        <w:rPr>
          <w:rFonts w:ascii="Titillium" w:hAnsi="Titillium"/>
          <w:sz w:val="20"/>
          <w:szCs w:val="20"/>
        </w:rPr>
      </w:pPr>
      <w:r w:rsidRPr="001C15A4">
        <w:rPr>
          <w:rFonts w:ascii="Titillium" w:hAnsi="Titillium"/>
          <w:sz w:val="20"/>
          <w:szCs w:val="20"/>
        </w:rPr>
        <w:t>Příkazce operace</w:t>
      </w:r>
      <w:r w:rsidR="007C1F30" w:rsidRPr="007C1F30">
        <w:rPr>
          <w:rFonts w:ascii="Titillium" w:hAnsi="Titillium" w:cs="Times New Roman"/>
          <w:b/>
        </w:rPr>
        <w:t xml:space="preserve"> </w:t>
      </w:r>
      <w:r w:rsidR="007C1F30" w:rsidRPr="00E31CB5">
        <w:rPr>
          <w:rFonts w:ascii="Titillium" w:hAnsi="Titillium" w:cs="Times New Roman"/>
          <w:b/>
        </w:rPr>
        <w:t>XXXXXXXXXXXX</w:t>
      </w:r>
    </w:p>
    <w:p w:rsidR="007A3833" w:rsidRPr="001C15A4" w:rsidRDefault="007A3833" w:rsidP="001C15A4">
      <w:pPr>
        <w:spacing w:after="0" w:line="240" w:lineRule="auto"/>
        <w:rPr>
          <w:rFonts w:ascii="Titillium" w:hAnsi="Titillium"/>
          <w:sz w:val="20"/>
          <w:szCs w:val="20"/>
        </w:rPr>
      </w:pPr>
      <w:r w:rsidRPr="001C15A4">
        <w:rPr>
          <w:rFonts w:ascii="Titillium" w:hAnsi="Titillium"/>
          <w:sz w:val="20"/>
          <w:szCs w:val="20"/>
        </w:rPr>
        <w:t>Dne:</w:t>
      </w:r>
    </w:p>
    <w:p w:rsidR="007A3833" w:rsidRPr="001C15A4" w:rsidRDefault="007A3833" w:rsidP="001C15A4">
      <w:pPr>
        <w:spacing w:after="0" w:line="240" w:lineRule="auto"/>
        <w:rPr>
          <w:rFonts w:ascii="Titillium" w:hAnsi="Titillium"/>
          <w:sz w:val="20"/>
          <w:szCs w:val="20"/>
        </w:rPr>
      </w:pPr>
    </w:p>
    <w:p w:rsidR="007C1F30" w:rsidRDefault="007A3833" w:rsidP="001C15A4">
      <w:pPr>
        <w:spacing w:after="0" w:line="240" w:lineRule="auto"/>
        <w:rPr>
          <w:rFonts w:ascii="Titillium" w:hAnsi="Titillium"/>
          <w:sz w:val="20"/>
          <w:szCs w:val="20"/>
        </w:rPr>
      </w:pPr>
      <w:r w:rsidRPr="001C15A4">
        <w:rPr>
          <w:rFonts w:ascii="Titillium" w:hAnsi="Titillium"/>
          <w:sz w:val="20"/>
          <w:szCs w:val="20"/>
        </w:rPr>
        <w:t xml:space="preserve">Správce dílčího rozpočtu: </w:t>
      </w:r>
      <w:r w:rsidR="007C1F30" w:rsidRPr="00E31CB5">
        <w:rPr>
          <w:rFonts w:ascii="Titillium" w:hAnsi="Titillium" w:cs="Times New Roman"/>
          <w:b/>
        </w:rPr>
        <w:t>XXXXXXXXXXXX</w:t>
      </w:r>
      <w:r w:rsidR="007C1F30" w:rsidRPr="001C15A4">
        <w:rPr>
          <w:rFonts w:ascii="Titillium" w:hAnsi="Titillium"/>
          <w:sz w:val="20"/>
          <w:szCs w:val="20"/>
        </w:rPr>
        <w:t xml:space="preserve"> </w:t>
      </w:r>
    </w:p>
    <w:p w:rsidR="007A3833" w:rsidRPr="001C15A4" w:rsidRDefault="007A3833" w:rsidP="001C15A4">
      <w:pPr>
        <w:spacing w:after="0" w:line="240" w:lineRule="auto"/>
        <w:rPr>
          <w:rFonts w:ascii="Titillium" w:hAnsi="Titillium"/>
          <w:sz w:val="20"/>
          <w:szCs w:val="20"/>
        </w:rPr>
      </w:pPr>
      <w:r w:rsidRPr="001C15A4">
        <w:rPr>
          <w:rFonts w:ascii="Titillium" w:hAnsi="Titillium"/>
          <w:sz w:val="20"/>
          <w:szCs w:val="20"/>
        </w:rPr>
        <w:t>Dne:</w:t>
      </w:r>
    </w:p>
    <w:p w:rsidR="007A3833" w:rsidRPr="001C15A4" w:rsidRDefault="007A3833" w:rsidP="001C15A4">
      <w:pPr>
        <w:spacing w:after="0" w:line="240" w:lineRule="auto"/>
        <w:rPr>
          <w:rFonts w:ascii="Titillium" w:hAnsi="Titillium"/>
          <w:sz w:val="20"/>
          <w:szCs w:val="20"/>
        </w:rPr>
      </w:pPr>
    </w:p>
    <w:p w:rsidR="007C1F30" w:rsidRDefault="007A3833" w:rsidP="001C15A4">
      <w:pPr>
        <w:spacing w:after="0" w:line="240" w:lineRule="auto"/>
        <w:rPr>
          <w:rFonts w:ascii="Titillium" w:hAnsi="Titillium"/>
          <w:sz w:val="20"/>
          <w:szCs w:val="20"/>
        </w:rPr>
      </w:pPr>
      <w:r w:rsidRPr="001C15A4">
        <w:rPr>
          <w:rFonts w:ascii="Titillium" w:hAnsi="Titillium"/>
          <w:sz w:val="20"/>
          <w:szCs w:val="20"/>
        </w:rPr>
        <w:t xml:space="preserve">Náležitosti smlouvy kontroloval: </w:t>
      </w:r>
      <w:r w:rsidR="007C1F30" w:rsidRPr="00E31CB5">
        <w:rPr>
          <w:rFonts w:ascii="Titillium" w:hAnsi="Titillium" w:cs="Times New Roman"/>
          <w:b/>
        </w:rPr>
        <w:t>XXXXXXXXXXXX</w:t>
      </w:r>
      <w:r w:rsidR="007C1F30" w:rsidRPr="001C15A4">
        <w:rPr>
          <w:rFonts w:ascii="Titillium" w:hAnsi="Titillium"/>
          <w:sz w:val="20"/>
          <w:szCs w:val="20"/>
        </w:rPr>
        <w:t xml:space="preserve"> </w:t>
      </w:r>
    </w:p>
    <w:p w:rsidR="007A3833" w:rsidRPr="001C15A4" w:rsidRDefault="007A3833" w:rsidP="001C15A4">
      <w:pPr>
        <w:spacing w:after="0" w:line="240" w:lineRule="auto"/>
        <w:rPr>
          <w:rFonts w:ascii="Titillium" w:hAnsi="Titillium"/>
          <w:sz w:val="20"/>
          <w:szCs w:val="20"/>
        </w:rPr>
      </w:pPr>
      <w:bookmarkStart w:id="0" w:name="_GoBack"/>
      <w:bookmarkEnd w:id="0"/>
      <w:r w:rsidRPr="001C15A4">
        <w:rPr>
          <w:rFonts w:ascii="Titillium" w:hAnsi="Titillium"/>
          <w:sz w:val="20"/>
          <w:szCs w:val="20"/>
        </w:rPr>
        <w:t>Dne:</w:t>
      </w:r>
    </w:p>
    <w:sectPr w:rsidR="007A3833" w:rsidRPr="001C15A4" w:rsidSect="00DC6F8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426" w:footer="429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4C21" w:rsidRDefault="00654C21">
      <w:pPr>
        <w:spacing w:after="0" w:line="240" w:lineRule="auto"/>
      </w:pPr>
      <w:r>
        <w:separator/>
      </w:r>
    </w:p>
  </w:endnote>
  <w:endnote w:type="continuationSeparator" w:id="0">
    <w:p w:rsidR="00654C21" w:rsidRDefault="00654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tillium">
    <w:altName w:val="Calibri"/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72655817"/>
      <w:docPartObj>
        <w:docPartGallery w:val="Page Numbers (Bottom of Page)"/>
        <w:docPartUnique/>
      </w:docPartObj>
    </w:sdtPr>
    <w:sdtEndPr/>
    <w:sdtContent>
      <w:p w:rsidR="00703F4A" w:rsidRDefault="00A74193">
        <w:pPr>
          <w:pStyle w:val="Zpat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1C15A4">
          <w:rPr>
            <w:noProof/>
          </w:rPr>
          <w:t>2</w:t>
        </w:r>
        <w:r>
          <w:fldChar w:fldCharType="end"/>
        </w:r>
      </w:p>
    </w:sdtContent>
  </w:sdt>
  <w:p w:rsidR="00703F4A" w:rsidRDefault="00703F4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33025104"/>
      <w:docPartObj>
        <w:docPartGallery w:val="Page Numbers (Bottom of Page)"/>
        <w:docPartUnique/>
      </w:docPartObj>
    </w:sdtPr>
    <w:sdtEndPr/>
    <w:sdtContent>
      <w:p w:rsidR="00703F4A" w:rsidRDefault="00A74193">
        <w:pPr>
          <w:pStyle w:val="Zpat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4</w:t>
        </w:r>
        <w:r>
          <w:fldChar w:fldCharType="end"/>
        </w:r>
      </w:p>
    </w:sdtContent>
  </w:sdt>
  <w:p w:rsidR="00703F4A" w:rsidRDefault="00703F4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4C21" w:rsidRDefault="00654C21">
      <w:pPr>
        <w:spacing w:after="0" w:line="240" w:lineRule="auto"/>
      </w:pPr>
      <w:r>
        <w:separator/>
      </w:r>
    </w:p>
  </w:footnote>
  <w:footnote w:type="continuationSeparator" w:id="0">
    <w:p w:rsidR="00654C21" w:rsidRDefault="00654C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3F4A" w:rsidRDefault="00703F4A">
    <w:pPr>
      <w:pStyle w:val="Zhlav"/>
    </w:pPr>
  </w:p>
  <w:p w:rsidR="00703F4A" w:rsidRDefault="00A74193">
    <w:pPr>
      <w:pStyle w:val="Zhlav"/>
      <w:rPr>
        <w:lang w:eastAsia="cs-CZ"/>
      </w:rPr>
    </w:pPr>
    <w:r>
      <w:rPr>
        <w:noProof/>
        <w:lang w:eastAsia="cs-CZ"/>
      </w:rPr>
      <w:drawing>
        <wp:inline distT="0" distB="0" distL="0" distR="0">
          <wp:extent cx="2275840" cy="60833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275840" cy="6083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03F4A" w:rsidRDefault="00703F4A">
    <w:pPr>
      <w:pStyle w:val="Zhlav"/>
    </w:pPr>
  </w:p>
  <w:p w:rsidR="00703F4A" w:rsidRDefault="00703F4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3F4A" w:rsidRDefault="00703F4A">
    <w:pPr>
      <w:pStyle w:val="Zhlav"/>
    </w:pPr>
  </w:p>
  <w:p w:rsidR="00703F4A" w:rsidRDefault="00A74193">
    <w:pPr>
      <w:pStyle w:val="Zhlav"/>
      <w:rPr>
        <w:lang w:eastAsia="cs-CZ"/>
      </w:rPr>
    </w:pPr>
    <w:r>
      <w:rPr>
        <w:noProof/>
        <w:lang w:eastAsia="cs-CZ"/>
      </w:rPr>
      <w:drawing>
        <wp:inline distT="0" distB="0" distL="0" distR="0">
          <wp:extent cx="2275840" cy="608330"/>
          <wp:effectExtent l="0" t="0" r="0" b="0"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275840" cy="6083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03F4A" w:rsidRDefault="00703F4A">
    <w:pPr>
      <w:pStyle w:val="Zhlav"/>
    </w:pPr>
  </w:p>
  <w:p w:rsidR="00703F4A" w:rsidRDefault="00703F4A">
    <w:pPr>
      <w:pStyle w:val="Zhlav"/>
    </w:pPr>
  </w:p>
  <w:p w:rsidR="00703F4A" w:rsidRDefault="00703F4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E3442"/>
    <w:multiLevelType w:val="multilevel"/>
    <w:tmpl w:val="14DED70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23646371"/>
    <w:multiLevelType w:val="hybridMultilevel"/>
    <w:tmpl w:val="F9EA3466"/>
    <w:lvl w:ilvl="0" w:tplc="FCD05130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78068A"/>
    <w:multiLevelType w:val="hybridMultilevel"/>
    <w:tmpl w:val="BB14A3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2456BD"/>
    <w:multiLevelType w:val="multilevel"/>
    <w:tmpl w:val="AABEE4E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4DEC0B4A"/>
    <w:multiLevelType w:val="multilevel"/>
    <w:tmpl w:val="B3266C6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612F1AC2"/>
    <w:multiLevelType w:val="multilevel"/>
    <w:tmpl w:val="6F62A420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Titillium" w:eastAsiaTheme="minorHAnsi" w:hAnsi="Titillium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2EE6BEF"/>
    <w:multiLevelType w:val="multilevel"/>
    <w:tmpl w:val="E1A87CF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7D462DF2"/>
    <w:multiLevelType w:val="multilevel"/>
    <w:tmpl w:val="97A6284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5"/>
  </w:num>
  <w:num w:numId="5">
    <w:abstractNumId w:val="7"/>
  </w:num>
  <w:num w:numId="6">
    <w:abstractNumId w:val="4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3F4A"/>
    <w:rsid w:val="000162BD"/>
    <w:rsid w:val="00171DBB"/>
    <w:rsid w:val="001C15A4"/>
    <w:rsid w:val="0020055F"/>
    <w:rsid w:val="00210E52"/>
    <w:rsid w:val="002955C1"/>
    <w:rsid w:val="00297E55"/>
    <w:rsid w:val="002A3355"/>
    <w:rsid w:val="00337BFB"/>
    <w:rsid w:val="0035177F"/>
    <w:rsid w:val="004B11F3"/>
    <w:rsid w:val="00654C21"/>
    <w:rsid w:val="00703F4A"/>
    <w:rsid w:val="007113C9"/>
    <w:rsid w:val="007A3833"/>
    <w:rsid w:val="007C1ADB"/>
    <w:rsid w:val="007C1F30"/>
    <w:rsid w:val="008423F8"/>
    <w:rsid w:val="00970896"/>
    <w:rsid w:val="00A319D5"/>
    <w:rsid w:val="00A32856"/>
    <w:rsid w:val="00A74193"/>
    <w:rsid w:val="00AD102C"/>
    <w:rsid w:val="00B17252"/>
    <w:rsid w:val="00C31444"/>
    <w:rsid w:val="00C816EC"/>
    <w:rsid w:val="00CA7356"/>
    <w:rsid w:val="00D1621B"/>
    <w:rsid w:val="00DC6F86"/>
    <w:rsid w:val="00E128C2"/>
    <w:rsid w:val="00E31CB5"/>
    <w:rsid w:val="00EA2FDE"/>
    <w:rsid w:val="00F52A0F"/>
    <w:rsid w:val="00FC7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19A9C"/>
  <w15:docId w15:val="{A70A7EF1-2F85-41D5-9A81-FA6FA7842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 w:val="0"/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11697C"/>
    <w:rPr>
      <w:b/>
      <w:bCs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11697C"/>
  </w:style>
  <w:style w:type="character" w:customStyle="1" w:styleId="ZpatChar">
    <w:name w:val="Zápatí Char"/>
    <w:basedOn w:val="Standardnpsmoodstavce"/>
    <w:link w:val="Zpat"/>
    <w:uiPriority w:val="99"/>
    <w:qFormat/>
    <w:rsid w:val="0011697C"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F42E98"/>
    <w:rPr>
      <w:rFonts w:ascii="Tahoma" w:hAnsi="Tahoma" w:cs="Tahoma"/>
      <w:sz w:val="16"/>
      <w:szCs w:val="16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Odstavecseseznamem">
    <w:name w:val="List Paragraph"/>
    <w:basedOn w:val="Normln"/>
    <w:uiPriority w:val="34"/>
    <w:qFormat/>
    <w:rsid w:val="00E9248E"/>
    <w:pPr>
      <w:ind w:left="720"/>
      <w:contextualSpacing/>
    </w:p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11697C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11697C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F42E9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evize">
    <w:name w:val="Revision"/>
    <w:uiPriority w:val="99"/>
    <w:semiHidden/>
    <w:qFormat/>
    <w:rsid w:val="00EE2E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464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9E8AD1-F75F-4FFD-9D3C-DB90DB5A8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958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URBAN</dc:creator>
  <cp:lastModifiedBy>Miriam Somolová</cp:lastModifiedBy>
  <cp:revision>9</cp:revision>
  <cp:lastPrinted>2024-07-16T07:39:00Z</cp:lastPrinted>
  <dcterms:created xsi:type="dcterms:W3CDTF">2024-07-02T05:05:00Z</dcterms:created>
  <dcterms:modified xsi:type="dcterms:W3CDTF">2024-09-27T05:37:00Z</dcterms:modified>
  <dc:language>cs-CZ</dc:language>
</cp:coreProperties>
</file>