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00890" w14:textId="77777777" w:rsidR="007903EB" w:rsidRDefault="00000000">
      <w:pPr>
        <w:pStyle w:val="Nadpis20"/>
        <w:keepNext/>
        <w:keepLines/>
        <w:spacing w:before="380" w:after="0"/>
      </w:pPr>
      <w:bookmarkStart w:id="0" w:name="bookmark0"/>
      <w:r>
        <w:rPr>
          <w:rStyle w:val="Nadpis2"/>
          <w:b/>
          <w:bCs/>
          <w:u w:val="single"/>
        </w:rPr>
        <w:t>NÁVRH SMLOUVY</w:t>
      </w:r>
      <w:bookmarkEnd w:id="0"/>
    </w:p>
    <w:p w14:paraId="31855674" w14:textId="77777777" w:rsidR="007903EB" w:rsidRDefault="00000000">
      <w:pPr>
        <w:pStyle w:val="Zkladntext1"/>
        <w:spacing w:after="440" w:line="240" w:lineRule="auto"/>
        <w:jc w:val="center"/>
        <w:rPr>
          <w:sz w:val="20"/>
          <w:szCs w:val="20"/>
        </w:rPr>
      </w:pPr>
      <w:r>
        <w:rPr>
          <w:rStyle w:val="Zkladntext"/>
          <w:sz w:val="20"/>
          <w:szCs w:val="20"/>
        </w:rPr>
        <w:t>číslo smlouvy kupujícího: …………………………. uvádět při fakturaci</w:t>
      </w:r>
      <w:r>
        <w:rPr>
          <w:rStyle w:val="Zkladntext"/>
          <w:sz w:val="20"/>
          <w:szCs w:val="20"/>
        </w:rPr>
        <w:br/>
        <w:t>uzavřená podle § 2586 a násl. zákona č. 89/2012 Sb., občanský zákoník,</w:t>
      </w:r>
      <w:r>
        <w:rPr>
          <w:rStyle w:val="Zkladntext"/>
          <w:sz w:val="20"/>
          <w:szCs w:val="20"/>
        </w:rPr>
        <w:br/>
        <w:t>v platném znění (dále jen "Občanský zákoník")</w:t>
      </w:r>
    </w:p>
    <w:p w14:paraId="63526752" w14:textId="77777777" w:rsidR="007903EB" w:rsidRDefault="00000000">
      <w:pPr>
        <w:pStyle w:val="Zkladntext1"/>
        <w:spacing w:after="380" w:line="240" w:lineRule="auto"/>
        <w:jc w:val="center"/>
      </w:pPr>
      <w:r>
        <w:rPr>
          <w:rStyle w:val="Zkladntext"/>
          <w:b/>
          <w:bCs/>
        </w:rPr>
        <w:t>SMLUVNÍ STRANY</w:t>
      </w:r>
    </w:p>
    <w:p w14:paraId="6B52A40E" w14:textId="77777777" w:rsidR="007903EB" w:rsidRDefault="00000000">
      <w:pPr>
        <w:pStyle w:val="Titulektabulky0"/>
        <w:ind w:left="10"/>
      </w:pPr>
      <w:r>
        <w:rPr>
          <w:rStyle w:val="Titulektabulky"/>
          <w:b/>
          <w:bCs/>
        </w:rPr>
        <w:t>Objednatel</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17"/>
        <w:gridCol w:w="5246"/>
      </w:tblGrid>
      <w:tr w:rsidR="007903EB" w14:paraId="382C66BD" w14:textId="77777777">
        <w:tblPrEx>
          <w:tblCellMar>
            <w:top w:w="0" w:type="dxa"/>
            <w:bottom w:w="0" w:type="dxa"/>
          </w:tblCellMar>
        </w:tblPrEx>
        <w:trPr>
          <w:trHeight w:hRule="exact" w:val="245"/>
          <w:jc w:val="center"/>
        </w:trPr>
        <w:tc>
          <w:tcPr>
            <w:tcW w:w="2117" w:type="dxa"/>
            <w:shd w:val="clear" w:color="auto" w:fill="auto"/>
          </w:tcPr>
          <w:p w14:paraId="5C6CA32C" w14:textId="77777777" w:rsidR="007903EB" w:rsidRDefault="00000000">
            <w:pPr>
              <w:pStyle w:val="Jin0"/>
              <w:spacing w:after="0" w:line="240" w:lineRule="auto"/>
            </w:pPr>
            <w:r>
              <w:rPr>
                <w:rStyle w:val="Jin"/>
              </w:rPr>
              <w:t>Název:</w:t>
            </w:r>
          </w:p>
        </w:tc>
        <w:tc>
          <w:tcPr>
            <w:tcW w:w="5246" w:type="dxa"/>
            <w:shd w:val="clear" w:color="auto" w:fill="auto"/>
          </w:tcPr>
          <w:p w14:paraId="4EBCB303" w14:textId="77777777" w:rsidR="007903EB" w:rsidRDefault="00000000">
            <w:pPr>
              <w:pStyle w:val="Jin0"/>
              <w:spacing w:after="0" w:line="240" w:lineRule="auto"/>
              <w:ind w:firstLine="300"/>
            </w:pPr>
            <w:r>
              <w:rPr>
                <w:rStyle w:val="Jin"/>
                <w:b/>
                <w:bCs/>
              </w:rPr>
              <w:t>Nemocnice Slaný</w:t>
            </w:r>
          </w:p>
        </w:tc>
      </w:tr>
      <w:tr w:rsidR="007903EB" w14:paraId="21997225" w14:textId="77777777">
        <w:tblPrEx>
          <w:tblCellMar>
            <w:top w:w="0" w:type="dxa"/>
            <w:bottom w:w="0" w:type="dxa"/>
          </w:tblCellMar>
        </w:tblPrEx>
        <w:trPr>
          <w:trHeight w:hRule="exact" w:val="278"/>
          <w:jc w:val="center"/>
        </w:trPr>
        <w:tc>
          <w:tcPr>
            <w:tcW w:w="2117" w:type="dxa"/>
            <w:shd w:val="clear" w:color="auto" w:fill="auto"/>
            <w:vAlign w:val="center"/>
          </w:tcPr>
          <w:p w14:paraId="1A6E22AD" w14:textId="77777777" w:rsidR="007903EB" w:rsidRDefault="00000000">
            <w:pPr>
              <w:pStyle w:val="Jin0"/>
              <w:spacing w:after="0" w:line="240" w:lineRule="auto"/>
            </w:pPr>
            <w:r>
              <w:rPr>
                <w:rStyle w:val="Jin"/>
              </w:rPr>
              <w:t>Sídlo:</w:t>
            </w:r>
          </w:p>
        </w:tc>
        <w:tc>
          <w:tcPr>
            <w:tcW w:w="5246" w:type="dxa"/>
            <w:shd w:val="clear" w:color="auto" w:fill="auto"/>
            <w:vAlign w:val="center"/>
          </w:tcPr>
          <w:p w14:paraId="0E34FB4D" w14:textId="77777777" w:rsidR="007903EB" w:rsidRDefault="00000000">
            <w:pPr>
              <w:pStyle w:val="Jin0"/>
              <w:spacing w:after="0" w:line="240" w:lineRule="auto"/>
              <w:ind w:firstLine="300"/>
            </w:pPr>
            <w:r>
              <w:rPr>
                <w:rStyle w:val="Jin"/>
              </w:rPr>
              <w:t>Politických vězňů 576, 274 01 Slaný</w:t>
            </w:r>
          </w:p>
        </w:tc>
      </w:tr>
      <w:tr w:rsidR="007903EB" w14:paraId="1C570142" w14:textId="77777777">
        <w:tblPrEx>
          <w:tblCellMar>
            <w:top w:w="0" w:type="dxa"/>
            <w:bottom w:w="0" w:type="dxa"/>
          </w:tblCellMar>
        </w:tblPrEx>
        <w:trPr>
          <w:trHeight w:hRule="exact" w:val="254"/>
          <w:jc w:val="center"/>
        </w:trPr>
        <w:tc>
          <w:tcPr>
            <w:tcW w:w="2117" w:type="dxa"/>
            <w:shd w:val="clear" w:color="auto" w:fill="auto"/>
          </w:tcPr>
          <w:p w14:paraId="16BCBFA0" w14:textId="77777777" w:rsidR="007903EB" w:rsidRDefault="00000000">
            <w:pPr>
              <w:pStyle w:val="Jin0"/>
              <w:spacing w:after="0" w:line="240" w:lineRule="auto"/>
            </w:pPr>
            <w:r>
              <w:rPr>
                <w:rStyle w:val="Jin"/>
              </w:rPr>
              <w:t>IČ:</w:t>
            </w:r>
          </w:p>
        </w:tc>
        <w:tc>
          <w:tcPr>
            <w:tcW w:w="5246" w:type="dxa"/>
            <w:shd w:val="clear" w:color="auto" w:fill="auto"/>
          </w:tcPr>
          <w:p w14:paraId="621009DB" w14:textId="77777777" w:rsidR="007903EB" w:rsidRDefault="00000000">
            <w:pPr>
              <w:pStyle w:val="Jin0"/>
              <w:spacing w:after="0" w:line="240" w:lineRule="auto"/>
              <w:ind w:firstLine="300"/>
            </w:pPr>
            <w:r>
              <w:rPr>
                <w:rStyle w:val="Jin"/>
              </w:rPr>
              <w:t>00875295</w:t>
            </w:r>
          </w:p>
        </w:tc>
      </w:tr>
      <w:tr w:rsidR="007903EB" w14:paraId="21D41B38" w14:textId="77777777">
        <w:tblPrEx>
          <w:tblCellMar>
            <w:top w:w="0" w:type="dxa"/>
            <w:bottom w:w="0" w:type="dxa"/>
          </w:tblCellMar>
        </w:tblPrEx>
        <w:trPr>
          <w:trHeight w:hRule="exact" w:val="307"/>
          <w:jc w:val="center"/>
        </w:trPr>
        <w:tc>
          <w:tcPr>
            <w:tcW w:w="2117" w:type="dxa"/>
            <w:shd w:val="clear" w:color="auto" w:fill="auto"/>
          </w:tcPr>
          <w:p w14:paraId="50D80DA1" w14:textId="77777777" w:rsidR="007903EB" w:rsidRDefault="00000000">
            <w:pPr>
              <w:pStyle w:val="Jin0"/>
              <w:spacing w:after="0" w:line="240" w:lineRule="auto"/>
            </w:pPr>
            <w:r>
              <w:rPr>
                <w:rStyle w:val="Jin"/>
              </w:rPr>
              <w:t>Statutární zástupce:</w:t>
            </w:r>
          </w:p>
        </w:tc>
        <w:tc>
          <w:tcPr>
            <w:tcW w:w="5246" w:type="dxa"/>
            <w:shd w:val="clear" w:color="auto" w:fill="auto"/>
          </w:tcPr>
          <w:p w14:paraId="0B8FAC5D" w14:textId="77777777" w:rsidR="007903EB" w:rsidRDefault="00000000">
            <w:pPr>
              <w:pStyle w:val="Jin0"/>
              <w:spacing w:after="0" w:line="240" w:lineRule="auto"/>
              <w:ind w:firstLine="300"/>
            </w:pPr>
            <w:r>
              <w:rPr>
                <w:rStyle w:val="Jin"/>
                <w:b/>
                <w:bCs/>
              </w:rPr>
              <w:t>MUDr. Štěpán Votoček, ředitel nemocnice</w:t>
            </w:r>
          </w:p>
        </w:tc>
      </w:tr>
      <w:tr w:rsidR="007903EB" w14:paraId="6DDE44F5" w14:textId="77777777">
        <w:tblPrEx>
          <w:tblCellMar>
            <w:top w:w="0" w:type="dxa"/>
            <w:bottom w:w="0" w:type="dxa"/>
          </w:tblCellMar>
        </w:tblPrEx>
        <w:trPr>
          <w:trHeight w:hRule="exact" w:val="298"/>
          <w:jc w:val="center"/>
        </w:trPr>
        <w:tc>
          <w:tcPr>
            <w:tcW w:w="2117" w:type="dxa"/>
            <w:shd w:val="clear" w:color="auto" w:fill="auto"/>
            <w:vAlign w:val="bottom"/>
          </w:tcPr>
          <w:p w14:paraId="6124E5FE" w14:textId="77777777" w:rsidR="007903EB" w:rsidRDefault="00000000">
            <w:pPr>
              <w:pStyle w:val="Jin0"/>
              <w:spacing w:after="0" w:line="240" w:lineRule="auto"/>
            </w:pPr>
            <w:r>
              <w:rPr>
                <w:rStyle w:val="Jin"/>
              </w:rPr>
              <w:t>Bankovní spojení:</w:t>
            </w:r>
          </w:p>
        </w:tc>
        <w:tc>
          <w:tcPr>
            <w:tcW w:w="5246" w:type="dxa"/>
            <w:shd w:val="clear" w:color="auto" w:fill="auto"/>
            <w:vAlign w:val="bottom"/>
          </w:tcPr>
          <w:p w14:paraId="5F983962" w14:textId="27E53245" w:rsidR="007903EB" w:rsidRDefault="006A0405">
            <w:pPr>
              <w:pStyle w:val="Jin0"/>
              <w:spacing w:after="0" w:line="240" w:lineRule="auto"/>
              <w:ind w:firstLine="300"/>
            </w:pPr>
            <w:r>
              <w:rPr>
                <w:rStyle w:val="Jin"/>
              </w:rPr>
              <w:t>xxx</w:t>
            </w:r>
          </w:p>
        </w:tc>
      </w:tr>
      <w:tr w:rsidR="007903EB" w14:paraId="7E61DD51" w14:textId="77777777">
        <w:tblPrEx>
          <w:tblCellMar>
            <w:top w:w="0" w:type="dxa"/>
            <w:bottom w:w="0" w:type="dxa"/>
          </w:tblCellMar>
        </w:tblPrEx>
        <w:trPr>
          <w:trHeight w:hRule="exact" w:val="269"/>
          <w:jc w:val="center"/>
        </w:trPr>
        <w:tc>
          <w:tcPr>
            <w:tcW w:w="2117" w:type="dxa"/>
            <w:shd w:val="clear" w:color="auto" w:fill="auto"/>
          </w:tcPr>
          <w:p w14:paraId="03085B7A" w14:textId="77777777" w:rsidR="007903EB" w:rsidRDefault="00000000">
            <w:pPr>
              <w:pStyle w:val="Jin0"/>
              <w:spacing w:after="0" w:line="240" w:lineRule="auto"/>
            </w:pPr>
            <w:r>
              <w:rPr>
                <w:rStyle w:val="Jin"/>
              </w:rPr>
              <w:t>Číslo běžného účtu:</w:t>
            </w:r>
          </w:p>
        </w:tc>
        <w:tc>
          <w:tcPr>
            <w:tcW w:w="5246" w:type="dxa"/>
            <w:shd w:val="clear" w:color="auto" w:fill="auto"/>
          </w:tcPr>
          <w:p w14:paraId="72A9FD28" w14:textId="5AF40613" w:rsidR="007903EB" w:rsidRDefault="006A0405">
            <w:pPr>
              <w:pStyle w:val="Jin0"/>
              <w:spacing w:after="0" w:line="240" w:lineRule="auto"/>
              <w:ind w:firstLine="300"/>
            </w:pPr>
            <w:r>
              <w:rPr>
                <w:rStyle w:val="Jin"/>
              </w:rPr>
              <w:t>xxx</w:t>
            </w:r>
          </w:p>
        </w:tc>
      </w:tr>
      <w:tr w:rsidR="007903EB" w14:paraId="7D605C47" w14:textId="77777777">
        <w:tblPrEx>
          <w:tblCellMar>
            <w:top w:w="0" w:type="dxa"/>
            <w:bottom w:w="0" w:type="dxa"/>
          </w:tblCellMar>
        </w:tblPrEx>
        <w:trPr>
          <w:trHeight w:hRule="exact" w:val="278"/>
          <w:jc w:val="center"/>
        </w:trPr>
        <w:tc>
          <w:tcPr>
            <w:tcW w:w="2117" w:type="dxa"/>
            <w:shd w:val="clear" w:color="auto" w:fill="auto"/>
          </w:tcPr>
          <w:p w14:paraId="0B747207" w14:textId="77777777" w:rsidR="007903EB" w:rsidRDefault="00000000">
            <w:pPr>
              <w:pStyle w:val="Jin0"/>
              <w:spacing w:after="0" w:line="240" w:lineRule="auto"/>
            </w:pPr>
            <w:r>
              <w:rPr>
                <w:rStyle w:val="Jin"/>
              </w:rPr>
              <w:t>Kontaktní osoba:</w:t>
            </w:r>
          </w:p>
        </w:tc>
        <w:tc>
          <w:tcPr>
            <w:tcW w:w="5246" w:type="dxa"/>
            <w:shd w:val="clear" w:color="auto" w:fill="auto"/>
          </w:tcPr>
          <w:p w14:paraId="0D4724ED" w14:textId="14768F5A" w:rsidR="007903EB" w:rsidRDefault="006A0405">
            <w:pPr>
              <w:pStyle w:val="Jin0"/>
              <w:spacing w:after="0" w:line="240" w:lineRule="auto"/>
              <w:ind w:firstLine="300"/>
            </w:pPr>
            <w:r>
              <w:rPr>
                <w:rStyle w:val="Jin"/>
              </w:rPr>
              <w:t>xxx</w:t>
            </w:r>
          </w:p>
        </w:tc>
      </w:tr>
      <w:tr w:rsidR="007903EB" w14:paraId="11BF4AA3" w14:textId="77777777">
        <w:tblPrEx>
          <w:tblCellMar>
            <w:top w:w="0" w:type="dxa"/>
            <w:bottom w:w="0" w:type="dxa"/>
          </w:tblCellMar>
        </w:tblPrEx>
        <w:trPr>
          <w:trHeight w:hRule="exact" w:val="254"/>
          <w:jc w:val="center"/>
        </w:trPr>
        <w:tc>
          <w:tcPr>
            <w:tcW w:w="2117" w:type="dxa"/>
            <w:shd w:val="clear" w:color="auto" w:fill="auto"/>
          </w:tcPr>
          <w:p w14:paraId="74C11B3B" w14:textId="77777777" w:rsidR="007903EB" w:rsidRDefault="00000000">
            <w:pPr>
              <w:pStyle w:val="Jin0"/>
              <w:spacing w:after="0" w:line="240" w:lineRule="auto"/>
            </w:pPr>
            <w:r>
              <w:rPr>
                <w:rStyle w:val="Jin"/>
              </w:rPr>
              <w:t>Tel:</w:t>
            </w:r>
          </w:p>
        </w:tc>
        <w:tc>
          <w:tcPr>
            <w:tcW w:w="5246" w:type="dxa"/>
            <w:shd w:val="clear" w:color="auto" w:fill="auto"/>
          </w:tcPr>
          <w:p w14:paraId="2F3EA7FC" w14:textId="3996F8D8" w:rsidR="007903EB" w:rsidRDefault="006A0405">
            <w:pPr>
              <w:pStyle w:val="Jin0"/>
              <w:spacing w:after="0" w:line="240" w:lineRule="auto"/>
              <w:ind w:firstLine="300"/>
            </w:pPr>
            <w:r>
              <w:rPr>
                <w:rStyle w:val="Jin"/>
              </w:rPr>
              <w:t>xxx</w:t>
            </w:r>
          </w:p>
        </w:tc>
      </w:tr>
      <w:tr w:rsidR="007903EB" w14:paraId="500163B1" w14:textId="77777777">
        <w:tblPrEx>
          <w:tblCellMar>
            <w:top w:w="0" w:type="dxa"/>
            <w:bottom w:w="0" w:type="dxa"/>
          </w:tblCellMar>
        </w:tblPrEx>
        <w:trPr>
          <w:trHeight w:hRule="exact" w:val="278"/>
          <w:jc w:val="center"/>
        </w:trPr>
        <w:tc>
          <w:tcPr>
            <w:tcW w:w="2117" w:type="dxa"/>
            <w:shd w:val="clear" w:color="auto" w:fill="auto"/>
            <w:vAlign w:val="center"/>
          </w:tcPr>
          <w:p w14:paraId="729F0BC1" w14:textId="77777777" w:rsidR="007903EB" w:rsidRDefault="00000000">
            <w:pPr>
              <w:pStyle w:val="Jin0"/>
              <w:spacing w:after="0" w:line="240" w:lineRule="auto"/>
            </w:pPr>
            <w:r>
              <w:rPr>
                <w:rStyle w:val="Jin"/>
              </w:rPr>
              <w:t>Email:</w:t>
            </w:r>
          </w:p>
        </w:tc>
        <w:tc>
          <w:tcPr>
            <w:tcW w:w="5246" w:type="dxa"/>
            <w:shd w:val="clear" w:color="auto" w:fill="auto"/>
            <w:vAlign w:val="center"/>
          </w:tcPr>
          <w:p w14:paraId="5A92E253" w14:textId="423638F1" w:rsidR="007903EB" w:rsidRDefault="006A0405">
            <w:pPr>
              <w:pStyle w:val="Jin0"/>
              <w:spacing w:after="0" w:line="240" w:lineRule="auto"/>
              <w:ind w:firstLine="300"/>
            </w:pPr>
            <w:r>
              <w:rPr>
                <w:rStyle w:val="Jin"/>
              </w:rPr>
              <w:t>xxx</w:t>
            </w:r>
          </w:p>
        </w:tc>
      </w:tr>
    </w:tbl>
    <w:p w14:paraId="605A5976" w14:textId="77777777" w:rsidR="007903EB" w:rsidRDefault="007903EB">
      <w:pPr>
        <w:spacing w:after="559" w:line="1" w:lineRule="exact"/>
      </w:pPr>
    </w:p>
    <w:p w14:paraId="0526EDBF" w14:textId="77777777" w:rsidR="007903EB" w:rsidRDefault="007903E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74"/>
        <w:gridCol w:w="4296"/>
      </w:tblGrid>
      <w:tr w:rsidR="007903EB" w14:paraId="34EEC597" w14:textId="77777777">
        <w:tblPrEx>
          <w:tblCellMar>
            <w:top w:w="0" w:type="dxa"/>
            <w:bottom w:w="0" w:type="dxa"/>
          </w:tblCellMar>
        </w:tblPrEx>
        <w:trPr>
          <w:trHeight w:hRule="exact" w:val="331"/>
          <w:jc w:val="center"/>
        </w:trPr>
        <w:tc>
          <w:tcPr>
            <w:tcW w:w="6470" w:type="dxa"/>
            <w:gridSpan w:val="2"/>
            <w:shd w:val="clear" w:color="auto" w:fill="D9D9D9"/>
            <w:vAlign w:val="center"/>
          </w:tcPr>
          <w:p w14:paraId="417B5EC0" w14:textId="77777777" w:rsidR="007903EB" w:rsidRDefault="00000000">
            <w:pPr>
              <w:pStyle w:val="Jin0"/>
              <w:spacing w:after="0" w:line="240" w:lineRule="auto"/>
            </w:pPr>
            <w:r>
              <w:rPr>
                <w:rStyle w:val="Jin"/>
                <w:b/>
                <w:bCs/>
              </w:rPr>
              <w:t>Zhotovitel</w:t>
            </w:r>
          </w:p>
        </w:tc>
      </w:tr>
      <w:tr w:rsidR="007903EB" w14:paraId="58AA0F8C" w14:textId="77777777">
        <w:tblPrEx>
          <w:tblCellMar>
            <w:top w:w="0" w:type="dxa"/>
            <w:bottom w:w="0" w:type="dxa"/>
          </w:tblCellMar>
        </w:tblPrEx>
        <w:trPr>
          <w:trHeight w:hRule="exact" w:val="283"/>
          <w:jc w:val="center"/>
        </w:trPr>
        <w:tc>
          <w:tcPr>
            <w:tcW w:w="2174" w:type="dxa"/>
            <w:shd w:val="clear" w:color="auto" w:fill="auto"/>
            <w:vAlign w:val="bottom"/>
          </w:tcPr>
          <w:p w14:paraId="471F0387" w14:textId="77777777" w:rsidR="007903EB" w:rsidRDefault="00000000">
            <w:pPr>
              <w:pStyle w:val="Jin0"/>
              <w:spacing w:after="0" w:line="240" w:lineRule="auto"/>
            </w:pPr>
            <w:r>
              <w:rPr>
                <w:rStyle w:val="Jin"/>
              </w:rPr>
              <w:t>Název:</w:t>
            </w:r>
          </w:p>
        </w:tc>
        <w:tc>
          <w:tcPr>
            <w:tcW w:w="4296" w:type="dxa"/>
            <w:shd w:val="clear" w:color="auto" w:fill="auto"/>
            <w:vAlign w:val="bottom"/>
          </w:tcPr>
          <w:p w14:paraId="0BD72B70" w14:textId="77777777" w:rsidR="007903EB" w:rsidRDefault="00000000">
            <w:pPr>
              <w:pStyle w:val="Jin0"/>
              <w:spacing w:after="0" w:line="240" w:lineRule="auto"/>
              <w:ind w:firstLine="340"/>
            </w:pPr>
            <w:r>
              <w:rPr>
                <w:rStyle w:val="Jin"/>
                <w:b/>
                <w:bCs/>
              </w:rPr>
              <w:t>AUTO – Evžen Myslivec s.r.o.</w:t>
            </w:r>
          </w:p>
        </w:tc>
      </w:tr>
      <w:tr w:rsidR="007903EB" w14:paraId="532203FE" w14:textId="77777777">
        <w:tblPrEx>
          <w:tblCellMar>
            <w:top w:w="0" w:type="dxa"/>
            <w:bottom w:w="0" w:type="dxa"/>
          </w:tblCellMar>
        </w:tblPrEx>
        <w:trPr>
          <w:trHeight w:hRule="exact" w:val="269"/>
          <w:jc w:val="center"/>
        </w:trPr>
        <w:tc>
          <w:tcPr>
            <w:tcW w:w="2174" w:type="dxa"/>
            <w:shd w:val="clear" w:color="auto" w:fill="auto"/>
          </w:tcPr>
          <w:p w14:paraId="0F235FFA" w14:textId="77777777" w:rsidR="007903EB" w:rsidRDefault="00000000">
            <w:pPr>
              <w:pStyle w:val="Jin0"/>
              <w:spacing w:after="0" w:line="240" w:lineRule="auto"/>
            </w:pPr>
            <w:r>
              <w:rPr>
                <w:rStyle w:val="Jin"/>
              </w:rPr>
              <w:t>Sídlo:</w:t>
            </w:r>
          </w:p>
        </w:tc>
        <w:tc>
          <w:tcPr>
            <w:tcW w:w="4296" w:type="dxa"/>
            <w:shd w:val="clear" w:color="auto" w:fill="auto"/>
          </w:tcPr>
          <w:p w14:paraId="5B25C5CC" w14:textId="77777777" w:rsidR="007903EB" w:rsidRDefault="00000000">
            <w:pPr>
              <w:pStyle w:val="Jin0"/>
              <w:spacing w:after="0" w:line="240" w:lineRule="auto"/>
              <w:ind w:firstLine="340"/>
            </w:pPr>
            <w:r>
              <w:rPr>
                <w:rStyle w:val="Jin"/>
              </w:rPr>
              <w:t>Václava Majera 2666, 440 01 Louny</w:t>
            </w:r>
          </w:p>
        </w:tc>
      </w:tr>
      <w:tr w:rsidR="007903EB" w14:paraId="19C37769" w14:textId="77777777">
        <w:tblPrEx>
          <w:tblCellMar>
            <w:top w:w="0" w:type="dxa"/>
            <w:bottom w:w="0" w:type="dxa"/>
          </w:tblCellMar>
        </w:tblPrEx>
        <w:trPr>
          <w:trHeight w:hRule="exact" w:val="259"/>
          <w:jc w:val="center"/>
        </w:trPr>
        <w:tc>
          <w:tcPr>
            <w:tcW w:w="2174" w:type="dxa"/>
            <w:shd w:val="clear" w:color="auto" w:fill="auto"/>
          </w:tcPr>
          <w:p w14:paraId="5AFFFBCB" w14:textId="77777777" w:rsidR="007903EB" w:rsidRDefault="00000000">
            <w:pPr>
              <w:pStyle w:val="Jin0"/>
              <w:spacing w:after="0" w:line="240" w:lineRule="auto"/>
            </w:pPr>
            <w:r>
              <w:rPr>
                <w:rStyle w:val="Jin"/>
              </w:rPr>
              <w:t>IČ:</w:t>
            </w:r>
          </w:p>
        </w:tc>
        <w:tc>
          <w:tcPr>
            <w:tcW w:w="4296" w:type="dxa"/>
            <w:shd w:val="clear" w:color="auto" w:fill="auto"/>
          </w:tcPr>
          <w:p w14:paraId="296B7064" w14:textId="77777777" w:rsidR="007903EB" w:rsidRDefault="00000000">
            <w:pPr>
              <w:pStyle w:val="Jin0"/>
              <w:spacing w:after="0" w:line="240" w:lineRule="auto"/>
              <w:ind w:firstLine="340"/>
            </w:pPr>
            <w:r>
              <w:rPr>
                <w:rStyle w:val="Jin"/>
              </w:rPr>
              <w:t>25046985</w:t>
            </w:r>
          </w:p>
        </w:tc>
      </w:tr>
      <w:tr w:rsidR="007903EB" w14:paraId="2787BA7F" w14:textId="77777777">
        <w:tblPrEx>
          <w:tblCellMar>
            <w:top w:w="0" w:type="dxa"/>
            <w:bottom w:w="0" w:type="dxa"/>
          </w:tblCellMar>
        </w:tblPrEx>
        <w:trPr>
          <w:trHeight w:hRule="exact" w:val="269"/>
          <w:jc w:val="center"/>
        </w:trPr>
        <w:tc>
          <w:tcPr>
            <w:tcW w:w="2174" w:type="dxa"/>
            <w:shd w:val="clear" w:color="auto" w:fill="auto"/>
            <w:vAlign w:val="center"/>
          </w:tcPr>
          <w:p w14:paraId="7AC8AAC4" w14:textId="77777777" w:rsidR="007903EB" w:rsidRDefault="00000000">
            <w:pPr>
              <w:pStyle w:val="Jin0"/>
              <w:spacing w:after="0" w:line="240" w:lineRule="auto"/>
            </w:pPr>
            <w:r>
              <w:rPr>
                <w:rStyle w:val="Jin"/>
              </w:rPr>
              <w:t>DIČ:</w:t>
            </w:r>
          </w:p>
        </w:tc>
        <w:tc>
          <w:tcPr>
            <w:tcW w:w="4296" w:type="dxa"/>
            <w:shd w:val="clear" w:color="auto" w:fill="auto"/>
            <w:vAlign w:val="center"/>
          </w:tcPr>
          <w:p w14:paraId="7F4C272C" w14:textId="77777777" w:rsidR="007903EB" w:rsidRDefault="00000000">
            <w:pPr>
              <w:pStyle w:val="Jin0"/>
              <w:spacing w:after="0" w:line="240" w:lineRule="auto"/>
              <w:ind w:firstLine="340"/>
            </w:pPr>
            <w:r>
              <w:rPr>
                <w:rStyle w:val="Jin"/>
              </w:rPr>
              <w:t>CZ25046985</w:t>
            </w:r>
          </w:p>
        </w:tc>
      </w:tr>
      <w:tr w:rsidR="007903EB" w14:paraId="3C939DE8" w14:textId="77777777">
        <w:tblPrEx>
          <w:tblCellMar>
            <w:top w:w="0" w:type="dxa"/>
            <w:bottom w:w="0" w:type="dxa"/>
          </w:tblCellMar>
        </w:tblPrEx>
        <w:trPr>
          <w:trHeight w:hRule="exact" w:val="283"/>
          <w:jc w:val="center"/>
        </w:trPr>
        <w:tc>
          <w:tcPr>
            <w:tcW w:w="2174" w:type="dxa"/>
            <w:shd w:val="clear" w:color="auto" w:fill="auto"/>
            <w:vAlign w:val="bottom"/>
          </w:tcPr>
          <w:p w14:paraId="1D0A6930" w14:textId="77777777" w:rsidR="007903EB" w:rsidRDefault="00000000">
            <w:pPr>
              <w:pStyle w:val="Jin0"/>
              <w:spacing w:after="0" w:line="240" w:lineRule="auto"/>
            </w:pPr>
            <w:r>
              <w:rPr>
                <w:rStyle w:val="Jin"/>
              </w:rPr>
              <w:t>Statutární zástupce:</w:t>
            </w:r>
          </w:p>
        </w:tc>
        <w:tc>
          <w:tcPr>
            <w:tcW w:w="4296" w:type="dxa"/>
            <w:shd w:val="clear" w:color="auto" w:fill="auto"/>
            <w:vAlign w:val="bottom"/>
          </w:tcPr>
          <w:p w14:paraId="3372221E" w14:textId="77777777" w:rsidR="007903EB" w:rsidRDefault="00000000">
            <w:pPr>
              <w:pStyle w:val="Jin0"/>
              <w:spacing w:after="0" w:line="240" w:lineRule="auto"/>
              <w:ind w:firstLine="340"/>
            </w:pPr>
            <w:r>
              <w:rPr>
                <w:rStyle w:val="Jin"/>
                <w:b/>
                <w:bCs/>
              </w:rPr>
              <w:t>Evžen Myslivec, jednatel</w:t>
            </w:r>
          </w:p>
        </w:tc>
      </w:tr>
      <w:tr w:rsidR="007903EB" w14:paraId="019B48ED" w14:textId="77777777">
        <w:tblPrEx>
          <w:tblCellMar>
            <w:top w:w="0" w:type="dxa"/>
            <w:bottom w:w="0" w:type="dxa"/>
          </w:tblCellMar>
        </w:tblPrEx>
        <w:trPr>
          <w:trHeight w:hRule="exact" w:val="259"/>
          <w:jc w:val="center"/>
        </w:trPr>
        <w:tc>
          <w:tcPr>
            <w:tcW w:w="2174" w:type="dxa"/>
            <w:shd w:val="clear" w:color="auto" w:fill="auto"/>
            <w:vAlign w:val="bottom"/>
          </w:tcPr>
          <w:p w14:paraId="061DB24A" w14:textId="77777777" w:rsidR="007903EB" w:rsidRDefault="00000000">
            <w:pPr>
              <w:pStyle w:val="Jin0"/>
              <w:spacing w:after="0" w:line="240" w:lineRule="auto"/>
            </w:pPr>
            <w:r>
              <w:rPr>
                <w:rStyle w:val="Jin"/>
              </w:rPr>
              <w:t>Obchodní rejstřík:</w:t>
            </w:r>
          </w:p>
        </w:tc>
        <w:tc>
          <w:tcPr>
            <w:tcW w:w="4296" w:type="dxa"/>
            <w:shd w:val="clear" w:color="auto" w:fill="auto"/>
            <w:vAlign w:val="bottom"/>
          </w:tcPr>
          <w:p w14:paraId="3C4D6EAA" w14:textId="77777777" w:rsidR="007903EB" w:rsidRDefault="00000000">
            <w:pPr>
              <w:pStyle w:val="Jin0"/>
              <w:spacing w:after="0" w:line="240" w:lineRule="auto"/>
              <w:ind w:firstLine="340"/>
            </w:pPr>
            <w:r>
              <w:rPr>
                <w:rStyle w:val="Jin"/>
              </w:rPr>
              <w:t>veden u KS v Ústí n. Labem, vložka C 14879</w:t>
            </w:r>
          </w:p>
        </w:tc>
      </w:tr>
      <w:tr w:rsidR="007903EB" w14:paraId="67216D3A" w14:textId="77777777">
        <w:tblPrEx>
          <w:tblCellMar>
            <w:top w:w="0" w:type="dxa"/>
            <w:bottom w:w="0" w:type="dxa"/>
          </w:tblCellMar>
        </w:tblPrEx>
        <w:trPr>
          <w:trHeight w:hRule="exact" w:val="264"/>
          <w:jc w:val="center"/>
        </w:trPr>
        <w:tc>
          <w:tcPr>
            <w:tcW w:w="2174" w:type="dxa"/>
            <w:shd w:val="clear" w:color="auto" w:fill="auto"/>
            <w:vAlign w:val="bottom"/>
          </w:tcPr>
          <w:p w14:paraId="3D49656B" w14:textId="77777777" w:rsidR="007903EB" w:rsidRDefault="00000000">
            <w:pPr>
              <w:pStyle w:val="Jin0"/>
              <w:spacing w:after="0" w:line="240" w:lineRule="auto"/>
            </w:pPr>
            <w:r>
              <w:rPr>
                <w:rStyle w:val="Jin"/>
              </w:rPr>
              <w:t>Bankovní spojení:</w:t>
            </w:r>
          </w:p>
        </w:tc>
        <w:tc>
          <w:tcPr>
            <w:tcW w:w="4296" w:type="dxa"/>
            <w:shd w:val="clear" w:color="auto" w:fill="auto"/>
            <w:vAlign w:val="bottom"/>
          </w:tcPr>
          <w:p w14:paraId="43C491FD" w14:textId="3D5EE3A6" w:rsidR="007903EB" w:rsidRDefault="006A0405">
            <w:pPr>
              <w:pStyle w:val="Jin0"/>
              <w:spacing w:after="0" w:line="240" w:lineRule="auto"/>
              <w:ind w:firstLine="340"/>
            </w:pPr>
            <w:r>
              <w:rPr>
                <w:rStyle w:val="Jin"/>
              </w:rPr>
              <w:t>xxx</w:t>
            </w:r>
          </w:p>
        </w:tc>
      </w:tr>
      <w:tr w:rsidR="007903EB" w14:paraId="4D27B5D2" w14:textId="77777777">
        <w:tblPrEx>
          <w:tblCellMar>
            <w:top w:w="0" w:type="dxa"/>
            <w:bottom w:w="0" w:type="dxa"/>
          </w:tblCellMar>
        </w:tblPrEx>
        <w:trPr>
          <w:trHeight w:hRule="exact" w:val="274"/>
          <w:jc w:val="center"/>
        </w:trPr>
        <w:tc>
          <w:tcPr>
            <w:tcW w:w="2174" w:type="dxa"/>
            <w:shd w:val="clear" w:color="auto" w:fill="auto"/>
          </w:tcPr>
          <w:p w14:paraId="08682D81" w14:textId="77777777" w:rsidR="007903EB" w:rsidRDefault="00000000">
            <w:pPr>
              <w:pStyle w:val="Jin0"/>
              <w:spacing w:after="0" w:line="240" w:lineRule="auto"/>
            </w:pPr>
            <w:r>
              <w:rPr>
                <w:rStyle w:val="Jin"/>
              </w:rPr>
              <w:t>Číslo běžného účtu:</w:t>
            </w:r>
          </w:p>
        </w:tc>
        <w:tc>
          <w:tcPr>
            <w:tcW w:w="4296" w:type="dxa"/>
            <w:shd w:val="clear" w:color="auto" w:fill="auto"/>
          </w:tcPr>
          <w:p w14:paraId="1FA662C4" w14:textId="65809C9A" w:rsidR="007903EB" w:rsidRDefault="006A0405">
            <w:pPr>
              <w:pStyle w:val="Jin0"/>
              <w:spacing w:after="0" w:line="240" w:lineRule="auto"/>
              <w:ind w:firstLine="340"/>
            </w:pPr>
            <w:r>
              <w:rPr>
                <w:rStyle w:val="Jin"/>
              </w:rPr>
              <w:t>xxx</w:t>
            </w:r>
          </w:p>
        </w:tc>
      </w:tr>
      <w:tr w:rsidR="007903EB" w14:paraId="64A3C3BC" w14:textId="77777777">
        <w:tblPrEx>
          <w:tblCellMar>
            <w:top w:w="0" w:type="dxa"/>
            <w:bottom w:w="0" w:type="dxa"/>
          </w:tblCellMar>
        </w:tblPrEx>
        <w:trPr>
          <w:trHeight w:hRule="exact" w:val="269"/>
          <w:jc w:val="center"/>
        </w:trPr>
        <w:tc>
          <w:tcPr>
            <w:tcW w:w="2174" w:type="dxa"/>
            <w:shd w:val="clear" w:color="auto" w:fill="auto"/>
            <w:vAlign w:val="center"/>
          </w:tcPr>
          <w:p w14:paraId="0777111C" w14:textId="77777777" w:rsidR="007903EB" w:rsidRDefault="00000000">
            <w:pPr>
              <w:pStyle w:val="Jin0"/>
              <w:spacing w:after="0" w:line="240" w:lineRule="auto"/>
            </w:pPr>
            <w:r>
              <w:rPr>
                <w:rStyle w:val="Jin"/>
              </w:rPr>
              <w:t>Kontaktní osoba:</w:t>
            </w:r>
          </w:p>
        </w:tc>
        <w:tc>
          <w:tcPr>
            <w:tcW w:w="4296" w:type="dxa"/>
            <w:shd w:val="clear" w:color="auto" w:fill="auto"/>
            <w:vAlign w:val="center"/>
          </w:tcPr>
          <w:p w14:paraId="7DD80E26" w14:textId="566EC977" w:rsidR="007903EB" w:rsidRDefault="006A0405">
            <w:pPr>
              <w:pStyle w:val="Jin0"/>
              <w:spacing w:after="0" w:line="240" w:lineRule="auto"/>
              <w:ind w:firstLine="340"/>
            </w:pPr>
            <w:r>
              <w:rPr>
                <w:rStyle w:val="Jin"/>
              </w:rPr>
              <w:t>xxx</w:t>
            </w:r>
          </w:p>
        </w:tc>
      </w:tr>
      <w:tr w:rsidR="007903EB" w14:paraId="53D6AC03" w14:textId="77777777">
        <w:tblPrEx>
          <w:tblCellMar>
            <w:top w:w="0" w:type="dxa"/>
            <w:bottom w:w="0" w:type="dxa"/>
          </w:tblCellMar>
        </w:tblPrEx>
        <w:trPr>
          <w:trHeight w:hRule="exact" w:val="264"/>
          <w:jc w:val="center"/>
        </w:trPr>
        <w:tc>
          <w:tcPr>
            <w:tcW w:w="2174" w:type="dxa"/>
            <w:shd w:val="clear" w:color="auto" w:fill="auto"/>
            <w:vAlign w:val="center"/>
          </w:tcPr>
          <w:p w14:paraId="7998EDEB" w14:textId="77777777" w:rsidR="007903EB" w:rsidRDefault="00000000">
            <w:pPr>
              <w:pStyle w:val="Jin0"/>
              <w:spacing w:after="0" w:line="240" w:lineRule="auto"/>
            </w:pPr>
            <w:r>
              <w:rPr>
                <w:rStyle w:val="Jin"/>
              </w:rPr>
              <w:t>Tel:</w:t>
            </w:r>
          </w:p>
        </w:tc>
        <w:tc>
          <w:tcPr>
            <w:tcW w:w="4296" w:type="dxa"/>
            <w:shd w:val="clear" w:color="auto" w:fill="auto"/>
            <w:vAlign w:val="center"/>
          </w:tcPr>
          <w:p w14:paraId="7AEC3C6A" w14:textId="6E2FA4E4" w:rsidR="007903EB" w:rsidRDefault="006A0405">
            <w:pPr>
              <w:pStyle w:val="Jin0"/>
              <w:spacing w:after="0" w:line="240" w:lineRule="auto"/>
              <w:ind w:firstLine="340"/>
            </w:pPr>
            <w:r>
              <w:rPr>
                <w:rStyle w:val="Jin"/>
              </w:rPr>
              <w:t>xxx</w:t>
            </w:r>
          </w:p>
        </w:tc>
      </w:tr>
      <w:tr w:rsidR="007903EB" w14:paraId="3169F7E6" w14:textId="77777777">
        <w:tblPrEx>
          <w:tblCellMar>
            <w:top w:w="0" w:type="dxa"/>
            <w:bottom w:w="0" w:type="dxa"/>
          </w:tblCellMar>
        </w:tblPrEx>
        <w:trPr>
          <w:trHeight w:hRule="exact" w:val="278"/>
          <w:jc w:val="center"/>
        </w:trPr>
        <w:tc>
          <w:tcPr>
            <w:tcW w:w="2174" w:type="dxa"/>
            <w:shd w:val="clear" w:color="auto" w:fill="auto"/>
            <w:vAlign w:val="center"/>
          </w:tcPr>
          <w:p w14:paraId="6D91D284" w14:textId="77777777" w:rsidR="007903EB" w:rsidRDefault="00000000">
            <w:pPr>
              <w:pStyle w:val="Jin0"/>
              <w:spacing w:after="0" w:line="240" w:lineRule="auto"/>
            </w:pPr>
            <w:r>
              <w:rPr>
                <w:rStyle w:val="Jin"/>
              </w:rPr>
              <w:t>Email:</w:t>
            </w:r>
          </w:p>
        </w:tc>
        <w:tc>
          <w:tcPr>
            <w:tcW w:w="4296" w:type="dxa"/>
            <w:shd w:val="clear" w:color="auto" w:fill="auto"/>
            <w:vAlign w:val="center"/>
          </w:tcPr>
          <w:p w14:paraId="0E461395" w14:textId="480CECB4" w:rsidR="007903EB" w:rsidRDefault="00000000">
            <w:pPr>
              <w:pStyle w:val="Jin0"/>
              <w:spacing w:after="0" w:line="240" w:lineRule="auto"/>
              <w:ind w:firstLine="340"/>
            </w:pPr>
            <w:hyperlink r:id="rId7" w:history="1">
              <w:r w:rsidR="006A0405">
                <w:rPr>
                  <w:rStyle w:val="Jin"/>
                </w:rPr>
                <w:t>xxx</w:t>
              </w:r>
            </w:hyperlink>
          </w:p>
        </w:tc>
      </w:tr>
    </w:tbl>
    <w:p w14:paraId="4957F1F2" w14:textId="77777777" w:rsidR="007903EB" w:rsidRDefault="007903EB">
      <w:pPr>
        <w:spacing w:after="779" w:line="1" w:lineRule="exact"/>
      </w:pPr>
    </w:p>
    <w:p w14:paraId="4DE99E04" w14:textId="77777777" w:rsidR="007903EB" w:rsidRDefault="00000000">
      <w:pPr>
        <w:pStyle w:val="Nadpis20"/>
        <w:keepNext/>
        <w:keepLines/>
        <w:spacing w:after="520"/>
      </w:pPr>
      <w:bookmarkStart w:id="1" w:name="bookmark2"/>
      <w:r>
        <w:rPr>
          <w:rStyle w:val="Nadpis2"/>
          <w:b/>
          <w:bCs/>
        </w:rPr>
        <w:t>uzavírají následující smlouvu o dodávku (dále jen „smlouva“)</w:t>
      </w:r>
      <w:bookmarkEnd w:id="1"/>
    </w:p>
    <w:p w14:paraId="165FD5C6" w14:textId="77777777" w:rsidR="007903EB" w:rsidRDefault="00000000">
      <w:pPr>
        <w:pStyle w:val="Zkladntext1"/>
        <w:spacing w:after="560" w:line="240" w:lineRule="auto"/>
        <w:jc w:val="center"/>
      </w:pPr>
      <w:r>
        <w:rPr>
          <w:rStyle w:val="Zkladntext"/>
        </w:rPr>
        <w:t>na zakázku:</w:t>
      </w:r>
    </w:p>
    <w:p w14:paraId="7598C9FE" w14:textId="77777777" w:rsidR="007903EB" w:rsidRDefault="00000000">
      <w:pPr>
        <w:pStyle w:val="Nadpis10"/>
        <w:keepNext/>
        <w:keepLines/>
      </w:pPr>
      <w:bookmarkStart w:id="2" w:name="bookmark4"/>
      <w:r>
        <w:rPr>
          <w:rStyle w:val="Nadpis1"/>
          <w:b/>
          <w:bCs/>
        </w:rPr>
        <w:t>Dodávka osobního elektromobilu</w:t>
      </w:r>
      <w:r>
        <w:rPr>
          <w:rStyle w:val="Nadpis1"/>
          <w:b/>
          <w:bCs/>
        </w:rPr>
        <w:br/>
        <w:t>N006/24/V00019024</w:t>
      </w:r>
      <w:bookmarkEnd w:id="2"/>
    </w:p>
    <w:p w14:paraId="018A16E7" w14:textId="77777777" w:rsidR="007903EB" w:rsidRDefault="00000000">
      <w:pPr>
        <w:pStyle w:val="Zkladntext1"/>
        <w:spacing w:after="0"/>
        <w:jc w:val="center"/>
      </w:pPr>
      <w:r>
        <w:rPr>
          <w:rStyle w:val="Zkladntext"/>
          <w:b/>
          <w:bCs/>
        </w:rPr>
        <w:t>Článek 1.</w:t>
      </w:r>
    </w:p>
    <w:p w14:paraId="299D58B0" w14:textId="77777777" w:rsidR="007903EB" w:rsidRDefault="00000000">
      <w:pPr>
        <w:pStyle w:val="Nadpis20"/>
        <w:keepNext/>
        <w:keepLines/>
        <w:spacing w:after="0"/>
      </w:pPr>
      <w:bookmarkStart w:id="3" w:name="bookmark6"/>
      <w:r>
        <w:rPr>
          <w:rStyle w:val="Nadpis2"/>
          <w:b/>
          <w:bCs/>
        </w:rPr>
        <w:t>PŘEDMĚT SMLOUVY</w:t>
      </w:r>
      <w:bookmarkEnd w:id="3"/>
    </w:p>
    <w:p w14:paraId="14601755" w14:textId="77777777" w:rsidR="007903EB" w:rsidRDefault="00000000">
      <w:pPr>
        <w:pStyle w:val="Zkladntext1"/>
        <w:numPr>
          <w:ilvl w:val="0"/>
          <w:numId w:val="1"/>
        </w:numPr>
        <w:tabs>
          <w:tab w:val="left" w:pos="351"/>
        </w:tabs>
        <w:spacing w:line="276" w:lineRule="auto"/>
        <w:ind w:left="380" w:hanging="380"/>
        <w:jc w:val="both"/>
      </w:pPr>
      <w:r>
        <w:rPr>
          <w:rStyle w:val="Zkladntext"/>
        </w:rPr>
        <w:t xml:space="preserve">Tato Smlouva je uzavírána mezi dodavatelem a objednatelem na základě výsledků zadávacího řízení za účelem realizace veřejné zakázky s názvem „Dodávka osobního elektromobilu“ neboť </w:t>
      </w:r>
      <w:r>
        <w:rPr>
          <w:rStyle w:val="Zkladntext"/>
        </w:rPr>
        <w:lastRenderedPageBreak/>
        <w:t>nabídka dodavatele byla vyhodnocena jako nejvhodnější.</w:t>
      </w:r>
    </w:p>
    <w:p w14:paraId="456BCA1E" w14:textId="77777777" w:rsidR="007903EB" w:rsidRDefault="00000000">
      <w:pPr>
        <w:pStyle w:val="Zkladntext1"/>
        <w:numPr>
          <w:ilvl w:val="0"/>
          <w:numId w:val="1"/>
        </w:numPr>
        <w:tabs>
          <w:tab w:val="left" w:pos="351"/>
        </w:tabs>
        <w:ind w:left="380" w:hanging="380"/>
        <w:jc w:val="both"/>
      </w:pPr>
      <w:r>
        <w:rPr>
          <w:rStyle w:val="Zkladntext"/>
        </w:rPr>
        <w:t>Smluvní strany uzavírají smlouvu o dodávce osobního automobilu v rozsahu a kvalitě specifikované v cenové nabídce dodavatele, která tvoří nedílnou součást smlouvy jako její příloha č. 5. Objednatel se zavazuje k převzetí dodávky a k zaplacení sjednané ceny za jeho provedení podle podmínek obsažených dále ve Smlouvě.</w:t>
      </w:r>
    </w:p>
    <w:p w14:paraId="5335C5DD" w14:textId="77777777" w:rsidR="007903EB" w:rsidRDefault="00000000">
      <w:pPr>
        <w:pStyle w:val="Zkladntext1"/>
        <w:numPr>
          <w:ilvl w:val="0"/>
          <w:numId w:val="1"/>
        </w:numPr>
        <w:tabs>
          <w:tab w:val="left" w:pos="351"/>
        </w:tabs>
        <w:jc w:val="both"/>
      </w:pPr>
      <w:r>
        <w:rPr>
          <w:rStyle w:val="Zkladntext"/>
        </w:rPr>
        <w:t>Předmětem této smlouvy je „Dodávka osobního elektromobilu“.</w:t>
      </w:r>
    </w:p>
    <w:p w14:paraId="50F49317" w14:textId="77777777" w:rsidR="007903EB" w:rsidRDefault="00000000">
      <w:pPr>
        <w:pStyle w:val="Zkladntext1"/>
        <w:numPr>
          <w:ilvl w:val="0"/>
          <w:numId w:val="1"/>
        </w:numPr>
        <w:tabs>
          <w:tab w:val="left" w:pos="351"/>
        </w:tabs>
        <w:jc w:val="both"/>
      </w:pPr>
      <w:r>
        <w:rPr>
          <w:rStyle w:val="Zkladntext"/>
        </w:rPr>
        <w:t>Dodávka bude splněna řádným ukončením, protokolárním předáním a převzetím automobilu.</w:t>
      </w:r>
    </w:p>
    <w:p w14:paraId="51BBB119" w14:textId="77777777" w:rsidR="007903EB" w:rsidRDefault="00000000">
      <w:pPr>
        <w:pStyle w:val="Zkladntext1"/>
        <w:numPr>
          <w:ilvl w:val="0"/>
          <w:numId w:val="1"/>
        </w:numPr>
        <w:tabs>
          <w:tab w:val="left" w:pos="351"/>
        </w:tabs>
        <w:ind w:left="380" w:hanging="380"/>
        <w:jc w:val="both"/>
      </w:pPr>
      <w:r>
        <w:rPr>
          <w:rStyle w:val="Zkladntext"/>
        </w:rPr>
        <w:t>Smluvní strany berou na vědomí, že v době uzavření této smlouvy je rozsah provedení dodávky specifikován cenovou nabídkou dodavatele, která je Přílohou č. 5 této smlouvy.</w:t>
      </w:r>
    </w:p>
    <w:p w14:paraId="2885DA75" w14:textId="77777777" w:rsidR="007903EB" w:rsidRDefault="00000000">
      <w:pPr>
        <w:pStyle w:val="Zkladntext1"/>
        <w:numPr>
          <w:ilvl w:val="0"/>
          <w:numId w:val="1"/>
        </w:numPr>
        <w:tabs>
          <w:tab w:val="left" w:pos="351"/>
        </w:tabs>
        <w:spacing w:line="276" w:lineRule="auto"/>
        <w:ind w:left="380" w:hanging="380"/>
        <w:jc w:val="both"/>
      </w:pPr>
      <w:r>
        <w:rPr>
          <w:rStyle w:val="Zkladntext"/>
        </w:rPr>
        <w:t>Plnění smlouvy bude splňovat všechny technické požadavky a normy ČSN. Dodavatel potvrzuje, že pro všechny, i dílčí, pracovní postupy plnění této smlouvy má potřebnou kvalifikaci i technické vybavení.</w:t>
      </w:r>
    </w:p>
    <w:p w14:paraId="321A9432" w14:textId="77777777" w:rsidR="007903EB" w:rsidRDefault="00000000">
      <w:pPr>
        <w:pStyle w:val="Zkladntext1"/>
        <w:numPr>
          <w:ilvl w:val="0"/>
          <w:numId w:val="1"/>
        </w:numPr>
        <w:tabs>
          <w:tab w:val="left" w:pos="351"/>
        </w:tabs>
        <w:spacing w:after="460" w:line="276" w:lineRule="auto"/>
        <w:ind w:left="380" w:hanging="380"/>
        <w:jc w:val="both"/>
      </w:pPr>
      <w:r>
        <w:rPr>
          <w:rStyle w:val="Zkladntext"/>
        </w:rPr>
        <w:t>Objednavatel se zavazuje zaplatit dodavateli za osobní automobil sjednanou smluvní cenu jako nejvýše přípustnou dle nabídky zhotovitele.</w:t>
      </w:r>
    </w:p>
    <w:p w14:paraId="40B405E6" w14:textId="77777777" w:rsidR="007903EB" w:rsidRDefault="00000000">
      <w:pPr>
        <w:pStyle w:val="Zkladntext1"/>
        <w:spacing w:after="0"/>
        <w:jc w:val="center"/>
      </w:pPr>
      <w:r>
        <w:rPr>
          <w:rStyle w:val="Zkladntext"/>
          <w:b/>
          <w:bCs/>
        </w:rPr>
        <w:t>Článek 2.</w:t>
      </w:r>
    </w:p>
    <w:p w14:paraId="55532A2F" w14:textId="77777777" w:rsidR="007903EB" w:rsidRDefault="00000000">
      <w:pPr>
        <w:pStyle w:val="Nadpis20"/>
        <w:keepNext/>
        <w:keepLines/>
        <w:spacing w:after="220" w:line="271" w:lineRule="auto"/>
      </w:pPr>
      <w:bookmarkStart w:id="4" w:name="bookmark8"/>
      <w:r>
        <w:rPr>
          <w:rStyle w:val="Nadpis2"/>
          <w:b/>
          <w:bCs/>
        </w:rPr>
        <w:t>OCHODNÍ A DALŠÍ PODMÍNKY</w:t>
      </w:r>
      <w:bookmarkEnd w:id="4"/>
    </w:p>
    <w:p w14:paraId="728640E9" w14:textId="7DAB994C" w:rsidR="007903EB" w:rsidRDefault="00000000">
      <w:pPr>
        <w:pStyle w:val="Zkladntext1"/>
        <w:numPr>
          <w:ilvl w:val="0"/>
          <w:numId w:val="2"/>
        </w:numPr>
        <w:tabs>
          <w:tab w:val="left" w:pos="351"/>
        </w:tabs>
        <w:spacing w:line="276" w:lineRule="auto"/>
        <w:ind w:left="380" w:hanging="380"/>
        <w:jc w:val="both"/>
      </w:pPr>
      <w:r>
        <w:rPr>
          <w:rStyle w:val="Zkladntext"/>
        </w:rPr>
        <w:t xml:space="preserve">Dodávka předmětu zakázky musí být v souladu s článkem 5. obchodních podmínek. Součástí dodávky je proškolení obsluhy a doprava zdarma. Předmět plnění včetně manuálu v českém jazyce převezme za Nemocnici Slaný p. </w:t>
      </w:r>
      <w:r w:rsidR="006A0405">
        <w:rPr>
          <w:rStyle w:val="Zkladntext"/>
        </w:rPr>
        <w:t>xxx</w:t>
      </w:r>
    </w:p>
    <w:p w14:paraId="237523CE" w14:textId="77777777" w:rsidR="007903EB" w:rsidRDefault="00000000">
      <w:pPr>
        <w:pStyle w:val="Zkladntext1"/>
        <w:numPr>
          <w:ilvl w:val="0"/>
          <w:numId w:val="2"/>
        </w:numPr>
        <w:tabs>
          <w:tab w:val="left" w:pos="351"/>
        </w:tabs>
        <w:ind w:left="380" w:hanging="380"/>
        <w:jc w:val="both"/>
      </w:pPr>
      <w:r>
        <w:rPr>
          <w:rStyle w:val="Zkladntext"/>
        </w:rPr>
        <w:t>Zadavatel na předmět plnění veřejné zakázky požaduje záruční a pozáruční servis. Záruční servis bude poskytován minimálně 60 měsíců. Záruku na baterii požaduje zadavatel minimálně 3 let při zachování kapacity baterie minimálně 80 % po 30 000 ujetých km.</w:t>
      </w:r>
    </w:p>
    <w:p w14:paraId="5FEB64BC" w14:textId="77777777" w:rsidR="007903EB" w:rsidRDefault="00000000">
      <w:pPr>
        <w:pStyle w:val="Zkladntext1"/>
        <w:numPr>
          <w:ilvl w:val="0"/>
          <w:numId w:val="2"/>
        </w:numPr>
        <w:tabs>
          <w:tab w:val="left" w:pos="351"/>
        </w:tabs>
        <w:spacing w:line="276" w:lineRule="auto"/>
        <w:ind w:left="380" w:hanging="380"/>
        <w:jc w:val="both"/>
      </w:pPr>
      <w:r>
        <w:rPr>
          <w:rStyle w:val="Zkladntext"/>
        </w:rPr>
        <w:t>Dodávka předmětu zakázky musí splňovat technické požadavky a parametry a poskytovat funkce uvedené v technické specifikaci (příloha č. 3).</w:t>
      </w:r>
    </w:p>
    <w:p w14:paraId="64846466" w14:textId="77777777" w:rsidR="007903EB" w:rsidRDefault="00000000">
      <w:pPr>
        <w:pStyle w:val="Zkladntext1"/>
        <w:numPr>
          <w:ilvl w:val="0"/>
          <w:numId w:val="2"/>
        </w:numPr>
        <w:tabs>
          <w:tab w:val="left" w:pos="351"/>
        </w:tabs>
        <w:ind w:left="380" w:hanging="380"/>
        <w:jc w:val="both"/>
      </w:pPr>
      <w:r>
        <w:rPr>
          <w:rStyle w:val="Zkladntext"/>
        </w:rPr>
        <w:t>Prodávající se zavazuje, že předmět plnění veřejné zakázky bude odpovídat všem souvisejícím platným právním předpisům a technickým normám a bude homologován pro provoz v České republice. Předmět plnění veřejné zakázky (dodané vozidlo) tak musí být homologované a technicky způsobilé ve smyslu zákona č. 56/2001 Sb., o podmínkách provozu vozidel na pozemních komunikacích v platném znění a zákona č. 168/1999 Sb., o pojištění odpovědnosti za škodu způsobenou provozem vozidla v platném znění.</w:t>
      </w:r>
    </w:p>
    <w:p w14:paraId="460C90AB" w14:textId="77777777" w:rsidR="007903EB" w:rsidRDefault="00000000">
      <w:pPr>
        <w:pStyle w:val="Zkladntext1"/>
        <w:numPr>
          <w:ilvl w:val="0"/>
          <w:numId w:val="2"/>
        </w:numPr>
        <w:tabs>
          <w:tab w:val="left" w:pos="356"/>
        </w:tabs>
        <w:spacing w:after="320"/>
        <w:ind w:left="380" w:hanging="380"/>
        <w:jc w:val="both"/>
      </w:pPr>
      <w:r>
        <w:rPr>
          <w:rStyle w:val="Zkladntext"/>
        </w:rPr>
        <w:t xml:space="preserve">Doklady, veřejnoprávní rozhodnutí, osvědčení a atesty podle článku 3. nákupních podmínek, které se vztahují k předmětu plnění veřejné zakázky zejména platné prohlášení o shodě prokazující schválení typu vozidla včetně alternativního pohonu, musí být součástí nabídky. Jestliže některý z uvedených dokladů byl vystaven zahraničním subjektem v jiném než českém jazyce, je účastník </w:t>
      </w:r>
      <w:r>
        <w:rPr>
          <w:rStyle w:val="Zkladntext"/>
        </w:rPr>
        <w:lastRenderedPageBreak/>
        <w:t>povinen předložit tento doklad v původním jazyce a přiložit k němu překlad (nemusí být úředně ověřený) do českého jazyka.</w:t>
      </w:r>
    </w:p>
    <w:p w14:paraId="6B16D45F" w14:textId="77777777" w:rsidR="007903EB" w:rsidRDefault="00000000">
      <w:pPr>
        <w:pStyle w:val="Zkladntext1"/>
        <w:numPr>
          <w:ilvl w:val="0"/>
          <w:numId w:val="2"/>
        </w:numPr>
        <w:tabs>
          <w:tab w:val="left" w:pos="356"/>
        </w:tabs>
        <w:spacing w:after="320"/>
        <w:ind w:left="380" w:hanging="380"/>
        <w:jc w:val="both"/>
      </w:pPr>
      <w:r>
        <w:rPr>
          <w:rStyle w:val="Zkladntext"/>
        </w:rPr>
        <w:t>Při prodlení s dodávkou předmětu veřejné zakázky je účastník povinen zaplatit zadavateli smluvní pokutu za prodlení ve výši 0,5 % z celkové nabídkové ceny včetně DPH a to za každý i započatý kalendářní den prodlení. Uhrazením smluvní pokuty není dotčeno právo zadavatele na náhradu škody vzniklou v důsledku prodlení.</w:t>
      </w:r>
    </w:p>
    <w:p w14:paraId="65DE4210" w14:textId="77777777" w:rsidR="007903EB" w:rsidRDefault="00000000">
      <w:pPr>
        <w:pStyle w:val="Zkladntext1"/>
        <w:numPr>
          <w:ilvl w:val="0"/>
          <w:numId w:val="2"/>
        </w:numPr>
        <w:tabs>
          <w:tab w:val="left" w:pos="356"/>
        </w:tabs>
        <w:spacing w:after="320" w:line="276" w:lineRule="auto"/>
        <w:ind w:left="380" w:hanging="380"/>
        <w:jc w:val="both"/>
      </w:pPr>
      <w:r>
        <w:rPr>
          <w:rStyle w:val="Zkladntext"/>
        </w:rPr>
        <w:t>Dodávka předmětu plnění se považuje podle této smlouvy za splněnou, pokud: předmět plnění byl řádně předán včetně příslušné dokumentace, bylo provedeno proškolení obsluhy a byl převzat způsobem sjednaným níže.</w:t>
      </w:r>
    </w:p>
    <w:p w14:paraId="1A993BE7" w14:textId="77777777" w:rsidR="007903EB" w:rsidRDefault="00000000">
      <w:pPr>
        <w:pStyle w:val="Zkladntext1"/>
        <w:numPr>
          <w:ilvl w:val="0"/>
          <w:numId w:val="2"/>
        </w:numPr>
        <w:tabs>
          <w:tab w:val="left" w:pos="356"/>
        </w:tabs>
        <w:spacing w:after="320"/>
        <w:ind w:left="380" w:hanging="380"/>
        <w:jc w:val="both"/>
      </w:pPr>
      <w:r>
        <w:rPr>
          <w:rStyle w:val="Zkladntext"/>
        </w:rPr>
        <w:t>Vlastnické právo k předmětu plnění přechází z prodávajícího na kupujícího okamžikem podpisu předávacího protokolu. S přechodem vlastnického práva přechází současně na kupujícího i nebezpečí škody na předmětu koupě. Kupující není povinen převzít předmět plnění či jeho část, která je poškozena nebo jinak nesplňuje podmínky dle této smlouvy.</w:t>
      </w:r>
    </w:p>
    <w:p w14:paraId="039BC977" w14:textId="77777777" w:rsidR="007903EB" w:rsidRDefault="00000000">
      <w:pPr>
        <w:pStyle w:val="Zkladntext1"/>
        <w:numPr>
          <w:ilvl w:val="0"/>
          <w:numId w:val="2"/>
        </w:numPr>
        <w:tabs>
          <w:tab w:val="left" w:pos="356"/>
        </w:tabs>
        <w:spacing w:after="320"/>
        <w:ind w:left="380" w:hanging="380"/>
        <w:jc w:val="both"/>
      </w:pPr>
      <w:r>
        <w:rPr>
          <w:rStyle w:val="Zkladntext"/>
        </w:rPr>
        <w:t>Po dodání vystaví prodávající předávací protokol, který bude obsahovat níže uvedené náležitosti: označení dodacího listu/předávacího protokolu a jeho číslo, název a sídlo prodávajícího a kupujícího, číslo kupní smlouvy, označení dodaného a nedodaného zboží a jeho množství a výrobní číslo, datum dodání, stav předmětu dodání v okamžiku jeho předání a převzetí, jiné náležitosti důležité pro předání a převzetí dodaného předmětu. Předávací protokol podepíší a opatří otisky razítek oprávnění zástupci obou smluvních stran. Takto opatřený dodací list/předávací protokol slouží jako doklad o řádném předání a převzetí předmětu plnění.</w:t>
      </w:r>
    </w:p>
    <w:p w14:paraId="0A8C84B8" w14:textId="77777777" w:rsidR="007903EB" w:rsidRDefault="00000000">
      <w:pPr>
        <w:pStyle w:val="Zkladntext1"/>
        <w:numPr>
          <w:ilvl w:val="0"/>
          <w:numId w:val="2"/>
        </w:numPr>
        <w:tabs>
          <w:tab w:val="left" w:pos="385"/>
        </w:tabs>
        <w:spacing w:after="460" w:line="276" w:lineRule="auto"/>
        <w:ind w:left="380" w:hanging="380"/>
        <w:jc w:val="both"/>
      </w:pPr>
      <w:r>
        <w:rPr>
          <w:rStyle w:val="Zkladntext"/>
        </w:rPr>
        <w:t>Záruční doba začíná běžet dnem podpisu předávacího protokolu oběma smluvními stranami, případně dnem oboustranného podpisu zápisu, kterým bude konstatováno odstranění vad, převzal-li kupující předmět koupě s vadami.</w:t>
      </w:r>
    </w:p>
    <w:p w14:paraId="4BCC39F2" w14:textId="77777777" w:rsidR="007903EB" w:rsidRDefault="00000000">
      <w:pPr>
        <w:pStyle w:val="Zkladntext1"/>
        <w:spacing w:after="0"/>
        <w:jc w:val="center"/>
      </w:pPr>
      <w:r>
        <w:rPr>
          <w:rStyle w:val="Zkladntext"/>
          <w:b/>
          <w:bCs/>
        </w:rPr>
        <w:t>Článek 3.</w:t>
      </w:r>
    </w:p>
    <w:p w14:paraId="74D7CE1B" w14:textId="77777777" w:rsidR="007903EB" w:rsidRDefault="00000000">
      <w:pPr>
        <w:pStyle w:val="Nadpis20"/>
        <w:keepNext/>
        <w:keepLines/>
        <w:spacing w:after="220" w:line="271" w:lineRule="auto"/>
      </w:pPr>
      <w:bookmarkStart w:id="5" w:name="bookmark10"/>
      <w:r>
        <w:rPr>
          <w:rStyle w:val="Nadpis2"/>
          <w:b/>
          <w:bCs/>
        </w:rPr>
        <w:t>TERMÍN A MÍSTO PLNĚNÍ</w:t>
      </w:r>
      <w:bookmarkEnd w:id="5"/>
    </w:p>
    <w:p w14:paraId="160ACFCE" w14:textId="77777777" w:rsidR="007903EB" w:rsidRDefault="00000000">
      <w:pPr>
        <w:pStyle w:val="Zkladntext1"/>
        <w:numPr>
          <w:ilvl w:val="0"/>
          <w:numId w:val="3"/>
        </w:numPr>
        <w:tabs>
          <w:tab w:val="left" w:pos="356"/>
        </w:tabs>
        <w:spacing w:after="0"/>
        <w:jc w:val="both"/>
      </w:pPr>
      <w:r>
        <w:rPr>
          <w:rStyle w:val="Zkladntext"/>
        </w:rPr>
        <w:t>Předpokládané termíny plnění:</w:t>
      </w:r>
    </w:p>
    <w:p w14:paraId="37D2DE30" w14:textId="77777777" w:rsidR="007903EB" w:rsidRDefault="00000000">
      <w:pPr>
        <w:pStyle w:val="Zkladntext1"/>
        <w:spacing w:after="220"/>
        <w:ind w:firstLine="380"/>
        <w:jc w:val="both"/>
      </w:pPr>
      <w:r>
        <w:rPr>
          <w:rStyle w:val="Zkladntext"/>
        </w:rPr>
        <w:t>Termín plnění je předmětem soutěže, (nejpozději do 20.12.2024).</w:t>
      </w:r>
    </w:p>
    <w:p w14:paraId="2FA2B4CD" w14:textId="77777777" w:rsidR="007903EB" w:rsidRDefault="00000000">
      <w:pPr>
        <w:pStyle w:val="Zkladntext1"/>
        <w:numPr>
          <w:ilvl w:val="0"/>
          <w:numId w:val="3"/>
        </w:numPr>
        <w:tabs>
          <w:tab w:val="left" w:pos="356"/>
        </w:tabs>
        <w:spacing w:after="220"/>
        <w:jc w:val="both"/>
      </w:pPr>
      <w:r>
        <w:rPr>
          <w:rStyle w:val="Zkladntext"/>
        </w:rPr>
        <w:t>Místem plnění je Nemocnice Slaný, Politických vězňů 576, 274 01 Slaný.</w:t>
      </w:r>
    </w:p>
    <w:p w14:paraId="0FFEDC64" w14:textId="77777777" w:rsidR="007903EB" w:rsidRDefault="00000000">
      <w:pPr>
        <w:pStyle w:val="Zkladntext1"/>
        <w:numPr>
          <w:ilvl w:val="0"/>
          <w:numId w:val="3"/>
        </w:numPr>
        <w:tabs>
          <w:tab w:val="left" w:pos="356"/>
        </w:tabs>
        <w:spacing w:after="0"/>
        <w:jc w:val="both"/>
      </w:pPr>
      <w:r>
        <w:rPr>
          <w:rStyle w:val="Zkladntext"/>
        </w:rPr>
        <w:t>Lhůta provedení může být dohodou smluvních stran upravena z důvodů nemožnosti plnění, které</w:t>
      </w:r>
    </w:p>
    <w:p w14:paraId="3F59997B" w14:textId="77777777" w:rsidR="007903EB" w:rsidRDefault="00000000">
      <w:pPr>
        <w:pStyle w:val="Zkladntext1"/>
        <w:spacing w:after="320"/>
        <w:ind w:firstLine="380"/>
        <w:jc w:val="both"/>
      </w:pPr>
      <w:r>
        <w:rPr>
          <w:rStyle w:val="Zkladntext"/>
        </w:rPr>
        <w:t>mají bezprostřední vliv na provádění dodávky.</w:t>
      </w:r>
    </w:p>
    <w:p w14:paraId="6B61E384" w14:textId="77777777" w:rsidR="007903EB" w:rsidRDefault="00000000">
      <w:pPr>
        <w:pStyle w:val="Zkladntext1"/>
        <w:numPr>
          <w:ilvl w:val="0"/>
          <w:numId w:val="3"/>
        </w:numPr>
        <w:tabs>
          <w:tab w:val="left" w:pos="349"/>
        </w:tabs>
        <w:spacing w:after="240"/>
        <w:ind w:left="360" w:hanging="360"/>
        <w:jc w:val="both"/>
      </w:pPr>
      <w:r>
        <w:rPr>
          <w:rStyle w:val="Zkladntext"/>
        </w:rPr>
        <w:t>Lhůta pro provedení dodávky se přiměřeně upravuje pouze v případě, že přerušení dodání bude způsobeno vyšší mocí.</w:t>
      </w:r>
    </w:p>
    <w:p w14:paraId="25622502" w14:textId="77777777" w:rsidR="007903EB" w:rsidRDefault="00000000">
      <w:pPr>
        <w:pStyle w:val="Zkladntext1"/>
        <w:numPr>
          <w:ilvl w:val="0"/>
          <w:numId w:val="3"/>
        </w:numPr>
        <w:tabs>
          <w:tab w:val="left" w:pos="349"/>
        </w:tabs>
        <w:spacing w:after="480"/>
        <w:ind w:left="360" w:hanging="360"/>
        <w:jc w:val="both"/>
      </w:pPr>
      <w:r>
        <w:rPr>
          <w:rStyle w:val="Zkladntext"/>
        </w:rPr>
        <w:t>Smluvní strany berou na vědomí, že dodržení uvedeného termínu je podmíněno poskytnutím řádné součinnosti ze strany objednatele.</w:t>
      </w:r>
    </w:p>
    <w:p w14:paraId="4132807D" w14:textId="77777777" w:rsidR="007903EB" w:rsidRDefault="00000000">
      <w:pPr>
        <w:pStyle w:val="Zkladntext1"/>
        <w:spacing w:after="0"/>
        <w:jc w:val="center"/>
      </w:pPr>
      <w:r>
        <w:rPr>
          <w:rStyle w:val="Zkladntext"/>
          <w:b/>
          <w:bCs/>
        </w:rPr>
        <w:lastRenderedPageBreak/>
        <w:t>Článek 4.</w:t>
      </w:r>
    </w:p>
    <w:p w14:paraId="49780F2E" w14:textId="77777777" w:rsidR="007903EB" w:rsidRDefault="00000000">
      <w:pPr>
        <w:pStyle w:val="Nadpis20"/>
        <w:keepNext/>
        <w:keepLines/>
        <w:spacing w:after="0"/>
      </w:pPr>
      <w:bookmarkStart w:id="6" w:name="bookmark12"/>
      <w:r>
        <w:rPr>
          <w:rStyle w:val="Nadpis2"/>
          <w:b/>
          <w:bCs/>
        </w:rPr>
        <w:t>CENA DÍLA</w:t>
      </w:r>
      <w:bookmarkEnd w:id="6"/>
    </w:p>
    <w:p w14:paraId="1DEB3466" w14:textId="77777777" w:rsidR="007903EB" w:rsidRDefault="00000000">
      <w:pPr>
        <w:pStyle w:val="Zkladntext1"/>
        <w:numPr>
          <w:ilvl w:val="0"/>
          <w:numId w:val="4"/>
        </w:numPr>
        <w:tabs>
          <w:tab w:val="left" w:pos="349"/>
        </w:tabs>
        <w:spacing w:after="240"/>
        <w:ind w:left="360" w:hanging="360"/>
        <w:jc w:val="both"/>
      </w:pPr>
      <w:r>
        <w:rPr>
          <w:rStyle w:val="Zkladntext"/>
        </w:rPr>
        <w:t>V souladu s ustanovením § 2 odst. 2 zákona č.526/1990 Sb., o cenách v platném znění, smluvní strany sjednaly pevnou cenu za dodávku v celkové výši: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130"/>
        <w:gridCol w:w="2491"/>
      </w:tblGrid>
      <w:tr w:rsidR="007903EB" w14:paraId="0EBA456E" w14:textId="77777777">
        <w:tblPrEx>
          <w:tblCellMar>
            <w:top w:w="0" w:type="dxa"/>
            <w:bottom w:w="0" w:type="dxa"/>
          </w:tblCellMar>
        </w:tblPrEx>
        <w:trPr>
          <w:trHeight w:hRule="exact" w:val="398"/>
          <w:jc w:val="center"/>
        </w:trPr>
        <w:tc>
          <w:tcPr>
            <w:tcW w:w="8621" w:type="dxa"/>
            <w:gridSpan w:val="2"/>
            <w:tcBorders>
              <w:top w:val="single" w:sz="4" w:space="0" w:color="auto"/>
              <w:left w:val="single" w:sz="4" w:space="0" w:color="auto"/>
              <w:right w:val="single" w:sz="4" w:space="0" w:color="auto"/>
            </w:tcBorders>
            <w:shd w:val="clear" w:color="auto" w:fill="BFBFBF"/>
            <w:vAlign w:val="center"/>
          </w:tcPr>
          <w:p w14:paraId="6345FAFA" w14:textId="77777777" w:rsidR="007903EB" w:rsidRDefault="00000000">
            <w:pPr>
              <w:pStyle w:val="Jin0"/>
              <w:spacing w:after="0" w:line="240" w:lineRule="auto"/>
            </w:pPr>
            <w:r>
              <w:rPr>
                <w:rStyle w:val="Jin"/>
                <w:b/>
                <w:bCs/>
              </w:rPr>
              <w:t>Celková cena dodávky v Kč</w:t>
            </w:r>
          </w:p>
        </w:tc>
      </w:tr>
      <w:tr w:rsidR="007903EB" w14:paraId="02804EFD" w14:textId="77777777">
        <w:tblPrEx>
          <w:tblCellMar>
            <w:top w:w="0" w:type="dxa"/>
            <w:bottom w:w="0" w:type="dxa"/>
          </w:tblCellMar>
        </w:tblPrEx>
        <w:trPr>
          <w:trHeight w:hRule="exact" w:val="384"/>
          <w:jc w:val="center"/>
        </w:trPr>
        <w:tc>
          <w:tcPr>
            <w:tcW w:w="6130" w:type="dxa"/>
            <w:tcBorders>
              <w:top w:val="single" w:sz="4" w:space="0" w:color="auto"/>
              <w:left w:val="single" w:sz="4" w:space="0" w:color="auto"/>
            </w:tcBorders>
            <w:shd w:val="clear" w:color="auto" w:fill="auto"/>
            <w:vAlign w:val="center"/>
          </w:tcPr>
          <w:p w14:paraId="1B064310" w14:textId="77777777" w:rsidR="007903EB" w:rsidRDefault="00000000">
            <w:pPr>
              <w:pStyle w:val="Jin0"/>
              <w:spacing w:after="0" w:line="240" w:lineRule="auto"/>
            </w:pPr>
            <w:r>
              <w:rPr>
                <w:rStyle w:val="Jin"/>
              </w:rPr>
              <w:t>Celková cena dodávky bez DPH</w:t>
            </w:r>
          </w:p>
        </w:tc>
        <w:tc>
          <w:tcPr>
            <w:tcW w:w="2491" w:type="dxa"/>
            <w:tcBorders>
              <w:top w:val="single" w:sz="4" w:space="0" w:color="auto"/>
              <w:left w:val="single" w:sz="4" w:space="0" w:color="auto"/>
              <w:right w:val="single" w:sz="4" w:space="0" w:color="auto"/>
            </w:tcBorders>
            <w:shd w:val="clear" w:color="auto" w:fill="auto"/>
            <w:vAlign w:val="center"/>
          </w:tcPr>
          <w:p w14:paraId="5A4775D5" w14:textId="77777777" w:rsidR="007903EB" w:rsidRDefault="00000000">
            <w:pPr>
              <w:pStyle w:val="Jin0"/>
              <w:spacing w:after="0" w:line="240" w:lineRule="auto"/>
              <w:jc w:val="center"/>
            </w:pPr>
            <w:r>
              <w:rPr>
                <w:rStyle w:val="Jin"/>
                <w:b/>
                <w:bCs/>
              </w:rPr>
              <w:t>943065,10</w:t>
            </w:r>
          </w:p>
        </w:tc>
      </w:tr>
      <w:tr w:rsidR="007903EB" w14:paraId="1B93196C" w14:textId="77777777">
        <w:tblPrEx>
          <w:tblCellMar>
            <w:top w:w="0" w:type="dxa"/>
            <w:bottom w:w="0" w:type="dxa"/>
          </w:tblCellMar>
        </w:tblPrEx>
        <w:trPr>
          <w:trHeight w:hRule="exact" w:val="379"/>
          <w:jc w:val="center"/>
        </w:trPr>
        <w:tc>
          <w:tcPr>
            <w:tcW w:w="6130" w:type="dxa"/>
            <w:tcBorders>
              <w:top w:val="single" w:sz="4" w:space="0" w:color="auto"/>
              <w:left w:val="single" w:sz="4" w:space="0" w:color="auto"/>
            </w:tcBorders>
            <w:shd w:val="clear" w:color="auto" w:fill="auto"/>
            <w:vAlign w:val="center"/>
          </w:tcPr>
          <w:p w14:paraId="0F62F4E3" w14:textId="77777777" w:rsidR="007903EB" w:rsidRDefault="00000000">
            <w:pPr>
              <w:pStyle w:val="Jin0"/>
              <w:spacing w:after="0" w:line="240" w:lineRule="auto"/>
            </w:pPr>
            <w:r>
              <w:rPr>
                <w:rStyle w:val="Jin"/>
              </w:rPr>
              <w:t>DPH dle právních předpisů v době podpisu této smlouvy</w:t>
            </w:r>
          </w:p>
        </w:tc>
        <w:tc>
          <w:tcPr>
            <w:tcW w:w="2491" w:type="dxa"/>
            <w:tcBorders>
              <w:top w:val="single" w:sz="4" w:space="0" w:color="auto"/>
              <w:left w:val="single" w:sz="4" w:space="0" w:color="auto"/>
              <w:right w:val="single" w:sz="4" w:space="0" w:color="auto"/>
            </w:tcBorders>
            <w:shd w:val="clear" w:color="auto" w:fill="auto"/>
            <w:vAlign w:val="center"/>
          </w:tcPr>
          <w:p w14:paraId="62596C0D" w14:textId="77777777" w:rsidR="007903EB" w:rsidRDefault="00000000">
            <w:pPr>
              <w:pStyle w:val="Jin0"/>
              <w:spacing w:after="0" w:line="240" w:lineRule="auto"/>
              <w:jc w:val="center"/>
            </w:pPr>
            <w:r>
              <w:rPr>
                <w:rStyle w:val="Jin"/>
                <w:b/>
                <w:bCs/>
              </w:rPr>
              <w:t>198043,67</w:t>
            </w:r>
          </w:p>
        </w:tc>
      </w:tr>
      <w:tr w:rsidR="007903EB" w14:paraId="737F642F" w14:textId="77777777">
        <w:tblPrEx>
          <w:tblCellMar>
            <w:top w:w="0" w:type="dxa"/>
            <w:bottom w:w="0" w:type="dxa"/>
          </w:tblCellMar>
        </w:tblPrEx>
        <w:trPr>
          <w:trHeight w:hRule="exact" w:val="394"/>
          <w:jc w:val="center"/>
        </w:trPr>
        <w:tc>
          <w:tcPr>
            <w:tcW w:w="6130" w:type="dxa"/>
            <w:tcBorders>
              <w:top w:val="single" w:sz="4" w:space="0" w:color="auto"/>
              <w:left w:val="single" w:sz="4" w:space="0" w:color="auto"/>
              <w:bottom w:val="single" w:sz="4" w:space="0" w:color="auto"/>
            </w:tcBorders>
            <w:shd w:val="clear" w:color="auto" w:fill="auto"/>
            <w:vAlign w:val="center"/>
          </w:tcPr>
          <w:p w14:paraId="754310E2" w14:textId="77777777" w:rsidR="007903EB" w:rsidRDefault="00000000">
            <w:pPr>
              <w:pStyle w:val="Jin0"/>
              <w:spacing w:after="0" w:line="240" w:lineRule="auto"/>
            </w:pPr>
            <w:r>
              <w:rPr>
                <w:rStyle w:val="Jin"/>
              </w:rPr>
              <w:t>Celková cena dodávky včetně DPH</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tcPr>
          <w:p w14:paraId="28EBA756" w14:textId="77777777" w:rsidR="007903EB" w:rsidRDefault="00000000">
            <w:pPr>
              <w:pStyle w:val="Jin0"/>
              <w:spacing w:after="0" w:line="240" w:lineRule="auto"/>
              <w:jc w:val="center"/>
            </w:pPr>
            <w:r>
              <w:rPr>
                <w:rStyle w:val="Jin"/>
                <w:b/>
                <w:bCs/>
              </w:rPr>
              <w:t>1141108,77</w:t>
            </w:r>
          </w:p>
        </w:tc>
      </w:tr>
    </w:tbl>
    <w:p w14:paraId="79334606" w14:textId="77777777" w:rsidR="007903EB" w:rsidRDefault="007903EB">
      <w:pPr>
        <w:spacing w:after="239" w:line="1" w:lineRule="exact"/>
      </w:pPr>
    </w:p>
    <w:p w14:paraId="3F124433" w14:textId="77777777" w:rsidR="007903EB" w:rsidRDefault="00000000">
      <w:pPr>
        <w:pStyle w:val="Zkladntext1"/>
        <w:numPr>
          <w:ilvl w:val="0"/>
          <w:numId w:val="4"/>
        </w:numPr>
        <w:tabs>
          <w:tab w:val="left" w:pos="349"/>
        </w:tabs>
        <w:spacing w:after="240"/>
        <w:ind w:left="360" w:hanging="360"/>
        <w:jc w:val="both"/>
      </w:pPr>
      <w:r>
        <w:rPr>
          <w:rStyle w:val="Zkladntext"/>
        </w:rPr>
        <w:t>Cena dodávky je stanovena jako cena pevná a maximálně přípustná, jež nebude za žádných okolností dodavatelem překročena, s výjimkou změny sazby daně z přidané hodnoty.</w:t>
      </w:r>
    </w:p>
    <w:p w14:paraId="3ACF2149" w14:textId="77777777" w:rsidR="007903EB" w:rsidRDefault="00000000">
      <w:pPr>
        <w:pStyle w:val="Zkladntext1"/>
        <w:numPr>
          <w:ilvl w:val="0"/>
          <w:numId w:val="4"/>
        </w:numPr>
        <w:tabs>
          <w:tab w:val="left" w:pos="349"/>
        </w:tabs>
        <w:spacing w:after="480" w:line="276" w:lineRule="auto"/>
        <w:ind w:left="360" w:hanging="360"/>
        <w:jc w:val="both"/>
      </w:pPr>
      <w:r>
        <w:rPr>
          <w:rStyle w:val="Zkladntext"/>
        </w:rPr>
        <w:t>Specifikace smluvní ceny dodávky (stručná rekapitulace rozpočtu ceny dodávky je zahrnuta v nabídce dodavatele - Příloha č. 5.</w:t>
      </w:r>
    </w:p>
    <w:p w14:paraId="373CAF4F" w14:textId="77777777" w:rsidR="007903EB" w:rsidRDefault="00000000">
      <w:pPr>
        <w:pStyle w:val="Zkladntext1"/>
        <w:spacing w:after="0" w:line="276" w:lineRule="auto"/>
        <w:jc w:val="center"/>
      </w:pPr>
      <w:r>
        <w:rPr>
          <w:rStyle w:val="Zkladntext"/>
          <w:b/>
          <w:bCs/>
        </w:rPr>
        <w:t>Článek 5.</w:t>
      </w:r>
    </w:p>
    <w:p w14:paraId="2E1E2F9C" w14:textId="77777777" w:rsidR="007903EB" w:rsidRDefault="00000000">
      <w:pPr>
        <w:pStyle w:val="Nadpis20"/>
        <w:keepNext/>
        <w:keepLines/>
        <w:spacing w:after="240" w:line="276" w:lineRule="auto"/>
      </w:pPr>
      <w:bookmarkStart w:id="7" w:name="bookmark14"/>
      <w:r>
        <w:rPr>
          <w:rStyle w:val="Nadpis2"/>
          <w:b/>
          <w:bCs/>
        </w:rPr>
        <w:t>PODMÍNKY PRO PROVÁDĚNÍ A PŘEVZETÍ DODÁVKY</w:t>
      </w:r>
      <w:bookmarkEnd w:id="7"/>
    </w:p>
    <w:p w14:paraId="57153934" w14:textId="77777777" w:rsidR="007903EB" w:rsidRDefault="00000000">
      <w:pPr>
        <w:pStyle w:val="Zkladntext1"/>
        <w:numPr>
          <w:ilvl w:val="0"/>
          <w:numId w:val="5"/>
        </w:numPr>
        <w:tabs>
          <w:tab w:val="left" w:pos="349"/>
        </w:tabs>
        <w:spacing w:after="0" w:line="276" w:lineRule="auto"/>
        <w:ind w:left="360" w:hanging="360"/>
        <w:jc w:val="both"/>
      </w:pPr>
      <w:r>
        <w:rPr>
          <w:rStyle w:val="Zkladntext"/>
        </w:rPr>
        <w:t>V souladu s ustanovením § 2591 a násl. občanského zákoníku se dohodly zejména následující povinnosti dodavatele a oprávnění objednatele:</w:t>
      </w:r>
    </w:p>
    <w:p w14:paraId="64406F4F" w14:textId="77777777" w:rsidR="007903EB" w:rsidRDefault="00000000">
      <w:pPr>
        <w:pStyle w:val="Zkladntext1"/>
        <w:spacing w:line="276" w:lineRule="auto"/>
        <w:jc w:val="center"/>
      </w:pPr>
      <w:r>
        <w:rPr>
          <w:rStyle w:val="Zkladntext"/>
        </w:rPr>
        <w:t>a) dodavatel potvrzuje, že si plně uvědomuje rozsah dodávky osobního automobilu.</w:t>
      </w:r>
    </w:p>
    <w:p w14:paraId="16FB075D" w14:textId="77777777" w:rsidR="007903EB" w:rsidRDefault="00000000">
      <w:pPr>
        <w:pStyle w:val="Zkladntext1"/>
        <w:numPr>
          <w:ilvl w:val="0"/>
          <w:numId w:val="5"/>
        </w:numPr>
        <w:tabs>
          <w:tab w:val="left" w:pos="349"/>
        </w:tabs>
        <w:spacing w:after="240"/>
        <w:ind w:left="360" w:hanging="360"/>
        <w:jc w:val="both"/>
      </w:pPr>
      <w:r>
        <w:rPr>
          <w:rStyle w:val="Zkladntext"/>
        </w:rPr>
        <w:t>K přejímce osobního automobilu dodavatel vyzve oprávněného zástupce objednatele k přejímacímu řízení, které bude uzavřeno podpisem dodacího listu a Zápisu o odevzdání a převzetí dodávky.</w:t>
      </w:r>
    </w:p>
    <w:p w14:paraId="37563036" w14:textId="77777777" w:rsidR="007903EB" w:rsidRDefault="00000000">
      <w:pPr>
        <w:pStyle w:val="Zkladntext1"/>
        <w:numPr>
          <w:ilvl w:val="0"/>
          <w:numId w:val="5"/>
        </w:numPr>
        <w:tabs>
          <w:tab w:val="left" w:pos="349"/>
        </w:tabs>
        <w:spacing w:after="240"/>
        <w:ind w:left="360" w:hanging="360"/>
        <w:jc w:val="both"/>
      </w:pPr>
      <w:r>
        <w:rPr>
          <w:rStyle w:val="Zkladntext"/>
        </w:rPr>
        <w:t>Za řádně provedené se považuje dodávka, která je dokončena a předána. Dodávka je dokončena, je-li předvedena její způsobilost sloužit svému účelu. Objednatel je povinen dokončenou dodávku převzít a to s výhradami nebo bez výhrad. Výhrady týkající se zjevných vad dodávky musí objednatel uvést při předání. Pokud tak neučiní, může dodavatel namítat, že právo nebylo uplatněné včas.</w:t>
      </w:r>
    </w:p>
    <w:p w14:paraId="00844EA7" w14:textId="77777777" w:rsidR="007903EB" w:rsidRDefault="00000000">
      <w:pPr>
        <w:pStyle w:val="Zkladntext1"/>
        <w:numPr>
          <w:ilvl w:val="0"/>
          <w:numId w:val="5"/>
        </w:numPr>
        <w:tabs>
          <w:tab w:val="left" w:pos="349"/>
        </w:tabs>
        <w:spacing w:after="240" w:line="276" w:lineRule="auto"/>
        <w:ind w:left="360" w:hanging="360"/>
        <w:jc w:val="both"/>
      </w:pPr>
      <w:r>
        <w:rPr>
          <w:rStyle w:val="Zkladntext"/>
        </w:rPr>
        <w:t>Objednatel nemá právo odmítnout převzetí pro ojedinělé drobné vady, které samy o sobě ani ve spojení s jinými nebrání užívání funkčně nebo esteticky, ani její užívání podstatným způsobem neomezují. Dle platné legislativy není možné odmítnout převzít dodávku pro existenci drobných vad. V takovém případě se tyto vady uvedou do předávacího protokolu.</w:t>
      </w:r>
    </w:p>
    <w:p w14:paraId="6ECA17A2" w14:textId="77777777" w:rsidR="007903EB" w:rsidRDefault="00000000">
      <w:pPr>
        <w:pStyle w:val="Zkladntext1"/>
        <w:numPr>
          <w:ilvl w:val="0"/>
          <w:numId w:val="5"/>
        </w:numPr>
        <w:tabs>
          <w:tab w:val="left" w:pos="356"/>
        </w:tabs>
        <w:ind w:left="380" w:hanging="380"/>
        <w:jc w:val="both"/>
      </w:pPr>
      <w:r>
        <w:rPr>
          <w:rStyle w:val="Zkladntext"/>
        </w:rPr>
        <w:t>Vady skryté je objednatel povinen oznámit bez zbytečného odkladu poté, co je mohl při dostatečné péči zjistit, nejpozději však do 5 let od převzetí dodávky.</w:t>
      </w:r>
    </w:p>
    <w:p w14:paraId="59F9A02E" w14:textId="77777777" w:rsidR="007903EB" w:rsidRDefault="00000000">
      <w:pPr>
        <w:pStyle w:val="Zkladntext1"/>
        <w:numPr>
          <w:ilvl w:val="0"/>
          <w:numId w:val="5"/>
        </w:numPr>
        <w:tabs>
          <w:tab w:val="left" w:pos="356"/>
        </w:tabs>
        <w:spacing w:line="276" w:lineRule="auto"/>
        <w:ind w:left="380" w:hanging="380"/>
        <w:jc w:val="both"/>
      </w:pPr>
      <w:r>
        <w:rPr>
          <w:rStyle w:val="Zkladntext"/>
        </w:rPr>
        <w:t>Všechny vady uvedené v předávacím protokolu je dodavatel povinen odstranit bezplatně ve sjednané lhůtě.</w:t>
      </w:r>
    </w:p>
    <w:p w14:paraId="5882F387" w14:textId="77777777" w:rsidR="007903EB" w:rsidRDefault="00000000">
      <w:pPr>
        <w:pStyle w:val="Zkladntext1"/>
        <w:numPr>
          <w:ilvl w:val="0"/>
          <w:numId w:val="5"/>
        </w:numPr>
        <w:tabs>
          <w:tab w:val="left" w:pos="356"/>
        </w:tabs>
        <w:spacing w:after="480" w:line="276" w:lineRule="auto"/>
        <w:ind w:left="380" w:hanging="380"/>
        <w:jc w:val="both"/>
      </w:pPr>
      <w:r>
        <w:rPr>
          <w:rStyle w:val="Zkladntext"/>
        </w:rPr>
        <w:t>Dodávka bude splněna protokolárním předáním a převzetím, případně odstraněním poslední drobné vady uvedené v předávacím protokole.</w:t>
      </w:r>
    </w:p>
    <w:p w14:paraId="32C574AF" w14:textId="77777777" w:rsidR="007903EB" w:rsidRDefault="00000000">
      <w:pPr>
        <w:pStyle w:val="Zkladntext1"/>
        <w:spacing w:after="0"/>
        <w:jc w:val="center"/>
      </w:pPr>
      <w:r>
        <w:rPr>
          <w:rStyle w:val="Zkladntext"/>
          <w:b/>
          <w:bCs/>
        </w:rPr>
        <w:lastRenderedPageBreak/>
        <w:t>Článek 6.</w:t>
      </w:r>
    </w:p>
    <w:p w14:paraId="5C1A33F7" w14:textId="77777777" w:rsidR="007903EB" w:rsidRDefault="00000000">
      <w:pPr>
        <w:pStyle w:val="Nadpis20"/>
        <w:keepNext/>
        <w:keepLines/>
        <w:spacing w:after="220" w:line="271" w:lineRule="auto"/>
      </w:pPr>
      <w:bookmarkStart w:id="8" w:name="bookmark16"/>
      <w:r>
        <w:rPr>
          <w:rStyle w:val="Nadpis2"/>
          <w:b/>
          <w:bCs/>
        </w:rPr>
        <w:t>PLATEBNÍ PODMÍNKY</w:t>
      </w:r>
      <w:bookmarkEnd w:id="8"/>
    </w:p>
    <w:p w14:paraId="74487520" w14:textId="77777777" w:rsidR="007903EB" w:rsidRDefault="00000000">
      <w:pPr>
        <w:pStyle w:val="Zkladntext1"/>
        <w:numPr>
          <w:ilvl w:val="0"/>
          <w:numId w:val="6"/>
        </w:numPr>
        <w:tabs>
          <w:tab w:val="left" w:pos="356"/>
        </w:tabs>
        <w:spacing w:after="220"/>
        <w:ind w:left="380" w:hanging="380"/>
        <w:jc w:val="both"/>
      </w:pPr>
      <w:r>
        <w:rPr>
          <w:rStyle w:val="Zkladntext"/>
        </w:rPr>
        <w:t>Platební podmínky budou zpracovány takto: za prodlení za úhradu faktur je účastník oprávněn požadovat po zadavateli zákonný úrok z prodlení ve výši stanovené dle právního předpisu (občanského zákoníku a příslušného nařízení vlády). Za prodlení s úhradou faktur není zadavatel povinen hradit kromě úroku z prodlení podle předchozí věty jakoukoliv smluvní pokutu ani jinou smluvní sankci. Při prodlení s úhradou faktur není dodavatel oprávněn pozastavit další dílčí plnění až do zaplacení a prodlení s úhradou faktur nebude považováno za podstatné porušení smlouvy.</w:t>
      </w:r>
    </w:p>
    <w:p w14:paraId="1AC24A22" w14:textId="77777777" w:rsidR="007903EB" w:rsidRDefault="00000000">
      <w:pPr>
        <w:pStyle w:val="Zkladntext1"/>
        <w:numPr>
          <w:ilvl w:val="0"/>
          <w:numId w:val="6"/>
        </w:numPr>
        <w:tabs>
          <w:tab w:val="left" w:pos="356"/>
        </w:tabs>
        <w:spacing w:after="220" w:line="276" w:lineRule="auto"/>
        <w:ind w:left="380" w:hanging="380"/>
        <w:jc w:val="both"/>
      </w:pPr>
      <w:r>
        <w:rPr>
          <w:rStyle w:val="Zkladntext"/>
        </w:rPr>
        <w:t xml:space="preserve">Konečné vyúčtování provede dodavatel formou daňového dokladu, do 15 dnů po podpisu Zápisu o odevzdání a převzetí osobního automobilu. Faktura má maximální splatnost </w:t>
      </w:r>
      <w:r>
        <w:rPr>
          <w:rStyle w:val="Zkladntext"/>
          <w:b/>
          <w:bCs/>
        </w:rPr>
        <w:t>30 dnů od jejího doručení. Zálohy se neposkytují.</w:t>
      </w:r>
    </w:p>
    <w:p w14:paraId="2AA2B76B" w14:textId="77777777" w:rsidR="007903EB" w:rsidRDefault="00000000">
      <w:pPr>
        <w:pStyle w:val="Zkladntext1"/>
        <w:numPr>
          <w:ilvl w:val="0"/>
          <w:numId w:val="6"/>
        </w:numPr>
        <w:tabs>
          <w:tab w:val="left" w:pos="356"/>
        </w:tabs>
        <w:spacing w:after="220"/>
        <w:ind w:left="380" w:hanging="380"/>
        <w:jc w:val="both"/>
      </w:pPr>
      <w:r>
        <w:rPr>
          <w:rStyle w:val="Zkladntext"/>
        </w:rPr>
        <w:t>Daňový doklad musí obsahovat veškeré náležitosti v souladu se zákonem č. 235/2004 Sb., o dani z přidané hodnoty, v platném znění. Daňový doklad, který nebude v souladu s výše uvedeným zákonem, popř. bude obsahovat jakékoli jiné chyby či nedostatky, vrátí zadavatel dodavateli, přičemž nová lhůta splatnosti běží od doručení nového daňového dokladu zadavateli. Daňový doklad dále musí obsahovat identifikační číslo veřejné zakázky zadavatele, ke které se vztahuje (N006/24/V00019024). Rovněž tento bod je účastník povinen zapracovat do návrhu kupní smlouvy.</w:t>
      </w:r>
    </w:p>
    <w:p w14:paraId="3F635F22" w14:textId="77777777" w:rsidR="007903EB" w:rsidRDefault="00000000">
      <w:pPr>
        <w:pStyle w:val="Zkladntext1"/>
        <w:numPr>
          <w:ilvl w:val="0"/>
          <w:numId w:val="6"/>
        </w:numPr>
        <w:tabs>
          <w:tab w:val="left" w:pos="356"/>
        </w:tabs>
        <w:spacing w:after="480"/>
        <w:ind w:left="380" w:hanging="380"/>
        <w:jc w:val="both"/>
      </w:pPr>
      <w:r>
        <w:rPr>
          <w:rStyle w:val="Zkladntext"/>
        </w:rPr>
        <w:t>V případě, že objednavatel bude v prodlení se splatností daňového dokladu, je povinen uhradit dodavateli smluvní pokutu ve výši 0,02% z celkové ceny dodávky včetně DPH za každý den prodlení.</w:t>
      </w:r>
    </w:p>
    <w:p w14:paraId="62457E54" w14:textId="77777777" w:rsidR="007903EB" w:rsidRDefault="00000000">
      <w:pPr>
        <w:pStyle w:val="Zkladntext1"/>
        <w:spacing w:after="0"/>
        <w:jc w:val="center"/>
      </w:pPr>
      <w:r>
        <w:rPr>
          <w:rStyle w:val="Zkladntext"/>
          <w:b/>
          <w:bCs/>
        </w:rPr>
        <w:t>Článek 8.</w:t>
      </w:r>
    </w:p>
    <w:p w14:paraId="1F0C5AB2" w14:textId="77777777" w:rsidR="007903EB" w:rsidRDefault="00000000">
      <w:pPr>
        <w:pStyle w:val="Nadpis20"/>
        <w:keepNext/>
        <w:keepLines/>
        <w:spacing w:after="0"/>
      </w:pPr>
      <w:bookmarkStart w:id="9" w:name="bookmark18"/>
      <w:r>
        <w:rPr>
          <w:rStyle w:val="Nadpis2"/>
          <w:b/>
          <w:bCs/>
        </w:rPr>
        <w:t>ZÁRUKA ZA DODÁVKU, SERVISNÍ PODMÍNKY</w:t>
      </w:r>
      <w:bookmarkEnd w:id="9"/>
    </w:p>
    <w:p w14:paraId="38003402" w14:textId="77777777" w:rsidR="007903EB" w:rsidRDefault="00000000">
      <w:pPr>
        <w:pStyle w:val="Zkladntext1"/>
        <w:numPr>
          <w:ilvl w:val="0"/>
          <w:numId w:val="7"/>
        </w:numPr>
        <w:tabs>
          <w:tab w:val="left" w:pos="356"/>
        </w:tabs>
        <w:spacing w:after="220"/>
        <w:ind w:left="380" w:hanging="380"/>
        <w:jc w:val="both"/>
      </w:pPr>
      <w:r>
        <w:rPr>
          <w:rStyle w:val="Zkladntext"/>
        </w:rPr>
        <w:t>Dodavatel odpovídá za to, že dodávka bude mít jako celek od předání po celou záruční dobu vlastnosti dohodnuté smlouvou a které se na dílo vztahují.</w:t>
      </w:r>
    </w:p>
    <w:p w14:paraId="7AD8064B" w14:textId="77777777" w:rsidR="007903EB" w:rsidRDefault="00000000">
      <w:pPr>
        <w:pStyle w:val="Zkladntext1"/>
        <w:numPr>
          <w:ilvl w:val="0"/>
          <w:numId w:val="7"/>
        </w:numPr>
        <w:tabs>
          <w:tab w:val="left" w:pos="356"/>
        </w:tabs>
        <w:spacing w:after="360"/>
        <w:jc w:val="both"/>
      </w:pPr>
      <w:r>
        <w:rPr>
          <w:rStyle w:val="Zkladntext"/>
        </w:rPr>
        <w:t>Objednatel požaduje záruční dobu 60 měsíců.</w:t>
      </w:r>
    </w:p>
    <w:p w14:paraId="4C7655B8" w14:textId="77777777" w:rsidR="007903EB" w:rsidRDefault="00000000">
      <w:pPr>
        <w:pStyle w:val="Zkladntext1"/>
        <w:numPr>
          <w:ilvl w:val="0"/>
          <w:numId w:val="7"/>
        </w:numPr>
        <w:tabs>
          <w:tab w:val="left" w:pos="356"/>
        </w:tabs>
        <w:spacing w:after="220"/>
        <w:ind w:left="380" w:hanging="380"/>
        <w:jc w:val="both"/>
      </w:pPr>
      <w:r>
        <w:rPr>
          <w:rStyle w:val="Zkladntext"/>
        </w:rPr>
        <w:t>Dodavatel odpovídá za to, že dodávka osobního automobilu je kompletní a bez právních vad a že dodané množství se shoduje s údaji v průvodních dokladech a fakturách.</w:t>
      </w:r>
      <w:r>
        <w:br w:type="page"/>
      </w:r>
    </w:p>
    <w:p w14:paraId="72C35207" w14:textId="77777777" w:rsidR="007903EB" w:rsidRDefault="00000000">
      <w:pPr>
        <w:pStyle w:val="Zkladntext1"/>
        <w:spacing w:after="0"/>
        <w:jc w:val="center"/>
      </w:pPr>
      <w:r>
        <w:rPr>
          <w:rStyle w:val="Zkladntext"/>
          <w:b/>
          <w:bCs/>
        </w:rPr>
        <w:lastRenderedPageBreak/>
        <w:t>Článek 9.</w:t>
      </w:r>
    </w:p>
    <w:p w14:paraId="4A2EBCBF" w14:textId="77777777" w:rsidR="007903EB" w:rsidRDefault="00000000">
      <w:pPr>
        <w:pStyle w:val="Nadpis20"/>
        <w:keepNext/>
        <w:keepLines/>
        <w:spacing w:after="0"/>
      </w:pPr>
      <w:bookmarkStart w:id="10" w:name="bookmark20"/>
      <w:r>
        <w:rPr>
          <w:rStyle w:val="Nadpis2"/>
          <w:b/>
          <w:bCs/>
        </w:rPr>
        <w:t>ZÁVĚREČNÁ USTANOVENÍ</w:t>
      </w:r>
      <w:bookmarkEnd w:id="10"/>
    </w:p>
    <w:p w14:paraId="7E0BBBEE" w14:textId="77777777" w:rsidR="007903EB" w:rsidRDefault="00000000">
      <w:pPr>
        <w:pStyle w:val="Zkladntext1"/>
        <w:numPr>
          <w:ilvl w:val="0"/>
          <w:numId w:val="8"/>
        </w:numPr>
        <w:tabs>
          <w:tab w:val="left" w:pos="350"/>
        </w:tabs>
        <w:spacing w:after="220" w:line="276" w:lineRule="auto"/>
        <w:ind w:left="360" w:hanging="360"/>
        <w:jc w:val="both"/>
      </w:pPr>
      <w:r>
        <w:rPr>
          <w:rStyle w:val="Zkladntext"/>
        </w:rPr>
        <w:t>Smluvní strany jsou s textem této smlouvy dokonale obeznámeny a prohlašují, že plně odpovídá jejich vůli.</w:t>
      </w:r>
    </w:p>
    <w:p w14:paraId="2335A3C8" w14:textId="77777777" w:rsidR="007903EB" w:rsidRDefault="00000000">
      <w:pPr>
        <w:pStyle w:val="Zkladntext1"/>
        <w:numPr>
          <w:ilvl w:val="0"/>
          <w:numId w:val="8"/>
        </w:numPr>
        <w:tabs>
          <w:tab w:val="left" w:pos="350"/>
        </w:tabs>
        <w:spacing w:after="220" w:line="276" w:lineRule="auto"/>
        <w:ind w:left="360" w:hanging="360"/>
        <w:jc w:val="both"/>
      </w:pPr>
      <w:r>
        <w:rPr>
          <w:rStyle w:val="Zkladntext"/>
        </w:rPr>
        <w:t>Prohlašují dále, že uzavírají tuto smlouvy svobodně a vážně, nikoliv v tísni, omylu či za nápadně nevýhodných podmínek, což svými podpisy rovněž potvrzují.</w:t>
      </w:r>
    </w:p>
    <w:p w14:paraId="5BD8EF1F" w14:textId="77777777" w:rsidR="007903EB" w:rsidRDefault="00000000">
      <w:pPr>
        <w:pStyle w:val="Zkladntext1"/>
        <w:numPr>
          <w:ilvl w:val="0"/>
          <w:numId w:val="8"/>
        </w:numPr>
        <w:tabs>
          <w:tab w:val="left" w:pos="350"/>
        </w:tabs>
        <w:spacing w:after="220" w:line="276" w:lineRule="auto"/>
        <w:ind w:left="360" w:hanging="360"/>
        <w:jc w:val="both"/>
      </w:pPr>
      <w:r>
        <w:rPr>
          <w:rStyle w:val="Zkladntext"/>
        </w:rPr>
        <w:t>Veškeré změny této smlouvy jsou možné pouze po vzájemné dohodě smluvních stran. Veškeré změny a dodatky k této smlouvě budou provedeny v písemné formě, označeny pořadovými čísly a podepsány osobami oprávněnými jednat ve věcech této smlouvy.</w:t>
      </w:r>
    </w:p>
    <w:p w14:paraId="2C5A4C55" w14:textId="77777777" w:rsidR="007903EB" w:rsidRDefault="00000000">
      <w:pPr>
        <w:pStyle w:val="Zkladntext1"/>
        <w:numPr>
          <w:ilvl w:val="0"/>
          <w:numId w:val="8"/>
        </w:numPr>
        <w:tabs>
          <w:tab w:val="left" w:pos="350"/>
        </w:tabs>
        <w:spacing w:after="220" w:line="240" w:lineRule="auto"/>
        <w:ind w:left="360" w:hanging="360"/>
        <w:jc w:val="both"/>
      </w:pPr>
      <w:r>
        <w:rPr>
          <w:rStyle w:val="Zkladntext"/>
        </w:rPr>
        <w:t>Platnost a účinnost této smlouvy, resp. jejich dodatků, nastává oboustranným podpisem statutárními zástupci smluvních stran.</w:t>
      </w:r>
    </w:p>
    <w:p w14:paraId="1F2F2B14" w14:textId="77777777" w:rsidR="007903EB" w:rsidRDefault="00000000">
      <w:pPr>
        <w:pStyle w:val="Zkladntext1"/>
        <w:numPr>
          <w:ilvl w:val="0"/>
          <w:numId w:val="8"/>
        </w:numPr>
        <w:tabs>
          <w:tab w:val="left" w:pos="350"/>
        </w:tabs>
        <w:spacing w:after="220" w:line="240" w:lineRule="auto"/>
        <w:ind w:left="360" w:hanging="360"/>
        <w:jc w:val="both"/>
      </w:pPr>
      <w:r>
        <w:rPr>
          <w:rStyle w:val="Zkladntext"/>
        </w:rPr>
        <w:t>Objednatel a dodavatel se zavazují, že obchodní informace, které jim byly svěřeny smluvním partnerem, nezpřístupní třetím osobám bez písemného souhlasu druhého smluvního partnera, považují je za důvěrné a nezneužijí těchto informací pro jiné účely než pro plnění předmětu této smlouvy.</w:t>
      </w:r>
    </w:p>
    <w:p w14:paraId="6F945BB4" w14:textId="77777777" w:rsidR="007903EB" w:rsidRDefault="00000000">
      <w:pPr>
        <w:pStyle w:val="Zkladntext1"/>
        <w:numPr>
          <w:ilvl w:val="0"/>
          <w:numId w:val="8"/>
        </w:numPr>
        <w:tabs>
          <w:tab w:val="left" w:pos="350"/>
        </w:tabs>
        <w:spacing w:after="220"/>
        <w:ind w:left="360" w:hanging="360"/>
        <w:jc w:val="both"/>
      </w:pPr>
      <w:r>
        <w:rPr>
          <w:rStyle w:val="Zkladntext"/>
        </w:rPr>
        <w:t>Tato smlouva je vyhotovena ve dvou shodných výtiscích s platností originálu, oboustranně podepsaných oprávněnými zástupci smluvních stran. Objednatel přebírá jedno a dodavatel jedno takto podepsaná vyhotovení.</w:t>
      </w:r>
    </w:p>
    <w:p w14:paraId="298F067F" w14:textId="77777777" w:rsidR="007903EB" w:rsidRDefault="00000000">
      <w:pPr>
        <w:pStyle w:val="Zkladntext1"/>
        <w:numPr>
          <w:ilvl w:val="0"/>
          <w:numId w:val="8"/>
        </w:numPr>
        <w:tabs>
          <w:tab w:val="left" w:pos="350"/>
        </w:tabs>
        <w:spacing w:after="220"/>
        <w:ind w:left="360" w:hanging="360"/>
        <w:jc w:val="both"/>
      </w:pPr>
      <w:r>
        <w:rPr>
          <w:rStyle w:val="Zkladntext"/>
        </w:rPr>
        <w:t>V ostatním, ve smlouvě neuvedeném, se na tuto smlouvu vztahují ustanovení Občanského zákoníku v platném znění.</w:t>
      </w:r>
    </w:p>
    <w:p w14:paraId="6EF90496" w14:textId="77777777" w:rsidR="007903EB" w:rsidRDefault="00000000">
      <w:pPr>
        <w:pStyle w:val="Zkladntext1"/>
        <w:numPr>
          <w:ilvl w:val="0"/>
          <w:numId w:val="8"/>
        </w:numPr>
        <w:tabs>
          <w:tab w:val="left" w:pos="350"/>
        </w:tabs>
        <w:spacing w:after="0"/>
        <w:jc w:val="both"/>
      </w:pPr>
      <w:r>
        <w:rPr>
          <w:rStyle w:val="Zkladntext"/>
          <w:u w:val="single"/>
        </w:rPr>
        <w:t>Nedílnou součást této smlouvy tvoří:</w:t>
      </w:r>
    </w:p>
    <w:p w14:paraId="6231CF26" w14:textId="77777777" w:rsidR="007903EB" w:rsidRDefault="00000000">
      <w:pPr>
        <w:pStyle w:val="Zkladntext1"/>
        <w:spacing w:after="1060"/>
        <w:ind w:firstLine="360"/>
        <w:jc w:val="both"/>
      </w:pPr>
      <w:r>
        <w:rPr>
          <w:rStyle w:val="Zkladntext"/>
          <w:i/>
          <w:iCs/>
        </w:rPr>
        <w:t>Příloha č. 5: Cenová nabídka dodavatele - kalkulace</w:t>
      </w:r>
    </w:p>
    <w:p w14:paraId="2BE4CAEF" w14:textId="77777777" w:rsidR="007903EB" w:rsidRDefault="00000000">
      <w:pPr>
        <w:pStyle w:val="Zkladntext1"/>
        <w:spacing w:after="2140" w:line="240" w:lineRule="auto"/>
        <w:ind w:firstLine="360"/>
        <w:jc w:val="both"/>
      </w:pPr>
      <w:r>
        <w:rPr>
          <w:noProof/>
        </w:rPr>
        <mc:AlternateContent>
          <mc:Choice Requires="wps">
            <w:drawing>
              <wp:anchor distT="0" distB="0" distL="114300" distR="114300" simplePos="0" relativeHeight="125829378" behindDoc="0" locked="0" layoutInCell="1" allowOverlap="1" wp14:anchorId="5CF265EC" wp14:editId="5A3CF4B6">
                <wp:simplePos x="0" y="0"/>
                <wp:positionH relativeFrom="page">
                  <wp:posOffset>4303395</wp:posOffset>
                </wp:positionH>
                <wp:positionV relativeFrom="paragraph">
                  <wp:posOffset>12700</wp:posOffset>
                </wp:positionV>
                <wp:extent cx="655320" cy="18288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655320" cy="182880"/>
                        </a:xfrm>
                        <a:prstGeom prst="rect">
                          <a:avLst/>
                        </a:prstGeom>
                        <a:noFill/>
                      </wps:spPr>
                      <wps:txbx>
                        <w:txbxContent>
                          <w:p w14:paraId="59E005BD" w14:textId="77777777" w:rsidR="007903EB" w:rsidRDefault="00000000">
                            <w:pPr>
                              <w:pStyle w:val="Zkladntext1"/>
                              <w:spacing w:after="0" w:line="240" w:lineRule="auto"/>
                            </w:pPr>
                            <w:r>
                              <w:rPr>
                                <w:rStyle w:val="Zkladntext"/>
                              </w:rPr>
                              <w:t>V Lounech:</w:t>
                            </w:r>
                          </w:p>
                        </w:txbxContent>
                      </wps:txbx>
                      <wps:bodyPr wrap="none" lIns="0" tIns="0" rIns="0" bIns="0"/>
                    </wps:wsp>
                  </a:graphicData>
                </a:graphic>
              </wp:anchor>
            </w:drawing>
          </mc:Choice>
          <mc:Fallback>
            <w:pict>
              <v:shapetype w14:anchorId="5CF265EC" id="_x0000_t202" coordsize="21600,21600" o:spt="202" path="m,l,21600r21600,l21600,xe">
                <v:stroke joinstyle="miter"/>
                <v:path gradientshapeok="t" o:connecttype="rect"/>
              </v:shapetype>
              <v:shape id="Shape 1" o:spid="_x0000_s1026" type="#_x0000_t202" style="position:absolute;left:0;text-align:left;margin-left:338.85pt;margin-top:1pt;width:51.6pt;height:14.4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" filled="f" stroked="f">
                <v:textbox inset="0,0,0,0">
                  <w:txbxContent>
                    <w:p w14:paraId="59E005BD" w14:textId="77777777" w:rsidR="007903EB" w:rsidRDefault="00000000">
                      <w:pPr>
                        <w:pStyle w:val="Zkladntext1"/>
                        <w:spacing w:after="0" w:line="240" w:lineRule="auto"/>
                      </w:pPr>
                      <w:r>
                        <w:rPr>
                          <w:rStyle w:val="Zkladntext"/>
                        </w:rPr>
                        <w:t>V Lounech:</w:t>
                      </w:r>
                    </w:p>
                  </w:txbxContent>
                </v:textbox>
                <w10:wrap type="square" side="left" anchorx="page"/>
              </v:shape>
            </w:pict>
          </mc:Fallback>
        </mc:AlternateContent>
      </w:r>
      <w:r>
        <w:rPr>
          <w:rStyle w:val="Zkladntext"/>
        </w:rPr>
        <w:t>Dne: 16.9.2024</w:t>
      </w:r>
    </w:p>
    <w:p w14:paraId="0349FC68" w14:textId="77777777" w:rsidR="007903EB" w:rsidRDefault="00000000">
      <w:pPr>
        <w:pStyle w:val="Zkladntext1"/>
        <w:spacing w:after="0" w:line="240" w:lineRule="auto"/>
        <w:ind w:left="2580"/>
      </w:pPr>
      <w:r>
        <w:rPr>
          <w:noProof/>
        </w:rPr>
        <mc:AlternateContent>
          <mc:Choice Requires="wps">
            <w:drawing>
              <wp:anchor distT="0" distB="0" distL="114300" distR="114300" simplePos="0" relativeHeight="125829380" behindDoc="0" locked="0" layoutInCell="1" allowOverlap="1" wp14:anchorId="6F84CC1F" wp14:editId="5497B194">
                <wp:simplePos x="0" y="0"/>
                <wp:positionH relativeFrom="page">
                  <wp:posOffset>1157605</wp:posOffset>
                </wp:positionH>
                <wp:positionV relativeFrom="paragraph">
                  <wp:posOffset>12700</wp:posOffset>
                </wp:positionV>
                <wp:extent cx="1398905" cy="52451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398905" cy="524510"/>
                        </a:xfrm>
                        <a:prstGeom prst="rect">
                          <a:avLst/>
                        </a:prstGeom>
                        <a:noFill/>
                      </wps:spPr>
                      <wps:txbx>
                        <w:txbxContent>
                          <w:p w14:paraId="49B5752F" w14:textId="77777777" w:rsidR="007903EB" w:rsidRDefault="00000000">
                            <w:pPr>
                              <w:pStyle w:val="Zkladntext1"/>
                              <w:spacing w:after="0" w:line="240" w:lineRule="auto"/>
                            </w:pPr>
                            <w:r>
                              <w:rPr>
                                <w:rStyle w:val="Zkladntext"/>
                              </w:rPr>
                              <w:t>za objednatele</w:t>
                            </w:r>
                          </w:p>
                          <w:p w14:paraId="515D5E6C" w14:textId="77777777" w:rsidR="007903EB" w:rsidRDefault="00000000">
                            <w:pPr>
                              <w:pStyle w:val="Zkladntext1"/>
                              <w:spacing w:after="0" w:line="240" w:lineRule="auto"/>
                            </w:pPr>
                            <w:r>
                              <w:rPr>
                                <w:rStyle w:val="Zkladntext"/>
                                <w:b/>
                                <w:bCs/>
                              </w:rPr>
                              <w:t xml:space="preserve">MUDr. Štěpán Votoček </w:t>
                            </w:r>
                            <w:r>
                              <w:rPr>
                                <w:rStyle w:val="Zkladntext"/>
                              </w:rPr>
                              <w:t>ředitel Nemocnice Slaný</w:t>
                            </w:r>
                          </w:p>
                        </w:txbxContent>
                      </wps:txbx>
                      <wps:bodyPr lIns="0" tIns="0" rIns="0" bIns="0"/>
                    </wps:wsp>
                  </a:graphicData>
                </a:graphic>
              </wp:anchor>
            </w:drawing>
          </mc:Choice>
          <mc:Fallback>
            <w:pict>
              <v:shape w14:anchorId="6F84CC1F" id="Shape 3" o:spid="_x0000_s1027" type="#_x0000_t202" style="position:absolute;left:0;text-align:left;margin-left:91.15pt;margin-top:1pt;width:110.15pt;height:41.3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" filled="f" stroked="f">
                <v:textbox inset="0,0,0,0">
                  <w:txbxContent>
                    <w:p w14:paraId="49B5752F" w14:textId="77777777" w:rsidR="007903EB" w:rsidRDefault="00000000">
                      <w:pPr>
                        <w:pStyle w:val="Zkladntext1"/>
                        <w:spacing w:after="0" w:line="240" w:lineRule="auto"/>
                      </w:pPr>
                      <w:r>
                        <w:rPr>
                          <w:rStyle w:val="Zkladntext"/>
                        </w:rPr>
                        <w:t>za objednatele</w:t>
                      </w:r>
                    </w:p>
                    <w:p w14:paraId="515D5E6C" w14:textId="77777777" w:rsidR="007903EB" w:rsidRDefault="00000000">
                      <w:pPr>
                        <w:pStyle w:val="Zkladntext1"/>
                        <w:spacing w:after="0" w:line="240" w:lineRule="auto"/>
                      </w:pPr>
                      <w:r>
                        <w:rPr>
                          <w:rStyle w:val="Zkladntext"/>
                          <w:b/>
                          <w:bCs/>
                        </w:rPr>
                        <w:t xml:space="preserve">MUDr. Štěpán Votoček </w:t>
                      </w:r>
                      <w:r>
                        <w:rPr>
                          <w:rStyle w:val="Zkladntext"/>
                        </w:rPr>
                        <w:t>ředitel Nemocnice Slaný</w:t>
                      </w:r>
                    </w:p>
                  </w:txbxContent>
                </v:textbox>
                <w10:wrap type="square" side="right" anchorx="page"/>
              </v:shape>
            </w:pict>
          </mc:Fallback>
        </mc:AlternateContent>
      </w:r>
      <w:r>
        <w:rPr>
          <w:rStyle w:val="Zkladntext"/>
        </w:rPr>
        <w:t>za zhotovitele</w:t>
      </w:r>
    </w:p>
    <w:p w14:paraId="4864E37E" w14:textId="77777777" w:rsidR="007903EB" w:rsidRDefault="00000000">
      <w:pPr>
        <w:pStyle w:val="Zkladntext1"/>
        <w:spacing w:after="0" w:line="240" w:lineRule="auto"/>
        <w:ind w:left="2580"/>
      </w:pPr>
      <w:r>
        <w:rPr>
          <w:rStyle w:val="Zkladntext"/>
          <w:b/>
          <w:bCs/>
        </w:rPr>
        <w:t>Evžen Myslivec</w:t>
      </w:r>
    </w:p>
    <w:p w14:paraId="61783E14" w14:textId="77777777" w:rsidR="007903EB" w:rsidRDefault="00000000">
      <w:pPr>
        <w:pStyle w:val="Zkladntext1"/>
        <w:spacing w:after="220" w:line="240" w:lineRule="auto"/>
        <w:ind w:left="2580"/>
      </w:pPr>
      <w:r>
        <w:rPr>
          <w:rStyle w:val="Zkladntext"/>
        </w:rPr>
        <w:t>jednatel AUTO – Evžen Myslivec s.r.o.</w:t>
      </w:r>
    </w:p>
    <w:sectPr w:rsidR="007903EB">
      <w:footerReference w:type="default" r:id="rId8"/>
      <w:pgSz w:w="11900" w:h="16840"/>
      <w:pgMar w:top="1340" w:right="1383" w:bottom="1294" w:left="1463" w:header="912"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E40C7" w14:textId="77777777" w:rsidR="001A5A66" w:rsidRDefault="001A5A66">
      <w:r>
        <w:separator/>
      </w:r>
    </w:p>
  </w:endnote>
  <w:endnote w:type="continuationSeparator" w:id="0">
    <w:p w14:paraId="7F2DED77" w14:textId="77777777" w:rsidR="001A5A66" w:rsidRDefault="001A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A1AB6" w14:textId="77777777" w:rsidR="007903EB" w:rsidRDefault="00000000">
    <w:pPr>
      <w:spacing w:line="1" w:lineRule="exact"/>
    </w:pPr>
    <w:r>
      <w:rPr>
        <w:noProof/>
      </w:rPr>
      <mc:AlternateContent>
        <mc:Choice Requires="wps">
          <w:drawing>
            <wp:anchor distT="0" distB="0" distL="0" distR="0" simplePos="0" relativeHeight="62914690" behindDoc="1" locked="0" layoutInCell="1" allowOverlap="1" wp14:anchorId="1EE4A6B7" wp14:editId="44DC7E24">
              <wp:simplePos x="0" y="0"/>
              <wp:positionH relativeFrom="page">
                <wp:posOffset>3898265</wp:posOffset>
              </wp:positionH>
              <wp:positionV relativeFrom="page">
                <wp:posOffset>10031730</wp:posOffset>
              </wp:positionV>
              <wp:extent cx="207010" cy="88265"/>
              <wp:effectExtent l="0" t="0" r="0" b="0"/>
              <wp:wrapNone/>
              <wp:docPr id="5" name="Shape 5"/>
              <wp:cNvGraphicFramePr/>
              <a:graphic xmlns:a="http://schemas.openxmlformats.org/drawingml/2006/main">
                <a:graphicData uri="http://schemas.microsoft.com/office/word/2010/wordprocessingShape">
                  <wps:wsp>
                    <wps:cNvSpPr txBox="1"/>
                    <wps:spPr>
                      <a:xfrm>
                        <a:off x="0" y="0"/>
                        <a:ext cx="207010" cy="88265"/>
                      </a:xfrm>
                      <a:prstGeom prst="rect">
                        <a:avLst/>
                      </a:prstGeom>
                      <a:noFill/>
                    </wps:spPr>
                    <wps:txbx>
                      <w:txbxContent>
                        <w:p w14:paraId="511EB154" w14:textId="77777777" w:rsidR="007903EB" w:rsidRDefault="00000000">
                          <w:pPr>
                            <w:pStyle w:val="Zhlavnebozpat20"/>
                            <w:rPr>
                              <w:sz w:val="22"/>
                              <w:szCs w:val="22"/>
                            </w:rPr>
                          </w:pPr>
                          <w:r>
                            <w:rPr>
                              <w:rStyle w:val="Zhlavnebozpat2"/>
                              <w:rFonts w:ascii="Calibri" w:eastAsia="Calibri" w:hAnsi="Calibri" w:cs="Calibri"/>
                              <w:sz w:val="22"/>
                              <w:szCs w:val="22"/>
                            </w:rPr>
                            <w:t xml:space="preserve">- </w:t>
                          </w:r>
                          <w:r>
                            <w:fldChar w:fldCharType="begin"/>
                          </w:r>
                          <w:r>
                            <w:instrText xml:space="preserve"> PAGE \* MERGEFORMAT </w:instrText>
                          </w:r>
                          <w:r>
                            <w:fldChar w:fldCharType="separate"/>
                          </w:r>
                          <w:r>
                            <w:rPr>
                              <w:rStyle w:val="Zhlavnebozpat2"/>
                              <w:rFonts w:ascii="Calibri" w:eastAsia="Calibri" w:hAnsi="Calibri" w:cs="Calibri"/>
                              <w:sz w:val="22"/>
                              <w:szCs w:val="22"/>
                            </w:rPr>
                            <w:t>#</w:t>
                          </w:r>
                          <w:r>
                            <w:rPr>
                              <w:rStyle w:val="Zhlavnebozpat2"/>
                              <w:rFonts w:ascii="Calibri" w:eastAsia="Calibri" w:hAnsi="Calibri" w:cs="Calibri"/>
                              <w:sz w:val="22"/>
                              <w:szCs w:val="22"/>
                            </w:rPr>
                            <w:fldChar w:fldCharType="end"/>
                          </w:r>
                          <w:r>
                            <w:rPr>
                              <w:rStyle w:val="Zhlavnebozpat2"/>
                              <w:rFonts w:ascii="Calibri" w:eastAsia="Calibri" w:hAnsi="Calibri" w:cs="Calibri"/>
                              <w:sz w:val="22"/>
                              <w:szCs w:val="22"/>
                            </w:rPr>
                            <w:t xml:space="preserve"> -</w:t>
                          </w:r>
                        </w:p>
                      </w:txbxContent>
                    </wps:txbx>
                    <wps:bodyPr wrap="none" lIns="0" tIns="0" rIns="0" bIns="0">
                      <a:spAutoFit/>
                    </wps:bodyPr>
                  </wps:wsp>
                </a:graphicData>
              </a:graphic>
            </wp:anchor>
          </w:drawing>
        </mc:Choice>
        <mc:Fallback>
          <w:pict>
            <v:shapetype w14:anchorId="1EE4A6B7" id="_x0000_t202" coordsize="21600,21600" o:spt="202" path="m,l,21600r21600,l21600,xe">
              <v:stroke joinstyle="miter"/>
              <v:path gradientshapeok="t" o:connecttype="rect"/>
            </v:shapetype>
            <v:shape id="Shape 5" o:spid="_x0000_s1028" type="#_x0000_t202" style="position:absolute;margin-left:306.95pt;margin-top:789.9pt;width:16.3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" filled="f" stroked="f">
              <v:textbox style="mso-fit-shape-to-text:t" inset="0,0,0,0">
                <w:txbxContent>
                  <w:p w14:paraId="511EB154" w14:textId="77777777" w:rsidR="007903EB" w:rsidRDefault="00000000">
                    <w:pPr>
                      <w:pStyle w:val="Zhlavnebozpat20"/>
                      <w:rPr>
                        <w:sz w:val="22"/>
                        <w:szCs w:val="22"/>
                      </w:rPr>
                    </w:pPr>
                    <w:r>
                      <w:rPr>
                        <w:rStyle w:val="Zhlavnebozpat2"/>
                        <w:rFonts w:ascii="Calibri" w:eastAsia="Calibri" w:hAnsi="Calibri" w:cs="Calibri"/>
                        <w:sz w:val="22"/>
                        <w:szCs w:val="22"/>
                      </w:rPr>
                      <w:t xml:space="preserve">- </w:t>
                    </w:r>
                    <w:r>
                      <w:fldChar w:fldCharType="begin"/>
                    </w:r>
                    <w:r>
                      <w:instrText xml:space="preserve"> PAGE \* MERGEFORMAT </w:instrText>
                    </w:r>
                    <w:r>
                      <w:fldChar w:fldCharType="separate"/>
                    </w:r>
                    <w:r>
                      <w:rPr>
                        <w:rStyle w:val="Zhlavnebozpat2"/>
                        <w:rFonts w:ascii="Calibri" w:eastAsia="Calibri" w:hAnsi="Calibri" w:cs="Calibri"/>
                        <w:sz w:val="22"/>
                        <w:szCs w:val="22"/>
                      </w:rPr>
                      <w:t>#</w:t>
                    </w:r>
                    <w:r>
                      <w:rPr>
                        <w:rStyle w:val="Zhlavnebozpat2"/>
                        <w:rFonts w:ascii="Calibri" w:eastAsia="Calibri" w:hAnsi="Calibri" w:cs="Calibri"/>
                        <w:sz w:val="22"/>
                        <w:szCs w:val="22"/>
                      </w:rPr>
                      <w:fldChar w:fldCharType="end"/>
                    </w:r>
                    <w:r>
                      <w:rPr>
                        <w:rStyle w:val="Zhlavnebozpat2"/>
                        <w:rFonts w:ascii="Calibri" w:eastAsia="Calibri" w:hAnsi="Calibri" w:cs="Calibri"/>
                        <w:sz w:val="22"/>
                        <w:szCs w:val="22"/>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EE2CC" w14:textId="77777777" w:rsidR="001A5A66" w:rsidRDefault="001A5A66"/>
  </w:footnote>
  <w:footnote w:type="continuationSeparator" w:id="0">
    <w:p w14:paraId="395018E8" w14:textId="77777777" w:rsidR="001A5A66" w:rsidRDefault="001A5A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422D3"/>
    <w:multiLevelType w:val="multilevel"/>
    <w:tmpl w:val="5F8629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873084"/>
    <w:multiLevelType w:val="multilevel"/>
    <w:tmpl w:val="D61220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FC72D5"/>
    <w:multiLevelType w:val="multilevel"/>
    <w:tmpl w:val="417E0B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1F1C50"/>
    <w:multiLevelType w:val="multilevel"/>
    <w:tmpl w:val="D592DA2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AC1F7B"/>
    <w:multiLevelType w:val="multilevel"/>
    <w:tmpl w:val="B65A349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1654D4"/>
    <w:multiLevelType w:val="multilevel"/>
    <w:tmpl w:val="2C7039F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2E2936"/>
    <w:multiLevelType w:val="multilevel"/>
    <w:tmpl w:val="92E4C5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63461F"/>
    <w:multiLevelType w:val="multilevel"/>
    <w:tmpl w:val="B50293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3441386">
    <w:abstractNumId w:val="5"/>
  </w:num>
  <w:num w:numId="2" w16cid:durableId="1768651364">
    <w:abstractNumId w:val="4"/>
  </w:num>
  <w:num w:numId="3" w16cid:durableId="283120619">
    <w:abstractNumId w:val="6"/>
  </w:num>
  <w:num w:numId="4" w16cid:durableId="1592083771">
    <w:abstractNumId w:val="2"/>
  </w:num>
  <w:num w:numId="5" w16cid:durableId="585308717">
    <w:abstractNumId w:val="1"/>
  </w:num>
  <w:num w:numId="6" w16cid:durableId="334236264">
    <w:abstractNumId w:val="3"/>
  </w:num>
  <w:num w:numId="7" w16cid:durableId="2038656975">
    <w:abstractNumId w:val="0"/>
  </w:num>
  <w:num w:numId="8" w16cid:durableId="1435051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3EB"/>
    <w:rsid w:val="001A5A66"/>
    <w:rsid w:val="006A0405"/>
    <w:rsid w:val="00716BE5"/>
    <w:rsid w:val="007903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A2B6"/>
  <w15:docId w15:val="{36579A73-7227-4C25-8C1B-2DDB482B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215868"/>
      <w:sz w:val="32"/>
      <w:szCs w:val="32"/>
      <w:u w:val="none"/>
    </w:rPr>
  </w:style>
  <w:style w:type="paragraph" w:customStyle="1" w:styleId="Zkladntext1">
    <w:name w:val="Základní text1"/>
    <w:basedOn w:val="Normln"/>
    <w:link w:val="Zkladntext"/>
    <w:pPr>
      <w:spacing w:after="300" w:line="271" w:lineRule="auto"/>
    </w:pPr>
    <w:rPr>
      <w:rFonts w:ascii="Calibri" w:eastAsia="Calibri" w:hAnsi="Calibri" w:cs="Calibri"/>
      <w:sz w:val="22"/>
      <w:szCs w:val="22"/>
    </w:rPr>
  </w:style>
  <w:style w:type="paragraph" w:customStyle="1" w:styleId="Nadpis20">
    <w:name w:val="Nadpis #2"/>
    <w:basedOn w:val="Normln"/>
    <w:link w:val="Nadpis2"/>
    <w:pPr>
      <w:spacing w:after="110"/>
      <w:jc w:val="center"/>
      <w:outlineLvl w:val="1"/>
    </w:pPr>
    <w:rPr>
      <w:rFonts w:ascii="Calibri" w:eastAsia="Calibri" w:hAnsi="Calibri" w:cs="Calibri"/>
      <w:b/>
      <w:bCs/>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Titulektabulky0">
    <w:name w:val="Titulek tabulky"/>
    <w:basedOn w:val="Normln"/>
    <w:link w:val="Titulektabulky"/>
    <w:rPr>
      <w:rFonts w:ascii="Calibri" w:eastAsia="Calibri" w:hAnsi="Calibri" w:cs="Calibri"/>
      <w:b/>
      <w:bCs/>
      <w:sz w:val="22"/>
      <w:szCs w:val="22"/>
    </w:rPr>
  </w:style>
  <w:style w:type="paragraph" w:customStyle="1" w:styleId="Jin0">
    <w:name w:val="Jiné"/>
    <w:basedOn w:val="Normln"/>
    <w:link w:val="Jin"/>
    <w:pPr>
      <w:spacing w:after="300" w:line="271" w:lineRule="auto"/>
    </w:pPr>
    <w:rPr>
      <w:rFonts w:ascii="Calibri" w:eastAsia="Calibri" w:hAnsi="Calibri" w:cs="Calibri"/>
      <w:sz w:val="22"/>
      <w:szCs w:val="22"/>
    </w:rPr>
  </w:style>
  <w:style w:type="paragraph" w:customStyle="1" w:styleId="Nadpis10">
    <w:name w:val="Nadpis #1"/>
    <w:basedOn w:val="Normln"/>
    <w:link w:val="Nadpis1"/>
    <w:pPr>
      <w:spacing w:after="540" w:line="288" w:lineRule="auto"/>
      <w:jc w:val="center"/>
      <w:outlineLvl w:val="0"/>
    </w:pPr>
    <w:rPr>
      <w:rFonts w:ascii="Arial" w:eastAsia="Arial" w:hAnsi="Arial" w:cs="Arial"/>
      <w:b/>
      <w:bCs/>
      <w:color w:val="21586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lan.elman@auto-myslive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1700</Words>
  <Characters>10036</Characters>
  <Application>Microsoft Office Word</Application>
  <DocSecurity>0</DocSecurity>
  <Lines>83</Lines>
  <Paragraphs>23</Paragraphs>
  <ScaleCrop>false</ScaleCrop>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PHolbova</dc:creator>
  <cp:keywords/>
  <cp:lastModifiedBy>Landvojtovičová Martina</cp:lastModifiedBy>
  <cp:revision>2</cp:revision>
  <dcterms:created xsi:type="dcterms:W3CDTF">2024-09-26T05:39:00Z</dcterms:created>
  <dcterms:modified xsi:type="dcterms:W3CDTF">2024-09-26T05:41:00Z</dcterms:modified>
</cp:coreProperties>
</file>