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754C" w14:textId="4607D053" w:rsidR="00431069" w:rsidRPr="002F0FA6" w:rsidRDefault="002F0FA6" w:rsidP="002F0FA6">
      <w:pPr>
        <w:numPr>
          <w:ilvl w:val="0"/>
          <w:numId w:val="0"/>
        </w:numPr>
        <w:ind w:left="360"/>
        <w:jc w:val="center"/>
        <w:rPr>
          <w:b/>
          <w:bCs/>
        </w:rPr>
      </w:pPr>
      <w:r w:rsidRPr="002F0FA6">
        <w:rPr>
          <w:b/>
          <w:bCs/>
        </w:rPr>
        <w:t>DODATEK č. 1</w:t>
      </w:r>
    </w:p>
    <w:p w14:paraId="2612C9A0" w14:textId="3063F39C" w:rsidR="002F0FA6" w:rsidRDefault="002F0FA6" w:rsidP="002F0FA6">
      <w:pPr>
        <w:numPr>
          <w:ilvl w:val="0"/>
          <w:numId w:val="0"/>
        </w:numPr>
        <w:ind w:left="360"/>
        <w:jc w:val="center"/>
      </w:pPr>
      <w:r w:rsidRPr="002F0FA6">
        <w:t xml:space="preserve">ke smlouvě o dílo uzavřené dne 12. </w:t>
      </w:r>
      <w:r w:rsidR="003E552C">
        <w:t>června</w:t>
      </w:r>
      <w:r w:rsidRPr="002F0FA6">
        <w:t xml:space="preserve"> 2024, jež nabyla účinnosti dne 13. </w:t>
      </w:r>
      <w:r w:rsidR="003E552C">
        <w:t xml:space="preserve">června </w:t>
      </w:r>
      <w:r w:rsidRPr="002F0FA6">
        <w:t xml:space="preserve">2024 </w:t>
      </w:r>
      <w:r>
        <w:t>uzavřený dle níže uvedeného dne, měsíce a roku</w:t>
      </w:r>
      <w:r w:rsidRPr="002F0FA6">
        <w:t xml:space="preserve"> mezi smluvními stranami</w:t>
      </w:r>
      <w:r>
        <w:t>, kterými jsou:</w:t>
      </w:r>
    </w:p>
    <w:p w14:paraId="52B0BADF" w14:textId="77777777" w:rsidR="002F0FA6" w:rsidRDefault="002F0FA6" w:rsidP="002F0FA6">
      <w:pPr>
        <w:pStyle w:val="Bezmezer"/>
        <w:ind w:firstLine="0"/>
        <w:rPr>
          <w:b/>
          <w:bCs/>
        </w:rPr>
      </w:pPr>
    </w:p>
    <w:p w14:paraId="166D3A7D" w14:textId="13417EF8" w:rsidR="002F0FA6" w:rsidRDefault="002F0FA6" w:rsidP="002F0FA6">
      <w:pPr>
        <w:pStyle w:val="Bezmezer"/>
        <w:ind w:firstLine="0"/>
        <w:rPr>
          <w:b/>
          <w:bCs/>
        </w:rPr>
      </w:pPr>
      <w:r w:rsidRPr="002F0FA6">
        <w:rPr>
          <w:b/>
          <w:bCs/>
        </w:rPr>
        <w:t xml:space="preserve">Objednatel: </w:t>
      </w:r>
    </w:p>
    <w:p w14:paraId="4B017EFB" w14:textId="77777777" w:rsidR="002F0FA6" w:rsidRPr="002F0FA6" w:rsidRDefault="002F0FA6" w:rsidP="002F0FA6">
      <w:pPr>
        <w:pStyle w:val="Bezmezer"/>
        <w:ind w:firstLine="0"/>
        <w:rPr>
          <w:b/>
          <w:bCs/>
        </w:rPr>
      </w:pPr>
    </w:p>
    <w:p w14:paraId="2670EB68" w14:textId="5503AB1A" w:rsidR="002F0FA6" w:rsidRPr="003E552C" w:rsidRDefault="002F0FA6" w:rsidP="002F0FA6">
      <w:pPr>
        <w:pStyle w:val="Bezmezer"/>
        <w:rPr>
          <w:b/>
          <w:bCs/>
        </w:rPr>
      </w:pPr>
      <w:r w:rsidRPr="003E552C">
        <w:rPr>
          <w:b/>
          <w:bCs/>
        </w:rPr>
        <w:t xml:space="preserve">Kulturní centrum Plzeňského kraje s.r.o. </w:t>
      </w:r>
    </w:p>
    <w:p w14:paraId="770E7F91" w14:textId="7DA83805" w:rsidR="002F0FA6" w:rsidRDefault="002F0FA6" w:rsidP="002F0FA6">
      <w:pPr>
        <w:pStyle w:val="Bezmezer"/>
        <w:ind w:firstLine="0"/>
      </w:pPr>
      <w:r>
        <w:t xml:space="preserve">se sídlem: Škroupova 1760/18, Jižní Předměstí, 301 00 Plzeň </w:t>
      </w:r>
    </w:p>
    <w:p w14:paraId="4EEAFE27" w14:textId="77777777" w:rsidR="002F0FA6" w:rsidRDefault="002F0FA6" w:rsidP="002F0FA6">
      <w:pPr>
        <w:pStyle w:val="Bezmezer"/>
        <w:ind w:firstLine="0"/>
      </w:pPr>
      <w:r>
        <w:t>IČO:   27877647</w:t>
      </w:r>
    </w:p>
    <w:p w14:paraId="2BC727DC" w14:textId="1D683903" w:rsidR="002F0FA6" w:rsidRDefault="002F0FA6" w:rsidP="002F0FA6">
      <w:pPr>
        <w:pStyle w:val="Bezmezer"/>
        <w:ind w:firstLine="0"/>
      </w:pPr>
      <w:r>
        <w:t xml:space="preserve">zapsaná v OR: u Krajského soudu v Plzní, </w:t>
      </w:r>
      <w:proofErr w:type="spellStart"/>
      <w:r>
        <w:t>sp</w:t>
      </w:r>
      <w:proofErr w:type="spellEnd"/>
      <w:r>
        <w:t>. zn. C 43070</w:t>
      </w:r>
    </w:p>
    <w:p w14:paraId="1EC925AD" w14:textId="77777777" w:rsidR="002F0FA6" w:rsidRDefault="002F0FA6" w:rsidP="002F0FA6">
      <w:pPr>
        <w:pStyle w:val="Bezmezer"/>
        <w:ind w:firstLine="0"/>
      </w:pPr>
      <w:r>
        <w:t xml:space="preserve">(dále jen „objednatel“) </w:t>
      </w:r>
    </w:p>
    <w:p w14:paraId="4B3A9888" w14:textId="77777777" w:rsidR="002F0FA6" w:rsidRDefault="002F0FA6" w:rsidP="002F0FA6">
      <w:pPr>
        <w:pStyle w:val="Bezmezer"/>
        <w:ind w:firstLine="0"/>
      </w:pPr>
    </w:p>
    <w:p w14:paraId="7F509E95" w14:textId="25550F59" w:rsidR="002F0FA6" w:rsidRDefault="002F0FA6" w:rsidP="002F0FA6">
      <w:pPr>
        <w:pStyle w:val="Bezmezer"/>
        <w:ind w:firstLine="0"/>
      </w:pPr>
      <w:r>
        <w:t xml:space="preserve">a </w:t>
      </w:r>
    </w:p>
    <w:p w14:paraId="201B69F3" w14:textId="77777777" w:rsidR="002F0FA6" w:rsidRDefault="002F0FA6" w:rsidP="002F0FA6">
      <w:pPr>
        <w:pStyle w:val="Bezmezer"/>
        <w:ind w:firstLine="0"/>
      </w:pPr>
    </w:p>
    <w:p w14:paraId="11E345DB" w14:textId="21FA7306" w:rsidR="002F0FA6" w:rsidRDefault="002F0FA6" w:rsidP="002F0FA6">
      <w:pPr>
        <w:pStyle w:val="Bezmezer"/>
        <w:ind w:firstLine="0"/>
        <w:rPr>
          <w:b/>
          <w:bCs/>
        </w:rPr>
      </w:pPr>
      <w:r w:rsidRPr="002F0FA6">
        <w:rPr>
          <w:b/>
          <w:bCs/>
        </w:rPr>
        <w:t xml:space="preserve">Zhotovitel: </w:t>
      </w:r>
    </w:p>
    <w:p w14:paraId="5501DD14" w14:textId="77777777" w:rsidR="002F0FA6" w:rsidRPr="002F0FA6" w:rsidRDefault="002F0FA6" w:rsidP="002F0FA6">
      <w:pPr>
        <w:pStyle w:val="Bezmezer"/>
        <w:ind w:firstLine="0"/>
        <w:rPr>
          <w:b/>
          <w:bCs/>
        </w:rPr>
      </w:pPr>
    </w:p>
    <w:p w14:paraId="4B531D91" w14:textId="4EA20F94" w:rsidR="002F0FA6" w:rsidRPr="003E552C" w:rsidRDefault="002F0FA6" w:rsidP="002F0FA6">
      <w:pPr>
        <w:pStyle w:val="Bezmezer"/>
        <w:rPr>
          <w:b/>
          <w:bCs/>
        </w:rPr>
      </w:pPr>
      <w:r w:rsidRPr="003E552C">
        <w:rPr>
          <w:b/>
          <w:bCs/>
        </w:rPr>
        <w:t xml:space="preserve">AFRY CZ s.r.o. </w:t>
      </w:r>
    </w:p>
    <w:p w14:paraId="13CA1CD7" w14:textId="74E11F8A" w:rsidR="002F0FA6" w:rsidRDefault="002F0FA6" w:rsidP="002F0FA6">
      <w:pPr>
        <w:pStyle w:val="Bezmezer"/>
        <w:ind w:firstLine="0"/>
      </w:pPr>
      <w:r>
        <w:t xml:space="preserve">se sídlem:  Magistrů 1275/13, 140 00 Praha 4 </w:t>
      </w:r>
    </w:p>
    <w:p w14:paraId="44E9FBA0" w14:textId="00A76C54" w:rsidR="002F0FA6" w:rsidRDefault="002F0FA6" w:rsidP="002F0FA6">
      <w:pPr>
        <w:pStyle w:val="Bezmezer"/>
        <w:ind w:firstLine="0"/>
      </w:pPr>
      <w:r>
        <w:t xml:space="preserve">IČO: 45306605 </w:t>
      </w:r>
    </w:p>
    <w:p w14:paraId="650DD287" w14:textId="45A2C77C" w:rsidR="002F0FA6" w:rsidRDefault="002F0FA6" w:rsidP="002F0FA6">
      <w:pPr>
        <w:pStyle w:val="Bezmezer"/>
        <w:ind w:firstLine="0"/>
      </w:pPr>
      <w:r>
        <w:t xml:space="preserve">DIČ: CZ45306605 </w:t>
      </w:r>
    </w:p>
    <w:p w14:paraId="6ED9491E" w14:textId="6F8579F8" w:rsidR="002F0FA6" w:rsidRDefault="002F0FA6" w:rsidP="002F0FA6">
      <w:pPr>
        <w:pStyle w:val="Bezmezer"/>
        <w:ind w:firstLine="0"/>
      </w:pPr>
      <w:r>
        <w:t xml:space="preserve">zapsaný v OR: Městského soudu v Praze, </w:t>
      </w:r>
      <w:proofErr w:type="spellStart"/>
      <w:r>
        <w:t>sp</w:t>
      </w:r>
      <w:proofErr w:type="spellEnd"/>
      <w:r>
        <w:t xml:space="preserve">. zn. C 8073 </w:t>
      </w:r>
    </w:p>
    <w:p w14:paraId="11DD82A3" w14:textId="55526FA4" w:rsidR="002F0FA6" w:rsidRDefault="002F0FA6" w:rsidP="002F0FA6">
      <w:pPr>
        <w:pStyle w:val="Bezmezer"/>
        <w:ind w:firstLine="0"/>
      </w:pPr>
      <w:r>
        <w:t xml:space="preserve">Číslo bankovního účtu: 21153031075306605/8150  </w:t>
      </w:r>
    </w:p>
    <w:p w14:paraId="5193694F" w14:textId="4DA7C5E0" w:rsidR="002F0FA6" w:rsidRDefault="002F0FA6" w:rsidP="002F0FA6">
      <w:pPr>
        <w:pStyle w:val="Bezmezer"/>
        <w:ind w:firstLine="0"/>
      </w:pPr>
      <w:r>
        <w:t>(dále jen „zhotovitel“)</w:t>
      </w:r>
    </w:p>
    <w:p w14:paraId="30CC56ED" w14:textId="77777777" w:rsidR="002F0FA6" w:rsidRDefault="002F0FA6" w:rsidP="002F0FA6">
      <w:pPr>
        <w:pStyle w:val="Bezmezer"/>
        <w:ind w:firstLine="0"/>
      </w:pPr>
    </w:p>
    <w:p w14:paraId="7B73466A" w14:textId="250877F4" w:rsidR="002F0FA6" w:rsidRDefault="002F0FA6" w:rsidP="002F0FA6">
      <w:pPr>
        <w:pStyle w:val="Bezmezer"/>
        <w:ind w:firstLine="0"/>
      </w:pPr>
      <w:r>
        <w:t>(společně též jako „smluvní strany“ nebo jednotlivě jako „smluvní strana“)</w:t>
      </w:r>
    </w:p>
    <w:p w14:paraId="6DBC97F3" w14:textId="77777777" w:rsidR="002F0FA6" w:rsidRDefault="002F0FA6" w:rsidP="002F0FA6">
      <w:pPr>
        <w:pStyle w:val="Bezmezer"/>
        <w:ind w:firstLine="0"/>
      </w:pPr>
    </w:p>
    <w:p w14:paraId="5C4B94A9" w14:textId="77777777" w:rsidR="002F0FA6" w:rsidRDefault="002F0FA6" w:rsidP="002F0FA6">
      <w:pPr>
        <w:pStyle w:val="Bezmezer"/>
        <w:ind w:firstLine="0"/>
      </w:pPr>
    </w:p>
    <w:p w14:paraId="3D9CB720" w14:textId="6112661E" w:rsidR="00C13647" w:rsidRPr="003375A4" w:rsidRDefault="00C13647" w:rsidP="003375A4">
      <w:pPr>
        <w:pStyle w:val="Bezmezer"/>
        <w:ind w:firstLine="0"/>
        <w:jc w:val="center"/>
        <w:rPr>
          <w:b/>
          <w:bCs/>
        </w:rPr>
      </w:pPr>
      <w:r w:rsidRPr="003375A4">
        <w:rPr>
          <w:b/>
          <w:bCs/>
        </w:rPr>
        <w:t>PREAMBULE</w:t>
      </w:r>
    </w:p>
    <w:p w14:paraId="6B03E9CB" w14:textId="77777777" w:rsidR="00C13647" w:rsidRDefault="00C13647" w:rsidP="002F0FA6">
      <w:pPr>
        <w:pStyle w:val="Bezmezer"/>
        <w:ind w:firstLine="0"/>
      </w:pPr>
    </w:p>
    <w:p w14:paraId="4E42AB8D" w14:textId="2A39E3B5" w:rsidR="00C13647" w:rsidRDefault="00C13647" w:rsidP="003375A4">
      <w:pPr>
        <w:numPr>
          <w:ilvl w:val="0"/>
          <w:numId w:val="3"/>
        </w:numPr>
        <w:jc w:val="both"/>
      </w:pPr>
      <w:r>
        <w:t xml:space="preserve">Smluvní strany prohlašují, že jim je známa skutečnost, že dne 13. </w:t>
      </w:r>
      <w:r w:rsidR="003E552C">
        <w:t>června</w:t>
      </w:r>
      <w:r>
        <w:t xml:space="preserve"> 2024 vstoupila v účinnost smlouva o dílo uzavřená mezi nimi v důsledku </w:t>
      </w:r>
      <w:r w:rsidR="003E552C">
        <w:t xml:space="preserve">realizace </w:t>
      </w:r>
      <w:r>
        <w:t>zadávacího řízení dle zákona č. 134/2016 Sb., o zadávání veřejných zakázek, ve znění pozdějších předpisů (dále v textu jen „ZZVZ“), jehož vybraným dodavatelem je zhotovitel (dále v textu jen „</w:t>
      </w:r>
      <w:proofErr w:type="spellStart"/>
      <w:r>
        <w:t>SoD</w:t>
      </w:r>
      <w:proofErr w:type="spellEnd"/>
      <w:r>
        <w:t>“).</w:t>
      </w:r>
    </w:p>
    <w:p w14:paraId="2B5A92C0" w14:textId="60F90ABD" w:rsidR="00C13647" w:rsidRDefault="00C13647" w:rsidP="003375A4">
      <w:pPr>
        <w:numPr>
          <w:ilvl w:val="0"/>
          <w:numId w:val="3"/>
        </w:numPr>
        <w:jc w:val="both"/>
      </w:pPr>
      <w:r>
        <w:t xml:space="preserve"> Smluvní strany prohlašují, že účelem a motivací k uzavření tohoto dodatku č. 1 k </w:t>
      </w:r>
      <w:proofErr w:type="spellStart"/>
      <w:r>
        <w:t>SoD</w:t>
      </w:r>
      <w:proofErr w:type="spellEnd"/>
      <w:r>
        <w:t xml:space="preserve"> (dále v textu jen „Dodatek č. 1“) je zejména uvedení předmětu plnění </w:t>
      </w:r>
      <w:proofErr w:type="spellStart"/>
      <w:r>
        <w:t>SoD</w:t>
      </w:r>
      <w:proofErr w:type="spellEnd"/>
      <w:r>
        <w:t xml:space="preserve"> do souladu v současnosti platnou legislativou (tj. vyhláškou č. 131/20</w:t>
      </w:r>
      <w:r w:rsidR="003375A4">
        <w:t>2</w:t>
      </w:r>
      <w:r>
        <w:t xml:space="preserve">4 Sb., o dokumentaci staveb, v platném znění) a dále rozšíření předmětu plnění o   další výstupy které mají racionální souvislost s předmětem plnění </w:t>
      </w:r>
      <w:r w:rsidR="003E552C">
        <w:t xml:space="preserve">zhotovitelem pro objednatele realizované </w:t>
      </w:r>
      <w:proofErr w:type="spellStart"/>
      <w:r>
        <w:t>SoD</w:t>
      </w:r>
      <w:proofErr w:type="spellEnd"/>
      <w:r>
        <w:t>.</w:t>
      </w:r>
    </w:p>
    <w:p w14:paraId="30DCDC16" w14:textId="7B1A156A" w:rsidR="00282C8E" w:rsidRDefault="00282C8E" w:rsidP="00282C8E">
      <w:pPr>
        <w:numPr>
          <w:ilvl w:val="0"/>
          <w:numId w:val="3"/>
        </w:numPr>
        <w:jc w:val="both"/>
      </w:pPr>
      <w:r>
        <w:t xml:space="preserve">Smluvní strany mají dále za nepochybné, že vzhledem ke skutečnosti, že Dodatkem č. 1 došlo k navýšení objemu dílčího plnění – Plnění č. 1 dle čl. I. </w:t>
      </w:r>
      <w:proofErr w:type="spellStart"/>
      <w:r>
        <w:t>SoD</w:t>
      </w:r>
      <w:proofErr w:type="spellEnd"/>
      <w:r>
        <w:t xml:space="preserve"> (zhotovení dokumentace techniky prostředí staveb), došlo v</w:t>
      </w:r>
      <w:r w:rsidR="003E552C">
        <w:t> </w:t>
      </w:r>
      <w:r>
        <w:t>důsledku</w:t>
      </w:r>
      <w:r w:rsidR="003E552C">
        <w:t xml:space="preserve"> zároveň</w:t>
      </w:r>
      <w:r>
        <w:t xml:space="preserve"> k navýšení plnění č. 2 dle čl. I. </w:t>
      </w:r>
      <w:proofErr w:type="spellStart"/>
      <w:r>
        <w:t>SoD</w:t>
      </w:r>
      <w:proofErr w:type="spellEnd"/>
      <w:r>
        <w:t xml:space="preserve"> (zhotovení podkladů pro Bílou knihu), neboť plnění č. 2 dle </w:t>
      </w:r>
      <w:proofErr w:type="spellStart"/>
      <w:r>
        <w:t>SoD</w:t>
      </w:r>
      <w:proofErr w:type="spellEnd"/>
      <w:r>
        <w:t xml:space="preserve"> je na Plnění č. 1 dle </w:t>
      </w:r>
      <w:proofErr w:type="spellStart"/>
      <w:r>
        <w:t>SoD</w:t>
      </w:r>
      <w:proofErr w:type="spellEnd"/>
      <w:r>
        <w:t xml:space="preserve"> </w:t>
      </w:r>
      <w:r w:rsidR="003E552C">
        <w:t xml:space="preserve">zejména </w:t>
      </w:r>
      <w:r>
        <w:t>co do rozsahu závislé.</w:t>
      </w:r>
    </w:p>
    <w:p w14:paraId="63980B77" w14:textId="52AC292C" w:rsidR="00C13647" w:rsidRDefault="00C13647" w:rsidP="003375A4">
      <w:pPr>
        <w:numPr>
          <w:ilvl w:val="0"/>
          <w:numId w:val="3"/>
        </w:numPr>
        <w:jc w:val="both"/>
      </w:pPr>
      <w:r>
        <w:t>Objednatel prohlašuje, že plnění Dodatku č. 1 i jeho samotné uzavření je v souladu s </w:t>
      </w:r>
      <w:proofErr w:type="spellStart"/>
      <w:r>
        <w:t>ust</w:t>
      </w:r>
      <w:proofErr w:type="spellEnd"/>
      <w:r>
        <w:t xml:space="preserve">. § 222 odst. 4 písm. b) bod 1 ZZVZ </w:t>
      </w:r>
      <w:r w:rsidR="003375A4">
        <w:t>a v souladu s </w:t>
      </w:r>
      <w:proofErr w:type="spellStart"/>
      <w:r w:rsidR="003375A4">
        <w:t>ust</w:t>
      </w:r>
      <w:proofErr w:type="spellEnd"/>
      <w:r w:rsidR="003375A4">
        <w:t xml:space="preserve">. § 222 odst. 3 ZZVZ; </w:t>
      </w:r>
      <w:r w:rsidR="003E552C">
        <w:t>V</w:t>
      </w:r>
      <w:r w:rsidR="003375A4">
        <w:t xml:space="preserve">zhledem ke skutečnosti, že je navýšena cena plnění veřejné zakázky i doba plnění, jelikož objednatel poptával od zhotovitele další plnění resp. jeho změnu, prohlašuje objednatel, že došlo k takovému navýšení ceny a prodloužení doby plnění, které nepředstavuje podstatnou změnu závazku ze smlouvy na veřejnou zakázku ve smyslu </w:t>
      </w:r>
      <w:proofErr w:type="spellStart"/>
      <w:r w:rsidR="003375A4">
        <w:t>ust</w:t>
      </w:r>
      <w:proofErr w:type="spellEnd"/>
      <w:r w:rsidR="003375A4">
        <w:t>. § 222 odst. 3 ZZVZ.</w:t>
      </w:r>
      <w:r>
        <w:t xml:space="preserve"> </w:t>
      </w:r>
    </w:p>
    <w:p w14:paraId="24B91014" w14:textId="68676AC0" w:rsidR="00282C8E" w:rsidRDefault="00282C8E">
      <w:pPr>
        <w:numPr>
          <w:ilvl w:val="0"/>
          <w:numId w:val="0"/>
        </w:numPr>
        <w:spacing w:after="0"/>
      </w:pPr>
      <w:r>
        <w:br w:type="page"/>
      </w:r>
    </w:p>
    <w:p w14:paraId="62773C43" w14:textId="77777777" w:rsidR="003375A4" w:rsidRDefault="003375A4" w:rsidP="003375A4">
      <w:pPr>
        <w:numPr>
          <w:ilvl w:val="0"/>
          <w:numId w:val="0"/>
        </w:numPr>
        <w:ind w:left="360" w:hanging="360"/>
        <w:jc w:val="both"/>
      </w:pPr>
    </w:p>
    <w:p w14:paraId="2C382FBF" w14:textId="411C832A" w:rsidR="003375A4" w:rsidRPr="00282C8E" w:rsidRDefault="003E552C" w:rsidP="00282C8E">
      <w:pPr>
        <w:pStyle w:val="Odstavecseseznamem"/>
        <w:numPr>
          <w:ilvl w:val="0"/>
          <w:numId w:val="4"/>
        </w:numPr>
        <w:jc w:val="center"/>
        <w:rPr>
          <w:b/>
          <w:bCs/>
        </w:rPr>
      </w:pPr>
      <w:r>
        <w:rPr>
          <w:b/>
          <w:bCs/>
        </w:rPr>
        <w:t xml:space="preserve">ZMĚNY </w:t>
      </w:r>
      <w:proofErr w:type="spellStart"/>
      <w:r>
        <w:rPr>
          <w:b/>
          <w:bCs/>
        </w:rPr>
        <w:t>SoD</w:t>
      </w:r>
      <w:proofErr w:type="spellEnd"/>
      <w:r>
        <w:rPr>
          <w:b/>
          <w:bCs/>
        </w:rPr>
        <w:t xml:space="preserve"> A JEJÍCH PŘÍLOH</w:t>
      </w:r>
    </w:p>
    <w:p w14:paraId="0CD51472" w14:textId="77777777" w:rsidR="00A23632" w:rsidRPr="00A23632" w:rsidRDefault="003375A4" w:rsidP="002D400D">
      <w:pPr>
        <w:numPr>
          <w:ilvl w:val="0"/>
          <w:numId w:val="5"/>
        </w:numPr>
        <w:rPr>
          <w:bCs/>
        </w:rPr>
      </w:pPr>
      <w:r>
        <w:t xml:space="preserve">Smluvní strany se dohodly, že text. čl. I. (Dílo) odst. 1 písm. A: </w:t>
      </w:r>
      <w:r w:rsidRPr="002D400D">
        <w:rPr>
          <w:rFonts w:cs="Times New Roman"/>
          <w:bCs/>
          <w:i/>
          <w:iCs/>
        </w:rPr>
        <w:t xml:space="preserve">Plnění č. 1 – zhotovení techniky prostředí staveb ve smyslu </w:t>
      </w:r>
      <w:bookmarkStart w:id="0" w:name="_Hlk147696001"/>
      <w:r w:rsidRPr="002D400D">
        <w:rPr>
          <w:rFonts w:cs="Times New Roman"/>
          <w:bCs/>
          <w:i/>
          <w:iCs/>
        </w:rPr>
        <w:t xml:space="preserve">bodu D.1.4 </w:t>
      </w:r>
      <w:bookmarkEnd w:id="0"/>
      <w:r w:rsidRPr="002D400D">
        <w:rPr>
          <w:rFonts w:cs="Times New Roman"/>
          <w:bCs/>
          <w:i/>
          <w:iCs/>
        </w:rPr>
        <w:t>přílohy č. 8 vyhlášky č. 499/2006 Sb., Vyhláška o dokumentaci staveb (dále jen „Vyhláška o DS“)</w:t>
      </w:r>
      <w:r w:rsidRPr="002D400D">
        <w:rPr>
          <w:rFonts w:cs="Times New Roman"/>
          <w:bCs/>
        </w:rPr>
        <w:t xml:space="preserve"> se nahrazuje textem: </w:t>
      </w:r>
    </w:p>
    <w:p w14:paraId="5D60C0C8" w14:textId="53E846A4" w:rsidR="003375A4" w:rsidRPr="003E552C" w:rsidRDefault="003375A4" w:rsidP="003E552C">
      <w:pPr>
        <w:numPr>
          <w:ilvl w:val="0"/>
          <w:numId w:val="0"/>
        </w:numPr>
        <w:ind w:left="360"/>
        <w:jc w:val="both"/>
        <w:rPr>
          <w:rFonts w:cs="Times New Roman"/>
          <w:b/>
        </w:rPr>
      </w:pPr>
      <w:r w:rsidRPr="00A23632">
        <w:rPr>
          <w:rFonts w:cs="Times New Roman"/>
          <w:b/>
        </w:rPr>
        <w:t xml:space="preserve">Plnění č. 1 – zhotovení techniky prostředí staveb ve smyslu bodu D.1.2 přílohy č. </w:t>
      </w:r>
      <w:r w:rsidR="00C760CA">
        <w:rPr>
          <w:rFonts w:cs="Times New Roman"/>
          <w:b/>
        </w:rPr>
        <w:t>1</w:t>
      </w:r>
      <w:r w:rsidRPr="00A23632">
        <w:rPr>
          <w:rFonts w:cs="Times New Roman"/>
          <w:b/>
        </w:rPr>
        <w:t xml:space="preserve"> vyhlášky č.</w:t>
      </w:r>
      <w:r w:rsidR="003E552C">
        <w:rPr>
          <w:rFonts w:cs="Times New Roman"/>
          <w:b/>
        </w:rPr>
        <w:t> </w:t>
      </w:r>
      <w:r w:rsidR="002D400D" w:rsidRPr="00A23632">
        <w:rPr>
          <w:rFonts w:cs="Times New Roman"/>
          <w:b/>
        </w:rPr>
        <w:t>131</w:t>
      </w:r>
      <w:r w:rsidRPr="00A23632">
        <w:rPr>
          <w:rFonts w:cs="Times New Roman"/>
          <w:b/>
        </w:rPr>
        <w:t>/20</w:t>
      </w:r>
      <w:r w:rsidR="002D400D" w:rsidRPr="00A23632">
        <w:rPr>
          <w:rFonts w:cs="Times New Roman"/>
          <w:b/>
        </w:rPr>
        <w:t>24</w:t>
      </w:r>
      <w:r w:rsidRPr="00A23632">
        <w:rPr>
          <w:rFonts w:cs="Times New Roman"/>
          <w:b/>
        </w:rPr>
        <w:t xml:space="preserve"> Sb., Vyhláška o dokumentaci staveb (dále jen „Vyhláška o DS“)</w:t>
      </w:r>
      <w:r w:rsidR="00A23632" w:rsidRPr="00A23632">
        <w:rPr>
          <w:rFonts w:cs="Times New Roman"/>
          <w:b/>
        </w:rPr>
        <w:t xml:space="preserve"> tak, aby část projektové dokumentace zhotovená zhotovitelem obstála nárokům na vydání stavebního </w:t>
      </w:r>
      <w:r w:rsidR="00A23632">
        <w:rPr>
          <w:rFonts w:cs="Times New Roman"/>
          <w:b/>
        </w:rPr>
        <w:t xml:space="preserve">resp. společného </w:t>
      </w:r>
      <w:r w:rsidR="00A23632" w:rsidRPr="00A23632">
        <w:rPr>
          <w:rFonts w:cs="Times New Roman"/>
          <w:b/>
        </w:rPr>
        <w:t>povolení stavebním úřadem dle stavebního zákona</w:t>
      </w:r>
      <w:r w:rsidR="002D400D" w:rsidRPr="00A23632">
        <w:rPr>
          <w:rFonts w:cs="Times New Roman"/>
          <w:b/>
        </w:rPr>
        <w:t>.</w:t>
      </w:r>
    </w:p>
    <w:p w14:paraId="6C35C9D9" w14:textId="7742E062" w:rsidR="002D400D" w:rsidRPr="002D400D" w:rsidRDefault="002D400D" w:rsidP="002D400D">
      <w:pPr>
        <w:numPr>
          <w:ilvl w:val="0"/>
          <w:numId w:val="5"/>
        </w:numPr>
        <w:rPr>
          <w:bCs/>
          <w:i/>
          <w:iCs/>
        </w:rPr>
      </w:pPr>
      <w:r>
        <w:rPr>
          <w:rFonts w:cs="Times New Roman"/>
          <w:bCs/>
        </w:rPr>
        <w:t xml:space="preserve">Smluvní strany se dohodly, že do textu čl. I. odst. 1 písm. B se do výčtu za bod 4. sousloví </w:t>
      </w:r>
      <w:r w:rsidRPr="002D400D">
        <w:rPr>
          <w:i/>
          <w:iCs/>
        </w:rPr>
        <w:t>soupis materiálu – odhad</w:t>
      </w:r>
      <w:r>
        <w:rPr>
          <w:rFonts w:cs="Times New Roman"/>
          <w:bCs/>
        </w:rPr>
        <w:t>, doplňuje následující text (další položky výčtu):</w:t>
      </w:r>
    </w:p>
    <w:p w14:paraId="03E44FDD" w14:textId="63C2E208" w:rsidR="002D400D" w:rsidRPr="00A23632" w:rsidRDefault="002D400D" w:rsidP="00282C8E">
      <w:pPr>
        <w:numPr>
          <w:ilvl w:val="0"/>
          <w:numId w:val="7"/>
        </w:numPr>
        <w:ind w:left="709"/>
        <w:rPr>
          <w:b/>
          <w:bCs/>
        </w:rPr>
      </w:pPr>
      <w:r w:rsidRPr="00A23632">
        <w:rPr>
          <w:b/>
          <w:bCs/>
        </w:rPr>
        <w:t>Gastro;</w:t>
      </w:r>
      <w:r w:rsidR="009B192A">
        <w:rPr>
          <w:b/>
          <w:bCs/>
        </w:rPr>
        <w:t xml:space="preserve"> -</w:t>
      </w:r>
      <w:r w:rsidR="009B192A">
        <w:rPr>
          <w:rStyle w:val="cf01"/>
        </w:rPr>
        <w:t xml:space="preserve">Gastro - návrh vybavení </w:t>
      </w:r>
      <w:proofErr w:type="spellStart"/>
      <w:r w:rsidR="009B192A">
        <w:rPr>
          <w:rStyle w:val="cf01"/>
        </w:rPr>
        <w:t>gastroprovozu</w:t>
      </w:r>
      <w:proofErr w:type="spellEnd"/>
      <w:r w:rsidR="009B192A">
        <w:rPr>
          <w:rStyle w:val="cf01"/>
        </w:rPr>
        <w:t xml:space="preserve"> pro účely stavební připravenosti,</w:t>
      </w:r>
      <w:r w:rsidR="00E03C02">
        <w:rPr>
          <w:rStyle w:val="cf01"/>
        </w:rPr>
        <w:t xml:space="preserve"> </w:t>
      </w:r>
    </w:p>
    <w:p w14:paraId="68D87D44" w14:textId="0CFB819E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>ZTI venky – přípojka vodovodu/kanalizace;</w:t>
      </w:r>
    </w:p>
    <w:p w14:paraId="544A8B71" w14:textId="3C3C6274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>SILNOPROUD venky – přípojka rozvodů silno</w:t>
      </w:r>
      <w:r w:rsidR="003E552C">
        <w:rPr>
          <w:b/>
          <w:bCs/>
        </w:rPr>
        <w:t>proud</w:t>
      </w:r>
      <w:r w:rsidRPr="00A23632">
        <w:rPr>
          <w:b/>
          <w:bCs/>
        </w:rPr>
        <w:t>, přeložka veřejného osvětlení, trafostanice;</w:t>
      </w:r>
    </w:p>
    <w:p w14:paraId="4AD463EA" w14:textId="46E878C5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>SLABOPROUD venky – přípojka slaboproud;</w:t>
      </w:r>
    </w:p>
    <w:p w14:paraId="5109D722" w14:textId="1B8D8D54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>RTCH – výměníková stanice;</w:t>
      </w:r>
    </w:p>
    <w:p w14:paraId="7C23C39B" w14:textId="20739E31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 xml:space="preserve">RTCH – horkovodní přípojka; </w:t>
      </w:r>
    </w:p>
    <w:p w14:paraId="33949DE5" w14:textId="0E888D01" w:rsidR="002D400D" w:rsidRPr="00A23632" w:rsidRDefault="002D400D" w:rsidP="00282C8E">
      <w:pPr>
        <w:ind w:left="709"/>
        <w:rPr>
          <w:b/>
          <w:bCs/>
        </w:rPr>
      </w:pPr>
      <w:r w:rsidRPr="00A23632">
        <w:rPr>
          <w:b/>
          <w:bCs/>
        </w:rPr>
        <w:t>Výtahy.</w:t>
      </w:r>
    </w:p>
    <w:p w14:paraId="4322AEB8" w14:textId="77777777" w:rsidR="00282C8E" w:rsidRPr="00A23632" w:rsidRDefault="00282C8E" w:rsidP="00282C8E">
      <w:pPr>
        <w:numPr>
          <w:ilvl w:val="0"/>
          <w:numId w:val="0"/>
        </w:numPr>
        <w:rPr>
          <w:b/>
          <w:bCs/>
        </w:rPr>
      </w:pPr>
      <w:r w:rsidRPr="00282C8E">
        <w:t xml:space="preserve">3. </w:t>
      </w:r>
      <w:r>
        <w:t xml:space="preserve"> Smluvní strany se dohodly, že Cena v Kč bez DPH bodu 1. přílohy č. 2 </w:t>
      </w:r>
      <w:proofErr w:type="spellStart"/>
      <w:r>
        <w:t>SoD</w:t>
      </w:r>
      <w:proofErr w:type="spellEnd"/>
      <w:r>
        <w:t xml:space="preserve"> v položce </w:t>
      </w:r>
      <w:r w:rsidRPr="00282C8E">
        <w:rPr>
          <w:i/>
          <w:iCs/>
        </w:rPr>
        <w:t>cena za zhotovení techniky prostředí staveb bez DPH</w:t>
      </w:r>
      <w:r>
        <w:t xml:space="preserve"> se mění na </w:t>
      </w:r>
      <w:r w:rsidRPr="00A23632">
        <w:rPr>
          <w:b/>
          <w:bCs/>
        </w:rPr>
        <w:t>9 085 000 Kč</w:t>
      </w:r>
      <w:r w:rsidRPr="00A23632">
        <w:t>.</w:t>
      </w:r>
    </w:p>
    <w:p w14:paraId="21254F83" w14:textId="676C6EC8" w:rsidR="00282C8E" w:rsidRDefault="00282C8E" w:rsidP="00282C8E">
      <w:pPr>
        <w:numPr>
          <w:ilvl w:val="0"/>
          <w:numId w:val="0"/>
        </w:numPr>
      </w:pPr>
      <w:r>
        <w:t xml:space="preserve">4. Smluvní strany se dohodly že Cena v Kč bez DPH bodu 2. přílohy č. 2 </w:t>
      </w:r>
      <w:proofErr w:type="spellStart"/>
      <w:r>
        <w:t>SoD</w:t>
      </w:r>
      <w:proofErr w:type="spellEnd"/>
      <w:r>
        <w:t xml:space="preserve"> v položce </w:t>
      </w:r>
      <w:r w:rsidRPr="00282C8E">
        <w:rPr>
          <w:i/>
          <w:iCs/>
        </w:rPr>
        <w:t>vypracování podkladů pro bílou knihu dle odst. 1 písm. B smlouvy:</w:t>
      </w:r>
      <w:r>
        <w:t xml:space="preserve"> se mění na </w:t>
      </w:r>
      <w:r w:rsidRPr="00A23632">
        <w:rPr>
          <w:b/>
          <w:bCs/>
        </w:rPr>
        <w:t>8 745 000 Kč</w:t>
      </w:r>
      <w:r>
        <w:t>.</w:t>
      </w:r>
    </w:p>
    <w:p w14:paraId="295A947D" w14:textId="7C4A522A" w:rsidR="00282C8E" w:rsidRDefault="00282C8E" w:rsidP="00282C8E">
      <w:pPr>
        <w:numPr>
          <w:ilvl w:val="0"/>
          <w:numId w:val="0"/>
        </w:numPr>
      </w:pPr>
      <w:r>
        <w:t xml:space="preserve">5. Smluvní strany se dohodly, že údaj </w:t>
      </w:r>
      <w:r w:rsidRPr="00282C8E">
        <w:rPr>
          <w:i/>
          <w:iCs/>
        </w:rPr>
        <w:t>Celková cen</w:t>
      </w:r>
      <w:r>
        <w:t xml:space="preserve">a v Kč bez DPH přílohy č. 2 </w:t>
      </w:r>
      <w:proofErr w:type="spellStart"/>
      <w:r>
        <w:t>SoD</w:t>
      </w:r>
      <w:proofErr w:type="spellEnd"/>
      <w:r>
        <w:t xml:space="preserve"> se mění na </w:t>
      </w:r>
      <w:r w:rsidR="00A23632" w:rsidRPr="00A23632">
        <w:rPr>
          <w:b/>
          <w:bCs/>
        </w:rPr>
        <w:t>20 422 000 Kč (bez DPH)</w:t>
      </w:r>
      <w:r w:rsidR="00A23632">
        <w:t>.</w:t>
      </w:r>
    </w:p>
    <w:p w14:paraId="71ED789D" w14:textId="451F0BA9" w:rsidR="00A23632" w:rsidRDefault="00A23632" w:rsidP="00282C8E">
      <w:pPr>
        <w:numPr>
          <w:ilvl w:val="0"/>
          <w:numId w:val="0"/>
        </w:numPr>
      </w:pPr>
      <w:r>
        <w:t xml:space="preserve">6. Smluvní strany se dohodly, že údaj </w:t>
      </w:r>
      <w:r w:rsidRPr="00A23632">
        <w:rPr>
          <w:i/>
          <w:iCs/>
        </w:rPr>
        <w:t>120 dnů</w:t>
      </w:r>
      <w:r>
        <w:t xml:space="preserve"> v čl. I. odst. 4 </w:t>
      </w:r>
      <w:proofErr w:type="spellStart"/>
      <w:r>
        <w:t>SoD</w:t>
      </w:r>
      <w:proofErr w:type="spellEnd"/>
      <w:r>
        <w:t xml:space="preserve"> se mění na</w:t>
      </w:r>
      <w:r w:rsidRPr="00A23632">
        <w:rPr>
          <w:b/>
          <w:bCs/>
        </w:rPr>
        <w:t xml:space="preserve"> </w:t>
      </w:r>
      <w:r w:rsidR="00DC497B">
        <w:rPr>
          <w:b/>
          <w:bCs/>
        </w:rPr>
        <w:t xml:space="preserve">150 </w:t>
      </w:r>
      <w:r w:rsidRPr="00A23632">
        <w:rPr>
          <w:b/>
          <w:bCs/>
        </w:rPr>
        <w:t>dnů</w:t>
      </w:r>
    </w:p>
    <w:p w14:paraId="2C6B05D0" w14:textId="73A14261" w:rsidR="00A23632" w:rsidRPr="00A23632" w:rsidRDefault="00A23632" w:rsidP="00282C8E">
      <w:pPr>
        <w:numPr>
          <w:ilvl w:val="0"/>
          <w:numId w:val="0"/>
        </w:numPr>
        <w:rPr>
          <w:b/>
          <w:bCs/>
        </w:rPr>
      </w:pPr>
      <w:r>
        <w:rPr>
          <w:rFonts w:cs="Times New Roman"/>
        </w:rPr>
        <w:t xml:space="preserve">7. </w:t>
      </w:r>
      <w:r w:rsidRPr="000050A9">
        <w:rPr>
          <w:rFonts w:cs="Times New Roman"/>
        </w:rPr>
        <w:t>Smluvní strany se dohodly, že</w:t>
      </w:r>
      <w:r>
        <w:rPr>
          <w:rFonts w:cs="Times New Roman"/>
        </w:rPr>
        <w:t xml:space="preserve"> text věty poslední čl. I. odst. 4 </w:t>
      </w:r>
      <w:proofErr w:type="spellStart"/>
      <w:r>
        <w:rPr>
          <w:rFonts w:cs="Times New Roman"/>
        </w:rPr>
        <w:t>SoD</w:t>
      </w:r>
      <w:proofErr w:type="spellEnd"/>
      <w:r w:rsidRPr="000050A9">
        <w:rPr>
          <w:rFonts w:cs="Times New Roman"/>
        </w:rPr>
        <w:t xml:space="preserve"> </w:t>
      </w:r>
      <w:r w:rsidRPr="00A23632">
        <w:rPr>
          <w:rFonts w:cs="Times New Roman"/>
          <w:i/>
          <w:iCs/>
        </w:rPr>
        <w:t>…zhotovitel předá dílo objednateli v papírové podobě v počtu 4 výtisků a na datovém nosiči ve formátu PDF a též v editovatelné formě DOC a XLS</w:t>
      </w:r>
      <w:r>
        <w:rPr>
          <w:rFonts w:cs="Times New Roman"/>
          <w:i/>
          <w:iCs/>
        </w:rPr>
        <w:t xml:space="preserve">… </w:t>
      </w:r>
      <w:r w:rsidRPr="00A23632">
        <w:rPr>
          <w:rFonts w:cs="Times New Roman"/>
        </w:rPr>
        <w:t>se ruší a nahrazuje se textem</w:t>
      </w:r>
      <w:r>
        <w:rPr>
          <w:rFonts w:cs="Times New Roman"/>
        </w:rPr>
        <w:t xml:space="preserve">: </w:t>
      </w:r>
      <w:r w:rsidRPr="00A23632">
        <w:rPr>
          <w:rFonts w:cs="Times New Roman"/>
          <w:b/>
          <w:bCs/>
        </w:rPr>
        <w:t>zhotovitel předá dílo objednateli v listinné podobě v počtu 6 výtisků a na datovém nosiči ve formátu PDF</w:t>
      </w:r>
      <w:r w:rsidR="003726E1">
        <w:rPr>
          <w:rFonts w:cs="Times New Roman"/>
          <w:b/>
          <w:bCs/>
        </w:rPr>
        <w:t>, model se předá</w:t>
      </w:r>
      <w:r w:rsidR="007323F8">
        <w:rPr>
          <w:rFonts w:cs="Times New Roman"/>
          <w:b/>
          <w:bCs/>
        </w:rPr>
        <w:t xml:space="preserve"> přes cloud.</w:t>
      </w:r>
      <w:r w:rsidR="007323F8" w:rsidRPr="00A23632">
        <w:rPr>
          <w:b/>
          <w:bCs/>
        </w:rPr>
        <w:t xml:space="preserve"> </w:t>
      </w:r>
    </w:p>
    <w:p w14:paraId="30816138" w14:textId="5E62A373" w:rsidR="00A23632" w:rsidRDefault="00A23632" w:rsidP="00A23632">
      <w:pPr>
        <w:numPr>
          <w:ilvl w:val="0"/>
          <w:numId w:val="0"/>
        </w:numPr>
      </w:pPr>
      <w:r>
        <w:t xml:space="preserve">7. Smluvní strany se dohodly, že údaj </w:t>
      </w:r>
      <w:r>
        <w:rPr>
          <w:i/>
          <w:iCs/>
        </w:rPr>
        <w:t>90</w:t>
      </w:r>
      <w:r w:rsidRPr="00A23632">
        <w:rPr>
          <w:i/>
          <w:iCs/>
        </w:rPr>
        <w:t xml:space="preserve"> dnů</w:t>
      </w:r>
      <w:r>
        <w:t xml:space="preserve"> v čl. I. odst. 5 </w:t>
      </w:r>
      <w:proofErr w:type="spellStart"/>
      <w:r>
        <w:t>SoD</w:t>
      </w:r>
      <w:proofErr w:type="spellEnd"/>
      <w:r>
        <w:t xml:space="preserve"> se mění na</w:t>
      </w:r>
      <w:r w:rsidR="00C81C9E">
        <w:t xml:space="preserve"> 1</w:t>
      </w:r>
      <w:r w:rsidR="004D7BC2">
        <w:t xml:space="preserve">50 </w:t>
      </w:r>
      <w:r w:rsidRPr="003E552C">
        <w:rPr>
          <w:b/>
          <w:bCs/>
        </w:rPr>
        <w:t>dnů.</w:t>
      </w:r>
    </w:p>
    <w:p w14:paraId="3167A50A" w14:textId="77777777" w:rsidR="00A23632" w:rsidRDefault="00A23632" w:rsidP="00A23632">
      <w:pPr>
        <w:numPr>
          <w:ilvl w:val="0"/>
          <w:numId w:val="0"/>
        </w:numPr>
      </w:pPr>
    </w:p>
    <w:p w14:paraId="7B9FEB69" w14:textId="6007475F" w:rsidR="00A23632" w:rsidRPr="003E552C" w:rsidRDefault="003E552C" w:rsidP="003E552C">
      <w:pPr>
        <w:pStyle w:val="Odstavecseseznamem"/>
        <w:numPr>
          <w:ilvl w:val="0"/>
          <w:numId w:val="4"/>
        </w:numPr>
        <w:jc w:val="center"/>
        <w:rPr>
          <w:b/>
          <w:bCs/>
        </w:rPr>
      </w:pPr>
      <w:r w:rsidRPr="003E552C">
        <w:rPr>
          <w:b/>
          <w:bCs/>
        </w:rPr>
        <w:t>USTANOVENÍ SPOLEČNÁ A ZÁVĚREČNÁ</w:t>
      </w:r>
    </w:p>
    <w:p w14:paraId="7B9D44AF" w14:textId="5C4186BB" w:rsidR="003E552C" w:rsidRDefault="003E552C" w:rsidP="003E552C">
      <w:pPr>
        <w:numPr>
          <w:ilvl w:val="0"/>
          <w:numId w:val="11"/>
        </w:numPr>
        <w:jc w:val="both"/>
      </w:pPr>
      <w:r>
        <w:t xml:space="preserve">Smluvní strany se dohodly, že ustanovení </w:t>
      </w:r>
      <w:proofErr w:type="spellStart"/>
      <w:r>
        <w:t>SoD</w:t>
      </w:r>
      <w:proofErr w:type="spellEnd"/>
      <w:r>
        <w:t xml:space="preserve"> v Dodatku č. 1 výslovně nezmíněné resp. nezměněné zůstávají nadále v platnosti a účinnosti.</w:t>
      </w:r>
    </w:p>
    <w:p w14:paraId="2080A994" w14:textId="668E4942" w:rsidR="003E552C" w:rsidRDefault="003E552C" w:rsidP="003E552C">
      <w:pPr>
        <w:numPr>
          <w:ilvl w:val="0"/>
          <w:numId w:val="11"/>
        </w:numPr>
        <w:jc w:val="both"/>
      </w:pPr>
      <w:r>
        <w:t>Dodatek č. 1 je vyhotoven v elektronickém originále a opatřen elektronickými podpisy (kvalifikovanými certifikáty) smluvních stran.</w:t>
      </w:r>
    </w:p>
    <w:p w14:paraId="0C7304C0" w14:textId="288D5B43" w:rsidR="003E552C" w:rsidRDefault="003E552C" w:rsidP="003E552C">
      <w:pPr>
        <w:numPr>
          <w:ilvl w:val="0"/>
          <w:numId w:val="3"/>
        </w:numPr>
        <w:jc w:val="both"/>
      </w:pPr>
      <w:r w:rsidRPr="00581345">
        <w:lastRenderedPageBreak/>
        <w:t xml:space="preserve">Smluvní strany </w:t>
      </w:r>
      <w:r w:rsidRPr="003E552C">
        <w:t>Smluvní strany potvrzují autentičnost Dodatku č. 1 a prohlašují, že si jej přečetly, s jeho obsahem souhlasí, že se zakládá na pravdivých údajích a vůle být jím vázán vychází z jejich pravé a svobodné vůle, což stvrzují podpisem svého oprávněného zástupce.</w:t>
      </w:r>
    </w:p>
    <w:p w14:paraId="10F98C03" w14:textId="390D13C3" w:rsidR="00F93FE9" w:rsidRDefault="003E552C" w:rsidP="003E552C">
      <w:pPr>
        <w:numPr>
          <w:ilvl w:val="0"/>
          <w:numId w:val="3"/>
        </w:numPr>
        <w:jc w:val="both"/>
      </w:pPr>
      <w:r>
        <w:t>Dodatek č. 1 nabývá platnosti dnem podpisu obou smluvních stran</w:t>
      </w:r>
      <w:r w:rsidR="00847D8C">
        <w:t>.</w:t>
      </w:r>
      <w:r>
        <w:t xml:space="preserve"> </w:t>
      </w:r>
    </w:p>
    <w:p w14:paraId="6D967DD7" w14:textId="35D127CE" w:rsidR="003E552C" w:rsidRDefault="00F93FE9" w:rsidP="003E552C">
      <w:pPr>
        <w:numPr>
          <w:ilvl w:val="0"/>
          <w:numId w:val="3"/>
        </w:numPr>
        <w:jc w:val="both"/>
      </w:pPr>
      <w:r>
        <w:t xml:space="preserve">Dodatek č.1 nabývá </w:t>
      </w:r>
      <w:r w:rsidR="003E552C">
        <w:t>účinnosti vložením do Registru smluv</w:t>
      </w:r>
      <w:r>
        <w:t xml:space="preserve"> a v otázce </w:t>
      </w:r>
      <w:r w:rsidR="009E75F2">
        <w:t>ceny podle článku 4, 5, a 6 tohoto dodatku</w:t>
      </w:r>
      <w:r w:rsidR="00847D8C">
        <w:t xml:space="preserve"> nabývá účinnosti </w:t>
      </w:r>
      <w:r w:rsidR="00654439">
        <w:t xml:space="preserve">vložením do </w:t>
      </w:r>
      <w:r w:rsidR="00C93175">
        <w:t xml:space="preserve">Registru smluv a </w:t>
      </w:r>
      <w:r w:rsidR="00847D8C">
        <w:t>po schválení dozorčí radou objednatele</w:t>
      </w:r>
      <w:r w:rsidR="00C93175">
        <w:t>, podle toho co nastane později.</w:t>
      </w:r>
    </w:p>
    <w:p w14:paraId="0ADB706E" w14:textId="77777777" w:rsidR="003E552C" w:rsidRDefault="003E552C" w:rsidP="003E552C">
      <w:pPr>
        <w:numPr>
          <w:ilvl w:val="0"/>
          <w:numId w:val="0"/>
        </w:numPr>
        <w:ind w:left="360" w:hanging="360"/>
        <w:jc w:val="both"/>
      </w:pPr>
    </w:p>
    <w:p w14:paraId="5F6AD75A" w14:textId="77777777" w:rsidR="003E552C" w:rsidRDefault="003E552C" w:rsidP="003E552C">
      <w:pPr>
        <w:numPr>
          <w:ilvl w:val="0"/>
          <w:numId w:val="0"/>
        </w:numPr>
        <w:ind w:left="360" w:hanging="360"/>
        <w:jc w:val="both"/>
      </w:pPr>
    </w:p>
    <w:p w14:paraId="146A2009" w14:textId="77777777" w:rsidR="003E552C" w:rsidRDefault="003E552C" w:rsidP="003E552C">
      <w:pPr>
        <w:numPr>
          <w:ilvl w:val="0"/>
          <w:numId w:val="0"/>
        </w:numPr>
        <w:ind w:left="360" w:hanging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1"/>
        <w:gridCol w:w="4571"/>
      </w:tblGrid>
      <w:tr w:rsidR="003E552C" w:rsidRPr="000050A9" w14:paraId="59EFD982" w14:textId="77777777" w:rsidTr="00473B5B">
        <w:trPr>
          <w:trHeight w:val="567"/>
          <w:jc w:val="center"/>
        </w:trPr>
        <w:tc>
          <w:tcPr>
            <w:tcW w:w="4605" w:type="dxa"/>
            <w:shd w:val="clear" w:color="auto" w:fill="auto"/>
            <w:vAlign w:val="bottom"/>
          </w:tcPr>
          <w:p w14:paraId="47B8BCE1" w14:textId="77777777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___________________________________</w:t>
            </w:r>
          </w:p>
        </w:tc>
        <w:tc>
          <w:tcPr>
            <w:tcW w:w="4621" w:type="dxa"/>
            <w:shd w:val="clear" w:color="auto" w:fill="auto"/>
            <w:vAlign w:val="bottom"/>
          </w:tcPr>
          <w:p w14:paraId="1532D3B1" w14:textId="77777777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____________________________________</w:t>
            </w:r>
          </w:p>
        </w:tc>
      </w:tr>
      <w:tr w:rsidR="003E552C" w:rsidRPr="000050A9" w14:paraId="2903D750" w14:textId="77777777" w:rsidTr="00473B5B">
        <w:trPr>
          <w:trHeight w:val="567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61783082" w14:textId="155F4FE9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Ing. arch. Hynek Gloser, Ph.D., jednatel</w:t>
            </w:r>
          </w:p>
          <w:p w14:paraId="5AE9D4B9" w14:textId="77777777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Kulturní centrum Plzeňského kraje s.r.o.</w:t>
            </w:r>
          </w:p>
        </w:tc>
        <w:tc>
          <w:tcPr>
            <w:tcW w:w="4621" w:type="dxa"/>
            <w:shd w:val="clear" w:color="auto" w:fill="auto"/>
          </w:tcPr>
          <w:p w14:paraId="5792B3D1" w14:textId="34B9EB5B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Ing. Petr Zeman, jednatel</w:t>
            </w:r>
          </w:p>
          <w:p w14:paraId="3209475F" w14:textId="3F761E66" w:rsidR="003E552C" w:rsidRPr="003E552C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  <w:r w:rsidRPr="003E552C">
              <w:rPr>
                <w:szCs w:val="24"/>
              </w:rPr>
              <w:t>AFRY CZ, s.r.o.</w:t>
            </w:r>
          </w:p>
        </w:tc>
      </w:tr>
      <w:tr w:rsidR="003E552C" w:rsidRPr="000050A9" w14:paraId="779B2174" w14:textId="77777777" w:rsidTr="00473B5B">
        <w:trPr>
          <w:trHeight w:val="567"/>
          <w:jc w:val="center"/>
        </w:trPr>
        <w:tc>
          <w:tcPr>
            <w:tcW w:w="4605" w:type="dxa"/>
            <w:shd w:val="clear" w:color="auto" w:fill="auto"/>
            <w:vAlign w:val="center"/>
          </w:tcPr>
          <w:p w14:paraId="162267DF" w14:textId="77777777" w:rsidR="003E552C" w:rsidRPr="000050A9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</w:rPr>
            </w:pPr>
          </w:p>
        </w:tc>
        <w:tc>
          <w:tcPr>
            <w:tcW w:w="4621" w:type="dxa"/>
            <w:shd w:val="clear" w:color="auto" w:fill="auto"/>
          </w:tcPr>
          <w:p w14:paraId="40F7A5A9" w14:textId="77777777" w:rsidR="003E552C" w:rsidRPr="000050A9" w:rsidRDefault="003E552C" w:rsidP="003E552C">
            <w:pPr>
              <w:numPr>
                <w:ilvl w:val="0"/>
                <w:numId w:val="0"/>
              </w:numPr>
              <w:ind w:left="360"/>
              <w:rPr>
                <w:szCs w:val="24"/>
                <w:highlight w:val="yellow"/>
              </w:rPr>
            </w:pPr>
          </w:p>
        </w:tc>
      </w:tr>
    </w:tbl>
    <w:p w14:paraId="31067ED2" w14:textId="77777777" w:rsidR="003E552C" w:rsidRDefault="003E552C" w:rsidP="003E552C">
      <w:pPr>
        <w:numPr>
          <w:ilvl w:val="0"/>
          <w:numId w:val="0"/>
        </w:numPr>
        <w:ind w:left="360" w:hanging="360"/>
        <w:jc w:val="both"/>
      </w:pPr>
    </w:p>
    <w:p w14:paraId="0A82510B" w14:textId="6E7B6B25" w:rsidR="00A23632" w:rsidRPr="00A23632" w:rsidRDefault="00A23632" w:rsidP="00282C8E">
      <w:pPr>
        <w:numPr>
          <w:ilvl w:val="0"/>
          <w:numId w:val="0"/>
        </w:numPr>
      </w:pPr>
    </w:p>
    <w:sectPr w:rsidR="00A23632" w:rsidRPr="00A23632" w:rsidSect="003E55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3F29" w14:textId="77777777" w:rsidR="00576393" w:rsidRDefault="00576393" w:rsidP="003E552C">
      <w:pPr>
        <w:spacing w:after="0"/>
      </w:pPr>
      <w:r>
        <w:separator/>
      </w:r>
    </w:p>
  </w:endnote>
  <w:endnote w:type="continuationSeparator" w:id="0">
    <w:p w14:paraId="6456E580" w14:textId="77777777" w:rsidR="00576393" w:rsidRDefault="00576393" w:rsidP="003E55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206945954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3F7D1F8" w14:textId="676C3800" w:rsidR="003E552C" w:rsidRDefault="003E552C" w:rsidP="004C5C73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sdt>
    <w:sdtPr>
      <w:rPr>
        <w:rStyle w:val="slostrnky"/>
      </w:rPr>
      <w:id w:val="21341299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53F1213" w14:textId="5D7A8056" w:rsidR="003E552C" w:rsidRDefault="003E552C" w:rsidP="003E552C">
        <w:pPr>
          <w:pStyle w:val="Zpat"/>
          <w:framePr w:wrap="none" w:vAnchor="text" w:hAnchor="margin" w:xAlign="right" w:y="1"/>
          <w:ind w:right="360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4ECA6AE" w14:textId="77777777" w:rsidR="003E552C" w:rsidRDefault="003E552C" w:rsidP="003E55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12374928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56412CB" w14:textId="267B1C5F" w:rsidR="003E552C" w:rsidRDefault="003E552C" w:rsidP="003E552C">
        <w:pPr>
          <w:pStyle w:val="Zpat"/>
          <w:framePr w:wrap="none" w:vAnchor="text" w:hAnchor="margin" w:xAlign="right" w:y="1"/>
          <w:numPr>
            <w:ilvl w:val="0"/>
            <w:numId w:val="0"/>
          </w:numPr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D55B80C" w14:textId="77777777" w:rsidR="003E552C" w:rsidRDefault="003E552C" w:rsidP="003E552C">
    <w:pPr>
      <w:numPr>
        <w:ilvl w:val="0"/>
        <w:numId w:val="0"/>
      </w:numPr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E207" w14:textId="77777777" w:rsidR="00F9667B" w:rsidRDefault="00F96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422BF" w14:textId="77777777" w:rsidR="00576393" w:rsidRDefault="00576393" w:rsidP="003E552C">
      <w:pPr>
        <w:spacing w:after="0"/>
      </w:pPr>
      <w:r>
        <w:separator/>
      </w:r>
    </w:p>
  </w:footnote>
  <w:footnote w:type="continuationSeparator" w:id="0">
    <w:p w14:paraId="38A2F1C3" w14:textId="77777777" w:rsidR="00576393" w:rsidRDefault="00576393" w:rsidP="003E55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479041053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481EA7C4" w14:textId="1593CA10" w:rsidR="003E552C" w:rsidRDefault="003E552C" w:rsidP="004C5C73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6582BB6" w14:textId="77777777" w:rsidR="003E552C" w:rsidRDefault="003E552C" w:rsidP="003E552C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5B57F" w14:textId="72FB11A4" w:rsidR="003E552C" w:rsidRDefault="003E552C" w:rsidP="003E552C">
    <w:pPr>
      <w:pStyle w:val="Zhlav"/>
      <w:framePr w:wrap="none" w:vAnchor="text" w:hAnchor="margin" w:xAlign="right" w:y="1"/>
      <w:numPr>
        <w:ilvl w:val="0"/>
        <w:numId w:val="0"/>
      </w:numPr>
      <w:rPr>
        <w:rStyle w:val="slostrnky"/>
      </w:rPr>
    </w:pPr>
  </w:p>
  <w:p w14:paraId="4160DC54" w14:textId="77777777" w:rsidR="003E552C" w:rsidRDefault="003E552C" w:rsidP="003E552C">
    <w:pPr>
      <w:pStyle w:val="Zhlav"/>
      <w:numPr>
        <w:ilvl w:val="0"/>
        <w:numId w:val="0"/>
      </w:numPr>
      <w:ind w:left="360"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5681" w14:textId="77777777" w:rsidR="00F9667B" w:rsidRDefault="00F966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2B9"/>
    <w:multiLevelType w:val="multilevel"/>
    <w:tmpl w:val="21C6FBF4"/>
    <w:lvl w:ilvl="0">
      <w:start w:val="1"/>
      <w:numFmt w:val="decimal"/>
      <w:pStyle w:val="Normln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>
      <w:start w:val="1"/>
      <w:numFmt w:val="decimal"/>
      <w:pStyle w:val="Podnadpis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6C5622"/>
    <w:multiLevelType w:val="hybridMultilevel"/>
    <w:tmpl w:val="9B8835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8202E"/>
    <w:multiLevelType w:val="hybridMultilevel"/>
    <w:tmpl w:val="EA988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C4560"/>
    <w:multiLevelType w:val="multilevel"/>
    <w:tmpl w:val="A29CD980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4A946441"/>
    <w:multiLevelType w:val="hybridMultilevel"/>
    <w:tmpl w:val="DEC4C78A"/>
    <w:lvl w:ilvl="0" w:tplc="BD422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B25C2"/>
    <w:multiLevelType w:val="hybridMultilevel"/>
    <w:tmpl w:val="201C52C6"/>
    <w:lvl w:ilvl="0" w:tplc="F4145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39089">
    <w:abstractNumId w:val="0"/>
  </w:num>
  <w:num w:numId="2" w16cid:durableId="1266423307">
    <w:abstractNumId w:val="1"/>
  </w:num>
  <w:num w:numId="3" w16cid:durableId="872576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2673975">
    <w:abstractNumId w:val="4"/>
  </w:num>
  <w:num w:numId="5" w16cid:durableId="911475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1371329">
    <w:abstractNumId w:val="0"/>
    <w:lvlOverride w:ilvl="0">
      <w:startOverride w:val="5"/>
    </w:lvlOverride>
  </w:num>
  <w:num w:numId="7" w16cid:durableId="1849371994">
    <w:abstractNumId w:val="0"/>
    <w:lvlOverride w:ilvl="0">
      <w:startOverride w:val="5"/>
    </w:lvlOverride>
  </w:num>
  <w:num w:numId="8" w16cid:durableId="1427918729">
    <w:abstractNumId w:val="2"/>
  </w:num>
  <w:num w:numId="9" w16cid:durableId="683093334">
    <w:abstractNumId w:val="5"/>
  </w:num>
  <w:num w:numId="10" w16cid:durableId="51303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4834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2519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A6"/>
    <w:rsid w:val="001618AF"/>
    <w:rsid w:val="00282C8E"/>
    <w:rsid w:val="002B07BB"/>
    <w:rsid w:val="002D1409"/>
    <w:rsid w:val="002D400D"/>
    <w:rsid w:val="002E00FD"/>
    <w:rsid w:val="002E450E"/>
    <w:rsid w:val="002F0FA6"/>
    <w:rsid w:val="003375A4"/>
    <w:rsid w:val="00355E81"/>
    <w:rsid w:val="003726E1"/>
    <w:rsid w:val="003E552C"/>
    <w:rsid w:val="00431069"/>
    <w:rsid w:val="0047752F"/>
    <w:rsid w:val="004B3D90"/>
    <w:rsid w:val="004D7BC2"/>
    <w:rsid w:val="00533AB7"/>
    <w:rsid w:val="00574FDA"/>
    <w:rsid w:val="00576393"/>
    <w:rsid w:val="00644F87"/>
    <w:rsid w:val="00654439"/>
    <w:rsid w:val="006559E5"/>
    <w:rsid w:val="006A6BA6"/>
    <w:rsid w:val="007323F8"/>
    <w:rsid w:val="00847D8C"/>
    <w:rsid w:val="0094525E"/>
    <w:rsid w:val="009B192A"/>
    <w:rsid w:val="009E75F2"/>
    <w:rsid w:val="00A23632"/>
    <w:rsid w:val="00A323B4"/>
    <w:rsid w:val="00A46EEA"/>
    <w:rsid w:val="00B06847"/>
    <w:rsid w:val="00B63F78"/>
    <w:rsid w:val="00BB7FF6"/>
    <w:rsid w:val="00C13647"/>
    <w:rsid w:val="00C760CA"/>
    <w:rsid w:val="00C81C9E"/>
    <w:rsid w:val="00C93175"/>
    <w:rsid w:val="00D8635C"/>
    <w:rsid w:val="00DC497B"/>
    <w:rsid w:val="00E03C02"/>
    <w:rsid w:val="00EC473A"/>
    <w:rsid w:val="00EC68E3"/>
    <w:rsid w:val="00F57AB5"/>
    <w:rsid w:val="00F93FE9"/>
    <w:rsid w:val="00F9667B"/>
    <w:rsid w:val="00FD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6C4B"/>
  <w15:chartTrackingRefBased/>
  <w15:docId w15:val="{D21C660F-D6CE-2C47-AB1F-71D569A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FA6"/>
    <w:pPr>
      <w:numPr>
        <w:numId w:val="1"/>
      </w:numPr>
      <w:spacing w:after="200"/>
    </w:pPr>
    <w:rPr>
      <w:rFonts w:ascii="Garamond" w:hAnsi="Garamond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559E5"/>
    <w:pPr>
      <w:spacing w:before="120" w:after="120"/>
      <w:jc w:val="center"/>
      <w:outlineLvl w:val="0"/>
    </w:pPr>
    <w:rPr>
      <w:color w:val="000000" w:themeColor="text1"/>
      <w:kern w:val="2"/>
      <w:sz w:val="24"/>
      <w:szCs w:val="32"/>
      <w14:ligatures w14:val="standardContextual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2F0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0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0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0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0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0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0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0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9E5"/>
    <w:rPr>
      <w:color w:val="000000" w:themeColor="text1"/>
      <w:szCs w:val="32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2F0FA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0FA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0FA6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0FA6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0FA6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0FA6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0FA6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0FA6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F0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0FA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0FA6"/>
    <w:pPr>
      <w:numPr>
        <w:ilvl w:val="1"/>
      </w:numPr>
      <w:spacing w:after="160"/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0FA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F0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0FA6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2F0F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0FA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0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0FA6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F0FA6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F0FA6"/>
    <w:pPr>
      <w:ind w:left="360" w:hanging="360"/>
    </w:pPr>
    <w:rPr>
      <w:rFonts w:ascii="Garamond" w:hAnsi="Garamond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0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0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00D"/>
    <w:rPr>
      <w:rFonts w:ascii="Garamond" w:hAnsi="Garamond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0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00D"/>
    <w:rPr>
      <w:rFonts w:ascii="Garamond" w:hAnsi="Garamond"/>
      <w:b/>
      <w:bCs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2D400D"/>
    <w:rPr>
      <w:rFonts w:ascii="Garamond" w:hAnsi="Garamond"/>
      <w:kern w:val="0"/>
      <w:sz w:val="22"/>
      <w:szCs w:val="22"/>
      <w14:ligatures w14:val="none"/>
    </w:rPr>
  </w:style>
  <w:style w:type="paragraph" w:customStyle="1" w:styleId="NADPIS2">
    <w:name w:val="NADPIS2"/>
    <w:basedOn w:val="Zkladntext"/>
    <w:qFormat/>
    <w:rsid w:val="003E552C"/>
    <w:pPr>
      <w:widowControl w:val="0"/>
      <w:numPr>
        <w:numId w:val="12"/>
      </w:numPr>
      <w:tabs>
        <w:tab w:val="left" w:pos="426"/>
        <w:tab w:val="left" w:pos="567"/>
        <w:tab w:val="left" w:pos="851"/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suppressAutoHyphens/>
      <w:spacing w:after="0" w:line="100" w:lineRule="atLeast"/>
      <w:contextualSpacing/>
      <w:jc w:val="both"/>
    </w:pPr>
    <w:rPr>
      <w:rFonts w:eastAsia="Times New Roman" w:cs="Arial"/>
      <w:color w:val="000000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55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552C"/>
    <w:rPr>
      <w:rFonts w:ascii="Garamond" w:hAnsi="Garamond"/>
      <w:kern w:val="0"/>
      <w:sz w:val="22"/>
      <w:szCs w:val="22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5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52C"/>
    <w:rPr>
      <w:rFonts w:ascii="Garamond" w:hAnsi="Garamond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55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E552C"/>
    <w:rPr>
      <w:rFonts w:ascii="Garamond" w:hAnsi="Garamond"/>
      <w:kern w:val="0"/>
      <w:sz w:val="22"/>
      <w:szCs w:val="22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3E552C"/>
  </w:style>
  <w:style w:type="character" w:customStyle="1" w:styleId="cf01">
    <w:name w:val="cf01"/>
    <w:basedOn w:val="Standardnpsmoodstavce"/>
    <w:rsid w:val="009B192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7EAE6BBF9DC4697EB1A6F68B21C0E" ma:contentTypeVersion="20" ma:contentTypeDescription="Create a new document." ma:contentTypeScope="" ma:versionID="76e80d2fea65012274d1baf2c174b62a">
  <xsd:schema xmlns:xsd="http://www.w3.org/2001/XMLSchema" xmlns:xs="http://www.w3.org/2001/XMLSchema" xmlns:p="http://schemas.microsoft.com/office/2006/metadata/properties" xmlns:ns2="a1b48924-e57a-44e2-bdc9-7e5f344f3ca3" xmlns:ns3="0e213e9c-8700-4fc3-8675-31dd6706271c" targetNamespace="http://schemas.microsoft.com/office/2006/metadata/properties" ma:root="true" ma:fieldsID="10cc48db7ae94916240b5b453990575f" ns2:_="" ns3:_="">
    <xsd:import namespace="a1b48924-e57a-44e2-bdc9-7e5f344f3ca3"/>
    <xsd:import namespace="0e213e9c-8700-4fc3-8675-31dd6706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8924-e57a-44e2-bdc9-7e5f344f3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44f826-d9d4-4f4d-b061-51c0d85fd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13e9c-8700-4fc3-8675-31dd6706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69c9c6-faf7-4518-9d3b-4af5c630ef0d}" ma:internalName="TaxCatchAll" ma:showField="CatchAllData" ma:web="0e213e9c-8700-4fc3-8675-31dd67062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b48924-e57a-44e2-bdc9-7e5f344f3ca3">
      <Terms xmlns="http://schemas.microsoft.com/office/infopath/2007/PartnerControls"/>
    </lcf76f155ced4ddcb4097134ff3c332f>
    <TaxCatchAll xmlns="0e213e9c-8700-4fc3-8675-31dd6706271c" xsi:nil="true"/>
  </documentManagement>
</p:properties>
</file>

<file path=customXml/itemProps1.xml><?xml version="1.0" encoding="utf-8"?>
<ds:datastoreItem xmlns:ds="http://schemas.openxmlformats.org/officeDocument/2006/customXml" ds:itemID="{BA1D2BD6-0E4E-4C74-A6F6-A62A4BD37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963B6D-9A96-41C5-9336-7A3D422E9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48924-e57a-44e2-bdc9-7e5f344f3ca3"/>
    <ds:schemaRef ds:uri="0e213e9c-8700-4fc3-8675-31dd6706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967FA-4CA3-46B8-BEC9-004349EB765E}">
  <ds:schemaRefs>
    <ds:schemaRef ds:uri="http://schemas.microsoft.com/office/2006/metadata/properties"/>
    <ds:schemaRef ds:uri="http://schemas.microsoft.com/office/infopath/2007/PartnerControls"/>
    <ds:schemaRef ds:uri="a1b48924-e57a-44e2-bdc9-7e5f344f3ca3"/>
    <ds:schemaRef ds:uri="0e213e9c-8700-4fc3-8675-31dd670627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Hynek</cp:lastModifiedBy>
  <cp:revision>2</cp:revision>
  <dcterms:created xsi:type="dcterms:W3CDTF">2024-09-11T07:58:00Z</dcterms:created>
  <dcterms:modified xsi:type="dcterms:W3CDTF">2024-09-11T07:58:00Z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0x010100D6A7EAE6BBF9DC4697EB1A6F68B21C0E</vt:lpwstr>
  </property>
  <property fmtid="{D5CDD505-2E9C-101B-9397-08002B2CF9AE}" pid="3" name="MediaServiceImageTags">
    <vt:lpwstr/>
  </property>
</Properties>
</file>