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24" w:rsidRPr="00E16950" w:rsidRDefault="00403124" w:rsidP="00403124">
      <w:pPr>
        <w:pStyle w:val="Nzev"/>
        <w:jc w:val="center"/>
        <w:rPr>
          <w:b w:val="0"/>
          <w:sz w:val="32"/>
          <w:szCs w:val="32"/>
        </w:rPr>
      </w:pPr>
      <w:bookmarkStart w:id="0" w:name="OLE_LINK1"/>
      <w:bookmarkStart w:id="1" w:name="OLE_LINK2"/>
      <w:r w:rsidRPr="00E16950">
        <w:rPr>
          <w:b w:val="0"/>
          <w:sz w:val="32"/>
          <w:szCs w:val="32"/>
        </w:rPr>
        <w:t xml:space="preserve">Dodatek č. </w:t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instrText xml:space="preserve"> FORMTEXT </w:instrText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fldChar w:fldCharType="separate"/>
      </w:r>
      <w:r>
        <w:rPr>
          <w:rStyle w:val="P-HEAD-WBULLETSChar"/>
          <w:rFonts w:cs="Tahoma"/>
          <w:b w:val="0"/>
          <w:noProof/>
          <w:sz w:val="32"/>
          <w:szCs w:val="32"/>
          <w:highlight w:val="lightGray"/>
        </w:rPr>
        <w:t>1/2013</w:t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fldChar w:fldCharType="end"/>
      </w:r>
      <w:r w:rsidRPr="00E16950">
        <w:rPr>
          <w:rStyle w:val="P-HEAD-WBULLETSChar"/>
          <w:rFonts w:cs="Tahoma"/>
          <w:b w:val="0"/>
          <w:sz w:val="32"/>
          <w:szCs w:val="32"/>
        </w:rPr>
        <w:t xml:space="preserve"> </w:t>
      </w:r>
      <w:r w:rsidRPr="00E16950">
        <w:rPr>
          <w:b w:val="0"/>
          <w:sz w:val="32"/>
          <w:szCs w:val="32"/>
        </w:rPr>
        <w:t xml:space="preserve">k Smlouvě </w:t>
      </w:r>
      <w:r w:rsidRPr="00E16950">
        <w:rPr>
          <w:rStyle w:val="P-HEAD-WBULLETSChar"/>
          <w:rFonts w:cs="Tahoma"/>
          <w:b w:val="0"/>
          <w:sz w:val="32"/>
          <w:szCs w:val="32"/>
        </w:rPr>
        <w:t>o zajištění služeb pro Českou poštu, </w:t>
      </w:r>
      <w:proofErr w:type="spellStart"/>
      <w:proofErr w:type="gramStart"/>
      <w:r w:rsidRPr="00E16950">
        <w:rPr>
          <w:rStyle w:val="P-HEAD-WBULLETSChar"/>
          <w:rFonts w:cs="Tahoma"/>
          <w:b w:val="0"/>
          <w:sz w:val="32"/>
          <w:szCs w:val="32"/>
        </w:rPr>
        <w:t>s.p</w:t>
      </w:r>
      <w:proofErr w:type="spellEnd"/>
      <w:r w:rsidRPr="00E16950">
        <w:rPr>
          <w:rStyle w:val="P-HEAD-WBULLETSChar"/>
          <w:rFonts w:cs="Tahoma"/>
          <w:b w:val="0"/>
          <w:sz w:val="32"/>
          <w:szCs w:val="32"/>
        </w:rPr>
        <w:t>.</w:t>
      </w:r>
      <w:proofErr w:type="gramEnd"/>
    </w:p>
    <w:p w:rsidR="00403124" w:rsidRPr="00125732" w:rsidRDefault="00403124" w:rsidP="00403124">
      <w:pPr>
        <w:pStyle w:val="Nzev"/>
        <w:jc w:val="center"/>
      </w:pPr>
      <w:r w:rsidRPr="00E16950">
        <w:rPr>
          <w:b w:val="0"/>
          <w:sz w:val="32"/>
          <w:szCs w:val="32"/>
        </w:rPr>
        <w:t xml:space="preserve">č.  </w:t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instrText xml:space="preserve"> FORMTEXT </w:instrText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fldChar w:fldCharType="separate"/>
      </w:r>
      <w:r>
        <w:rPr>
          <w:rStyle w:val="P-HEAD-WBULLETSChar"/>
          <w:rFonts w:cs="Tahoma"/>
          <w:b w:val="0"/>
          <w:noProof/>
          <w:sz w:val="32"/>
          <w:szCs w:val="32"/>
          <w:highlight w:val="lightGray"/>
        </w:rPr>
        <w:t>31</w:t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fldChar w:fldCharType="end"/>
      </w:r>
      <w:r w:rsidRPr="00E16950">
        <w:rPr>
          <w:rStyle w:val="P-HEAD-WBULLETSChar"/>
          <w:rFonts w:cs="Tahoma"/>
          <w:b w:val="0"/>
          <w:sz w:val="32"/>
          <w:szCs w:val="32"/>
        </w:rPr>
        <w:t xml:space="preserve"> / </w:t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instrText xml:space="preserve"> FORMTEXT </w:instrText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fldChar w:fldCharType="separate"/>
      </w:r>
      <w:r>
        <w:rPr>
          <w:rStyle w:val="P-HEAD-WBULLETSChar"/>
          <w:rFonts w:cs="Tahoma"/>
          <w:b w:val="0"/>
          <w:noProof/>
          <w:sz w:val="32"/>
          <w:szCs w:val="32"/>
          <w:highlight w:val="lightGray"/>
        </w:rPr>
        <w:t>2013</w:t>
      </w:r>
      <w:r w:rsidRPr="005F3A27">
        <w:rPr>
          <w:rStyle w:val="P-HEAD-WBULLETSChar"/>
          <w:rFonts w:cs="Tahoma"/>
          <w:b w:val="0"/>
          <w:sz w:val="32"/>
          <w:szCs w:val="32"/>
          <w:highlight w:val="lightGray"/>
        </w:rPr>
        <w:fldChar w:fldCharType="end"/>
      </w:r>
    </w:p>
    <w:p w:rsidR="00403124" w:rsidRDefault="00403124" w:rsidP="00403124">
      <w:pPr>
        <w:pStyle w:val="P-NORMAL-TEXT"/>
        <w:rPr>
          <w:rFonts w:cs="Tahoma"/>
        </w:rPr>
      </w:pPr>
    </w:p>
    <w:p w:rsidR="00403124" w:rsidRDefault="00403124" w:rsidP="00403124">
      <w:pPr>
        <w:pStyle w:val="P-NORMAL-TEXT"/>
        <w:rPr>
          <w:rFonts w:cs="Tahoma"/>
        </w:rPr>
      </w:pPr>
    </w:p>
    <w:p w:rsidR="00403124" w:rsidRDefault="00403124" w:rsidP="00403124">
      <w:pPr>
        <w:pStyle w:val="P-NORMAL-TEXT"/>
        <w:rPr>
          <w:rFonts w:cs="Tahoma"/>
        </w:rPr>
      </w:pPr>
      <w:r>
        <w:rPr>
          <w:rFonts w:cs="Tahoma"/>
          <w:szCs w:val="22"/>
        </w:rPr>
        <w:t>Uzavřená mezi následujícími stranami:</w:t>
      </w:r>
    </w:p>
    <w:p w:rsidR="00403124" w:rsidRDefault="00403124" w:rsidP="00403124">
      <w:pPr>
        <w:pStyle w:val="P-NORMAL-TEXT"/>
        <w:rPr>
          <w:rFonts w:cs="Tahoma"/>
        </w:rPr>
      </w:pPr>
    </w:p>
    <w:p w:rsidR="00403124" w:rsidRDefault="00403124" w:rsidP="00403124">
      <w:pPr>
        <w:pStyle w:val="P-NORMAL-TEXT"/>
        <w:rPr>
          <w:rFonts w:cs="Tahoma"/>
        </w:rPr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</w:pPr>
            <w:r w:rsidRPr="002E4508">
              <w:rPr>
                <w:b/>
              </w:rPr>
              <w:t xml:space="preserve">Česká pošta, </w:t>
            </w:r>
            <w:proofErr w:type="spellStart"/>
            <w:proofErr w:type="gramStart"/>
            <w:r w:rsidRPr="002E4508">
              <w:rPr>
                <w:b/>
              </w:rPr>
              <w:t>s.p</w:t>
            </w:r>
            <w:proofErr w:type="spellEnd"/>
            <w:r w:rsidRPr="002E4508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</w:pP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se sídlem: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Politických vězňů 909/4, 225 99, Praha 1</w:t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IČ: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47114983</w:t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DIČ: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CZ47114983</w:t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zastoupen/jednající: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>
              <w:rPr>
                <w:noProof/>
              </w:rPr>
              <w:t>Ing. Rastislavem Horáčkem</w:t>
            </w:r>
            <w:r w:rsidRPr="002E4508">
              <w:fldChar w:fldCharType="end"/>
            </w:r>
            <w:r w:rsidRPr="002E4508">
              <w:t xml:space="preserve">, ředitelem </w:t>
            </w: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>
              <w:rPr>
                <w:noProof/>
              </w:rPr>
              <w:t>Regionu Východní Čechy</w:t>
            </w:r>
            <w:r w:rsidRPr="002E4508">
              <w:fldChar w:fldCharType="end"/>
            </w:r>
            <w:r w:rsidRPr="002E4508">
              <w:t xml:space="preserve"> </w:t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zapsán v obchodním rejstříku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Městského soudu v Praze</w:t>
            </w:r>
            <w:r w:rsidRPr="002E4508">
              <w:rPr>
                <w:rStyle w:val="platne1"/>
              </w:rPr>
              <w:t>, oddíl A, vložka 7565</w:t>
            </w:r>
          </w:p>
        </w:tc>
      </w:tr>
      <w:tr w:rsidR="00563E13" w:rsidRPr="002E4508" w:rsidTr="00FD2B27">
        <w:tc>
          <w:tcPr>
            <w:tcW w:w="3528" w:type="dxa"/>
          </w:tcPr>
          <w:p w:rsidR="00563E13" w:rsidRPr="002E4508" w:rsidRDefault="00563E13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bankovní spojení:</w:t>
            </w:r>
          </w:p>
        </w:tc>
        <w:tc>
          <w:tcPr>
            <w:tcW w:w="6323" w:type="dxa"/>
          </w:tcPr>
          <w:p w:rsidR="00563E13" w:rsidRDefault="00563E13">
            <w:proofErr w:type="spellStart"/>
            <w:r w:rsidRPr="007077BD">
              <w:t>xxx</w:t>
            </w:r>
            <w:proofErr w:type="spellEnd"/>
            <w:r w:rsidRPr="007077BD">
              <w:t>.</w:t>
            </w:r>
          </w:p>
        </w:tc>
      </w:tr>
      <w:tr w:rsidR="00563E13" w:rsidRPr="002E4508" w:rsidTr="00FD2B27">
        <w:tc>
          <w:tcPr>
            <w:tcW w:w="3528" w:type="dxa"/>
          </w:tcPr>
          <w:p w:rsidR="00563E13" w:rsidRPr="002E4508" w:rsidRDefault="00563E13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číslo účtu:</w:t>
            </w:r>
          </w:p>
        </w:tc>
        <w:tc>
          <w:tcPr>
            <w:tcW w:w="6323" w:type="dxa"/>
          </w:tcPr>
          <w:p w:rsidR="00563E13" w:rsidRDefault="00563E13">
            <w:proofErr w:type="spellStart"/>
            <w:r w:rsidRPr="007077BD">
              <w:t>xxx</w:t>
            </w:r>
            <w:proofErr w:type="spellEnd"/>
            <w:r w:rsidRPr="007077BD">
              <w:t>.</w:t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korespondenční adresa: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>
              <w:rPr>
                <w:noProof/>
              </w:rPr>
              <w:t>Na Hrádku 105, 532 05 Pardubice 2</w:t>
            </w:r>
            <w:r w:rsidRPr="002E4508">
              <w:fldChar w:fldCharType="end"/>
            </w:r>
          </w:p>
        </w:tc>
      </w:tr>
      <w:tr w:rsidR="00563E13" w:rsidRPr="002E4508" w:rsidTr="00FD2B27">
        <w:tc>
          <w:tcPr>
            <w:tcW w:w="3528" w:type="dxa"/>
          </w:tcPr>
          <w:p w:rsidR="00563E13" w:rsidRPr="002E4508" w:rsidRDefault="00563E13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BIC/SWIFT:</w:t>
            </w:r>
          </w:p>
        </w:tc>
        <w:tc>
          <w:tcPr>
            <w:tcW w:w="6323" w:type="dxa"/>
          </w:tcPr>
          <w:p w:rsidR="00563E13" w:rsidRDefault="00563E13">
            <w:proofErr w:type="spellStart"/>
            <w:r w:rsidRPr="000723E3">
              <w:t>xxx</w:t>
            </w:r>
            <w:proofErr w:type="spellEnd"/>
            <w:r w:rsidRPr="000723E3">
              <w:t>.</w:t>
            </w:r>
          </w:p>
        </w:tc>
      </w:tr>
      <w:tr w:rsidR="00563E13" w:rsidRPr="002E4508" w:rsidTr="00FD2B27">
        <w:tc>
          <w:tcPr>
            <w:tcW w:w="3528" w:type="dxa"/>
          </w:tcPr>
          <w:p w:rsidR="00563E13" w:rsidRPr="002E4508" w:rsidRDefault="00563E13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IBAN:</w:t>
            </w:r>
          </w:p>
        </w:tc>
        <w:tc>
          <w:tcPr>
            <w:tcW w:w="6323" w:type="dxa"/>
          </w:tcPr>
          <w:p w:rsidR="00563E13" w:rsidRDefault="00563E13">
            <w:proofErr w:type="spellStart"/>
            <w:r w:rsidRPr="000723E3">
              <w:t>xxx</w:t>
            </w:r>
            <w:proofErr w:type="spellEnd"/>
            <w:r w:rsidRPr="000723E3">
              <w:t>.</w:t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</w:pPr>
            <w:r w:rsidRPr="002E4508">
              <w:t>dále jen „ČP“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403124" w:rsidRDefault="00403124" w:rsidP="00403124"/>
    <w:p w:rsidR="00403124" w:rsidRDefault="00403124" w:rsidP="00403124">
      <w:pPr>
        <w:spacing w:after="120"/>
      </w:pPr>
      <w: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2E45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2E4508">
              <w:rPr>
                <w:b/>
              </w:rPr>
              <w:instrText xml:space="preserve"> FORMTEXT </w:instrText>
            </w:r>
            <w:r w:rsidRPr="002E4508">
              <w:rPr>
                <w:b/>
              </w:rPr>
            </w:r>
            <w:r w:rsidRPr="002E4508">
              <w:rPr>
                <w:b/>
              </w:rPr>
              <w:fldChar w:fldCharType="separate"/>
            </w:r>
            <w:r>
              <w:rPr>
                <w:b/>
                <w:noProof/>
              </w:rPr>
              <w:t>Konzum, obchodní družstvo</w:t>
            </w:r>
            <w:r w:rsidRPr="002E4508"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</w:pP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se sídlem/místem podnikání: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>
              <w:rPr>
                <w:noProof/>
              </w:rPr>
              <w:t>Tvardkova 1 191, 562 13 Ústí nad Orlicí</w:t>
            </w:r>
            <w:r w:rsidRPr="002E4508">
              <w:fldChar w:fldCharType="end"/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IČ: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 w:rsidRPr="00524A45">
              <w:rPr>
                <w:noProof/>
              </w:rPr>
              <w:t>00</w:t>
            </w:r>
            <w:r>
              <w:rPr>
                <w:noProof/>
              </w:rPr>
              <w:t>032212</w:t>
            </w:r>
            <w:r w:rsidRPr="002E4508">
              <w:fldChar w:fldCharType="end"/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DIČ: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 w:rsidRPr="00524A45">
              <w:rPr>
                <w:noProof/>
              </w:rPr>
              <w:t>CZ00</w:t>
            </w:r>
            <w:r>
              <w:rPr>
                <w:noProof/>
              </w:rPr>
              <w:t>032212</w:t>
            </w:r>
            <w:r w:rsidRPr="002E4508">
              <w:fldChar w:fldCharType="end"/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zastoupen/jednající: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 w:rsidRPr="00524A45">
              <w:rPr>
                <w:noProof/>
              </w:rPr>
              <w:t xml:space="preserve">Ing. </w:t>
            </w:r>
            <w:r>
              <w:rPr>
                <w:noProof/>
              </w:rPr>
              <w:t>Miloslavem Hlavsou, Ing. Zdeňkem Šemberou</w:t>
            </w:r>
            <w:r w:rsidRPr="002E4508">
              <w:fldChar w:fldCharType="end"/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zapsán/a v obchodním rejstříku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 w:rsidRPr="002E4508">
              <w:rPr>
                <w:noProof/>
              </w:rPr>
              <w:t> </w:t>
            </w:r>
            <w:r w:rsidRPr="002E4508">
              <w:rPr>
                <w:noProof/>
              </w:rPr>
              <w:t> </w:t>
            </w:r>
            <w:r w:rsidRPr="002E4508">
              <w:rPr>
                <w:noProof/>
              </w:rPr>
              <w:t> </w:t>
            </w:r>
            <w:r w:rsidRPr="002E4508">
              <w:rPr>
                <w:noProof/>
              </w:rPr>
              <w:t> </w:t>
            </w:r>
            <w:r w:rsidRPr="002E4508">
              <w:rPr>
                <w:noProof/>
              </w:rPr>
              <w:t> </w:t>
            </w:r>
            <w:r w:rsidRPr="002E4508">
              <w:fldChar w:fldCharType="end"/>
            </w:r>
          </w:p>
        </w:tc>
      </w:tr>
      <w:tr w:rsidR="00563E13" w:rsidRPr="002E4508" w:rsidTr="00FD2B27">
        <w:tc>
          <w:tcPr>
            <w:tcW w:w="3528" w:type="dxa"/>
          </w:tcPr>
          <w:p w:rsidR="00563E13" w:rsidRPr="002E4508" w:rsidRDefault="00563E13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bankovní spojení:</w:t>
            </w:r>
          </w:p>
        </w:tc>
        <w:tc>
          <w:tcPr>
            <w:tcW w:w="6323" w:type="dxa"/>
          </w:tcPr>
          <w:p w:rsidR="00563E13" w:rsidRDefault="00563E13">
            <w:proofErr w:type="spellStart"/>
            <w:r w:rsidRPr="00232FCC">
              <w:t>xxx</w:t>
            </w:r>
            <w:proofErr w:type="spellEnd"/>
            <w:r w:rsidRPr="00232FCC">
              <w:t>.</w:t>
            </w:r>
          </w:p>
        </w:tc>
      </w:tr>
      <w:tr w:rsidR="00563E13" w:rsidRPr="002E4508" w:rsidTr="00FD2B27">
        <w:tc>
          <w:tcPr>
            <w:tcW w:w="3528" w:type="dxa"/>
          </w:tcPr>
          <w:p w:rsidR="00563E13" w:rsidRPr="002E4508" w:rsidRDefault="00563E13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číslo účtu:</w:t>
            </w:r>
          </w:p>
        </w:tc>
        <w:tc>
          <w:tcPr>
            <w:tcW w:w="6323" w:type="dxa"/>
          </w:tcPr>
          <w:p w:rsidR="00563E13" w:rsidRDefault="00563E13">
            <w:proofErr w:type="spellStart"/>
            <w:r w:rsidRPr="00232FCC">
              <w:t>xxx</w:t>
            </w:r>
            <w:proofErr w:type="spellEnd"/>
            <w:r w:rsidRPr="00232FCC">
              <w:t>.</w:t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korespondenční adresa: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  <w:rPr>
                <w:noProof/>
              </w:rPr>
            </w:pP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>
              <w:rPr>
                <w:noProof/>
              </w:rPr>
              <w:t>Tvardkova 1 191, 562 13 Ústí nad Orlicí (finance@konzumuo.cz)</w:t>
            </w:r>
            <w:r w:rsidRPr="002E4508">
              <w:fldChar w:fldCharType="end"/>
            </w:r>
          </w:p>
        </w:tc>
      </w:tr>
      <w:tr w:rsidR="00403124" w:rsidRPr="002E4508" w:rsidTr="00FD2B27">
        <w:tc>
          <w:tcPr>
            <w:tcW w:w="3528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BIC/SWIFT:</w:t>
            </w:r>
          </w:p>
        </w:tc>
        <w:tc>
          <w:tcPr>
            <w:tcW w:w="6323" w:type="dxa"/>
          </w:tcPr>
          <w:p w:rsidR="00403124" w:rsidRPr="002E4508" w:rsidRDefault="00403124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508">
              <w:instrText xml:space="preserve"> FORMTEXT </w:instrText>
            </w:r>
            <w:r w:rsidRPr="002E4508">
              <w:fldChar w:fldCharType="separate"/>
            </w:r>
            <w:r w:rsidRPr="00524A45">
              <w:rPr>
                <w:noProof/>
              </w:rPr>
              <w:t>KOMBCZP</w:t>
            </w:r>
            <w:r>
              <w:rPr>
                <w:noProof/>
              </w:rPr>
              <w:t>PXXX</w:t>
            </w:r>
            <w:r w:rsidRPr="002E4508">
              <w:fldChar w:fldCharType="end"/>
            </w:r>
          </w:p>
        </w:tc>
      </w:tr>
      <w:tr w:rsidR="00563E13" w:rsidRPr="002E4508" w:rsidTr="00FD2B27">
        <w:tc>
          <w:tcPr>
            <w:tcW w:w="3528" w:type="dxa"/>
          </w:tcPr>
          <w:p w:rsidR="00563E13" w:rsidRPr="002E4508" w:rsidRDefault="00563E13" w:rsidP="00FD2B27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GoBack"/>
            <w:bookmarkEnd w:id="2"/>
            <w:r w:rsidRPr="002E4508">
              <w:t>IBAN:</w:t>
            </w:r>
          </w:p>
        </w:tc>
        <w:tc>
          <w:tcPr>
            <w:tcW w:w="6323" w:type="dxa"/>
          </w:tcPr>
          <w:p w:rsidR="00563E13" w:rsidRDefault="00563E13">
            <w:proofErr w:type="spellStart"/>
            <w:r w:rsidRPr="006752BB">
              <w:t>xxx</w:t>
            </w:r>
            <w:proofErr w:type="spellEnd"/>
            <w:r w:rsidRPr="006752BB">
              <w:t>.</w:t>
            </w:r>
          </w:p>
        </w:tc>
      </w:tr>
      <w:tr w:rsidR="00563E13" w:rsidRPr="002E4508" w:rsidTr="00FD2B27">
        <w:tc>
          <w:tcPr>
            <w:tcW w:w="3528" w:type="dxa"/>
          </w:tcPr>
          <w:p w:rsidR="00563E13" w:rsidRPr="002E4508" w:rsidRDefault="00563E13" w:rsidP="00FD2B27">
            <w:pPr>
              <w:pStyle w:val="cpTabulkasmluvnistrany"/>
              <w:framePr w:hSpace="0" w:wrap="auto" w:vAnchor="margin" w:hAnchor="text" w:yAlign="inline"/>
            </w:pPr>
            <w:r w:rsidRPr="002E4508">
              <w:t>dále jen „</w:t>
            </w:r>
            <w:r>
              <w:t>Zástupce</w:t>
            </w:r>
            <w:r w:rsidRPr="002E4508">
              <w:t>“</w:t>
            </w:r>
          </w:p>
        </w:tc>
        <w:tc>
          <w:tcPr>
            <w:tcW w:w="6323" w:type="dxa"/>
          </w:tcPr>
          <w:p w:rsidR="00563E13" w:rsidRDefault="00563E13">
            <w:proofErr w:type="spellStart"/>
            <w:r w:rsidRPr="006752BB">
              <w:t>xxx</w:t>
            </w:r>
            <w:proofErr w:type="spellEnd"/>
            <w:r w:rsidRPr="006752BB">
              <w:t>.</w:t>
            </w:r>
          </w:p>
        </w:tc>
      </w:tr>
    </w:tbl>
    <w:p w:rsidR="00E16950" w:rsidRDefault="00E16950" w:rsidP="00E16950">
      <w:pPr>
        <w:pStyle w:val="P-NORMAL-TEXT"/>
        <w:rPr>
          <w:rFonts w:cs="Tahoma"/>
        </w:rPr>
      </w:pPr>
    </w:p>
    <w:p w:rsidR="00E16950" w:rsidRDefault="00E16950" w:rsidP="00E16950">
      <w:pPr>
        <w:pStyle w:val="P-NORMAL-TEXT"/>
        <w:rPr>
          <w:rFonts w:cs="Tahoma"/>
        </w:rPr>
      </w:pPr>
      <w:r>
        <w:rPr>
          <w:rFonts w:cs="Tahoma"/>
        </w:rPr>
        <w:br/>
      </w:r>
      <w:r>
        <w:rPr>
          <w:rFonts w:cs="Tahoma"/>
        </w:rPr>
        <w:br/>
      </w:r>
      <w:r>
        <w:rPr>
          <w:rFonts w:cs="Tahoma"/>
        </w:rPr>
        <w:br/>
      </w:r>
      <w:r>
        <w:rPr>
          <w:rFonts w:cs="Tahoma"/>
        </w:rPr>
        <w:br/>
      </w:r>
    </w:p>
    <w:p w:rsidR="00E16950" w:rsidRDefault="00E16950" w:rsidP="00E1695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:rsidR="00E16950" w:rsidRPr="00F71F50" w:rsidRDefault="00E16950" w:rsidP="00E16950">
      <w:pPr>
        <w:ind w:left="720" w:hanging="360"/>
        <w:jc w:val="both"/>
        <w:rPr>
          <w:rFonts w:ascii="Tahoma" w:hAnsi="Tahoma" w:cs="Tahoma"/>
        </w:rPr>
      </w:pPr>
    </w:p>
    <w:p w:rsidR="009C24CD" w:rsidRDefault="009C24CD" w:rsidP="009C24CD">
      <w:pPr>
        <w:pStyle w:val="Perfekt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dohodly na úplném nahrazení stávajícího ustanovení Čl. </w:t>
      </w:r>
      <w:r>
        <w:rPr>
          <w:rStyle w:val="P-HEAD-WBULLETSChar"/>
          <w:rFonts w:cs="Tahoma"/>
          <w:sz w:val="20"/>
          <w:szCs w:val="20"/>
        </w:rPr>
        <w:t>1.</w:t>
      </w:r>
      <w:r>
        <w:rPr>
          <w:rStyle w:val="P-HEAD-WBULLETSChar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bod </w:t>
      </w:r>
      <w:r>
        <w:rPr>
          <w:rStyle w:val="P-HEAD-WBULLETSChar"/>
          <w:rFonts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následujícím textem: </w:t>
      </w:r>
    </w:p>
    <w:p w:rsidR="009C24CD" w:rsidRDefault="009C24CD" w:rsidP="009C24CD">
      <w:pPr>
        <w:pStyle w:val="Perfekt"/>
        <w:ind w:left="720"/>
        <w:rPr>
          <w:rFonts w:ascii="Tahoma" w:hAnsi="Tahoma" w:cs="Tahoma"/>
          <w:sz w:val="20"/>
          <w:szCs w:val="20"/>
        </w:rPr>
      </w:pPr>
    </w:p>
    <w:p w:rsidR="009C24CD" w:rsidRPr="009C24CD" w:rsidRDefault="009C24CD" w:rsidP="009C24CD">
      <w:pPr>
        <w:pStyle w:val="Perfekt"/>
        <w:ind w:left="720"/>
        <w:rPr>
          <w:rFonts w:ascii="Tahoma" w:hAnsi="Tahoma" w:cs="Tahoma"/>
          <w:sz w:val="20"/>
          <w:szCs w:val="20"/>
        </w:rPr>
      </w:pPr>
      <w:r w:rsidRPr="009C24CD">
        <w:rPr>
          <w:rStyle w:val="P-HEAD-WBULLETSChar"/>
          <w:rFonts w:cs="Tahoma"/>
          <w:sz w:val="20"/>
          <w:szCs w:val="20"/>
        </w:rPr>
        <w:t>„</w:t>
      </w:r>
      <w:r w:rsidRPr="009C24CD">
        <w:rPr>
          <w:rFonts w:ascii="Tahoma" w:hAnsi="Tahoma" w:cs="Tahoma"/>
          <w:sz w:val="20"/>
          <w:szCs w:val="20"/>
        </w:rPr>
        <w:t>Při výkonu své činnosti na základě této Smlouvy se Zástupce zavazuje postupovat zejména v souladu se zákonem č. 29/2000 Sb. o poštovních službách, v platném znění (dále jen „</w:t>
      </w:r>
      <w:r w:rsidRPr="009C24CD">
        <w:rPr>
          <w:rFonts w:ascii="Tahoma" w:hAnsi="Tahoma" w:cs="Tahoma"/>
          <w:b/>
          <w:sz w:val="20"/>
          <w:szCs w:val="20"/>
        </w:rPr>
        <w:t>zákon o poštovních službách</w:t>
      </w:r>
      <w:r w:rsidRPr="009C24CD">
        <w:rPr>
          <w:rFonts w:ascii="Tahoma" w:hAnsi="Tahoma" w:cs="Tahoma"/>
          <w:sz w:val="20"/>
          <w:szCs w:val="20"/>
        </w:rPr>
        <w:t xml:space="preserve">“), zákonem č. 21/1992 Sb., o bankách, v platném znění (dále jen „zákon o bankách“) a veškerými dalšími platnými a účinnými právními předpisy, vztahujícími se k předmětu této Smlouvy a poskytování sjednaných služeb. Mimo to je Zástupce povinen postupovat při výkonu své činnosti na základě této Smlouvy v souladu s následujícími závaznými dokumenty, upravujícími poskytování sjednaných služeb: </w:t>
      </w:r>
    </w:p>
    <w:p w:rsidR="009C24CD" w:rsidRPr="009C24CD" w:rsidRDefault="009C24CD" w:rsidP="009C24CD">
      <w:pPr>
        <w:numPr>
          <w:ilvl w:val="2"/>
          <w:numId w:val="40"/>
        </w:numPr>
        <w:spacing w:after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9C24CD">
        <w:rPr>
          <w:rFonts w:ascii="Tahoma" w:hAnsi="Tahoma" w:cs="Tahoma"/>
          <w:sz w:val="20"/>
          <w:szCs w:val="20"/>
        </w:rPr>
        <w:t xml:space="preserve">Aktuálně platnými Poštovními podmínkami České pošty, </w:t>
      </w:r>
      <w:proofErr w:type="spellStart"/>
      <w:proofErr w:type="gramStart"/>
      <w:r w:rsidRPr="009C24CD">
        <w:rPr>
          <w:rFonts w:ascii="Tahoma" w:hAnsi="Tahoma" w:cs="Tahoma"/>
          <w:sz w:val="20"/>
          <w:szCs w:val="20"/>
        </w:rPr>
        <w:t>s.p</w:t>
      </w:r>
      <w:proofErr w:type="spellEnd"/>
      <w:r w:rsidRPr="009C24CD">
        <w:rPr>
          <w:rFonts w:ascii="Tahoma" w:hAnsi="Tahoma" w:cs="Tahoma"/>
          <w:sz w:val="20"/>
          <w:szCs w:val="20"/>
        </w:rPr>
        <w:t>.</w:t>
      </w:r>
      <w:proofErr w:type="gramEnd"/>
      <w:r w:rsidRPr="009C24CD">
        <w:rPr>
          <w:rFonts w:ascii="Tahoma" w:hAnsi="Tahoma" w:cs="Tahoma"/>
          <w:sz w:val="20"/>
          <w:szCs w:val="20"/>
        </w:rPr>
        <w:t xml:space="preserve"> – Základní poštovní služby, Zahraniční podmínky a Ostatní služby, jejichž znění platné ke dni podpisu této Smlouvy je uvedeno v Příloze č. 8 této Smlouvy;</w:t>
      </w:r>
    </w:p>
    <w:p w:rsidR="009C24CD" w:rsidRPr="009C24CD" w:rsidRDefault="009C24CD" w:rsidP="009C24CD">
      <w:pPr>
        <w:numPr>
          <w:ilvl w:val="2"/>
          <w:numId w:val="40"/>
        </w:numPr>
        <w:spacing w:after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9C24CD">
        <w:rPr>
          <w:rFonts w:ascii="Tahoma" w:hAnsi="Tahoma" w:cs="Tahoma"/>
          <w:sz w:val="20"/>
          <w:szCs w:val="20"/>
        </w:rPr>
        <w:t>Aktuálně platnými Základními kvalitativními požadavky podle Vyhlášky č. 464/2012 Sb., jejichž znění platné ke dni podpisu této Smlouvy je uvedeno v Příloze č. 10 této Smlouvy;</w:t>
      </w:r>
    </w:p>
    <w:p w:rsidR="009C24CD" w:rsidRPr="009C24CD" w:rsidRDefault="009C24CD" w:rsidP="009C24CD">
      <w:pPr>
        <w:numPr>
          <w:ilvl w:val="2"/>
          <w:numId w:val="40"/>
        </w:numPr>
        <w:spacing w:after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9C24CD">
        <w:rPr>
          <w:rFonts w:ascii="Tahoma" w:hAnsi="Tahoma" w:cs="Tahoma"/>
          <w:sz w:val="20"/>
          <w:szCs w:val="20"/>
        </w:rPr>
        <w:t>Aktuálně platnou Technologickou příručkou pro Partnera, jejíž znění platné ke dni podpisu této Smlouvy je uvedeno v Příloze č. 7 této Smlouvy;</w:t>
      </w:r>
    </w:p>
    <w:p w:rsidR="009C24CD" w:rsidRPr="009C24CD" w:rsidRDefault="009C24CD" w:rsidP="009C24CD">
      <w:pPr>
        <w:numPr>
          <w:ilvl w:val="2"/>
          <w:numId w:val="40"/>
        </w:numPr>
        <w:spacing w:after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9C24CD">
        <w:rPr>
          <w:rFonts w:ascii="Tahoma" w:hAnsi="Tahoma" w:cs="Tahoma"/>
          <w:sz w:val="20"/>
          <w:szCs w:val="20"/>
        </w:rPr>
        <w:t xml:space="preserve">Aktuálními platnými podmínkami pro bankovní služby Poštovní spořitelny, v rozsahu nezbytném pro poskytování sjednaných služeb, jejichž znění platné ke dni podpisu této Smlouvy je uvedeno v Příloze č. 9 této Smlouvy; </w:t>
      </w:r>
    </w:p>
    <w:p w:rsidR="009C24CD" w:rsidRPr="009C24CD" w:rsidRDefault="009C24CD" w:rsidP="009C24CD">
      <w:pPr>
        <w:numPr>
          <w:ilvl w:val="2"/>
          <w:numId w:val="40"/>
        </w:numPr>
        <w:spacing w:after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9C24CD">
        <w:rPr>
          <w:rFonts w:ascii="Tahoma" w:hAnsi="Tahoma" w:cs="Tahoma"/>
          <w:bCs/>
          <w:sz w:val="20"/>
          <w:szCs w:val="20"/>
        </w:rPr>
        <w:t>Aktuálním Ceníkem</w:t>
      </w:r>
      <w:r w:rsidRPr="009C24CD">
        <w:rPr>
          <w:rFonts w:ascii="Tahoma" w:hAnsi="Tahoma" w:cs="Tahoma"/>
          <w:sz w:val="20"/>
          <w:szCs w:val="20"/>
        </w:rPr>
        <w:t xml:space="preserve"> základních poštovních služeb a ostatních služeb poskytovaných </w:t>
      </w:r>
      <w:r w:rsidRPr="009C24CD">
        <w:rPr>
          <w:rFonts w:ascii="Tahoma" w:hAnsi="Tahoma" w:cs="Tahoma"/>
          <w:bCs/>
          <w:sz w:val="20"/>
          <w:szCs w:val="20"/>
        </w:rPr>
        <w:t>Českou poštou</w:t>
      </w:r>
      <w:r w:rsidRPr="009C24CD">
        <w:rPr>
          <w:rFonts w:ascii="Tahoma" w:hAnsi="Tahoma" w:cs="Tahoma"/>
          <w:sz w:val="20"/>
          <w:szCs w:val="20"/>
        </w:rPr>
        <w:t xml:space="preserve">, </w:t>
      </w:r>
      <w:proofErr w:type="spellStart"/>
      <w:proofErr w:type="gramStart"/>
      <w:r w:rsidRPr="009C24CD">
        <w:rPr>
          <w:rFonts w:ascii="Tahoma" w:hAnsi="Tahoma" w:cs="Tahoma"/>
          <w:sz w:val="20"/>
          <w:szCs w:val="20"/>
        </w:rPr>
        <w:t>s.p</w:t>
      </w:r>
      <w:proofErr w:type="spellEnd"/>
      <w:r w:rsidRPr="009C24CD">
        <w:rPr>
          <w:rFonts w:ascii="Tahoma" w:hAnsi="Tahoma" w:cs="Tahoma"/>
          <w:sz w:val="20"/>
          <w:szCs w:val="20"/>
        </w:rPr>
        <w:t>.</w:t>
      </w:r>
      <w:proofErr w:type="gramEnd"/>
      <w:r w:rsidRPr="009C24CD">
        <w:rPr>
          <w:rFonts w:ascii="Tahoma" w:hAnsi="Tahoma" w:cs="Tahoma"/>
          <w:sz w:val="20"/>
          <w:szCs w:val="20"/>
        </w:rPr>
        <w:t xml:space="preserve"> dle Přílohy č.3</w:t>
      </w:r>
      <w:r w:rsidRPr="009C24CD">
        <w:rPr>
          <w:rStyle w:val="P-HEAD-WBULLETSChar"/>
          <w:rFonts w:cs="Tahoma"/>
          <w:sz w:val="20"/>
          <w:szCs w:val="20"/>
        </w:rPr>
        <w:t>“</w:t>
      </w:r>
    </w:p>
    <w:p w:rsidR="00E16950" w:rsidRPr="00F71F50" w:rsidRDefault="00E16950" w:rsidP="009C24CD">
      <w:pPr>
        <w:pStyle w:val="Perfekt"/>
        <w:ind w:left="720"/>
        <w:rPr>
          <w:rFonts w:ascii="Tahoma" w:hAnsi="Tahoma" w:cs="Tahoma"/>
          <w:sz w:val="20"/>
          <w:szCs w:val="20"/>
        </w:rPr>
      </w:pPr>
    </w:p>
    <w:p w:rsidR="00E16950" w:rsidRDefault="00E16950" w:rsidP="00E16950">
      <w:pPr>
        <w:spacing w:before="120"/>
        <w:jc w:val="both"/>
        <w:rPr>
          <w:rFonts w:ascii="Tahoma" w:hAnsi="Tahoma" w:cs="Tahoma"/>
        </w:rPr>
      </w:pPr>
    </w:p>
    <w:p w:rsidR="009C24CD" w:rsidRDefault="009C24CD" w:rsidP="00E1695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  <w:sectPr w:rsidR="009C24CD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403124" w:rsidRPr="008704F2" w:rsidRDefault="00403124" w:rsidP="00403124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704F2">
        <w:rPr>
          <w:rFonts w:cs="Tahoma"/>
        </w:rPr>
        <w:lastRenderedPageBreak/>
        <w:t>II. ZÁVĚREČNÁ USTANOVENÍ</w:t>
      </w:r>
    </w:p>
    <w:p w:rsidR="00403124" w:rsidRPr="00F71F50" w:rsidRDefault="00403124" w:rsidP="00403124">
      <w:pPr>
        <w:pStyle w:val="Perfekt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71F50">
        <w:rPr>
          <w:rFonts w:ascii="Tahoma" w:hAnsi="Tahoma" w:cs="Tahoma"/>
          <w:sz w:val="20"/>
          <w:szCs w:val="20"/>
        </w:rPr>
        <w:t>Ostatní ujednání Smlouvy se nemění a zůstávají nadále v platnosti.</w:t>
      </w:r>
    </w:p>
    <w:p w:rsidR="00403124" w:rsidRPr="00F71F50" w:rsidRDefault="00403124" w:rsidP="00403124">
      <w:pPr>
        <w:pStyle w:val="Perfekt"/>
        <w:ind w:left="540"/>
        <w:rPr>
          <w:rFonts w:ascii="Tahoma" w:hAnsi="Tahoma" w:cs="Tahoma"/>
          <w:sz w:val="20"/>
          <w:szCs w:val="20"/>
        </w:rPr>
      </w:pPr>
    </w:p>
    <w:p w:rsidR="00403124" w:rsidRPr="00F71F50" w:rsidRDefault="00403124" w:rsidP="00403124">
      <w:pPr>
        <w:pStyle w:val="Perfekt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71F50">
        <w:rPr>
          <w:rFonts w:ascii="Tahoma" w:hAnsi="Tahoma" w:cs="Tahoma"/>
          <w:sz w:val="20"/>
          <w:szCs w:val="20"/>
        </w:rPr>
        <w:t xml:space="preserve">Dodatek č. </w:t>
      </w:r>
      <w:r w:rsidRPr="00C47CC1">
        <w:rPr>
          <w:rStyle w:val="P-HEAD-WBULLETSChar"/>
          <w:rFonts w:cs="Tahoma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7CC1">
        <w:rPr>
          <w:rStyle w:val="P-HEAD-WBULLETSChar"/>
          <w:rFonts w:cs="Tahoma"/>
          <w:sz w:val="20"/>
          <w:szCs w:val="20"/>
          <w:highlight w:val="lightGray"/>
        </w:rPr>
        <w:instrText xml:space="preserve"> FORMTEXT </w:instrText>
      </w:r>
      <w:r w:rsidRPr="00C47CC1">
        <w:rPr>
          <w:rStyle w:val="P-HEAD-WBULLETSChar"/>
          <w:rFonts w:cs="Tahoma"/>
          <w:sz w:val="20"/>
          <w:szCs w:val="20"/>
          <w:highlight w:val="lightGray"/>
        </w:rPr>
      </w:r>
      <w:r w:rsidRPr="00C47CC1">
        <w:rPr>
          <w:rStyle w:val="P-HEAD-WBULLETSChar"/>
          <w:rFonts w:cs="Tahoma"/>
          <w:sz w:val="20"/>
          <w:szCs w:val="20"/>
          <w:highlight w:val="lightGray"/>
        </w:rPr>
        <w:fldChar w:fldCharType="separate"/>
      </w:r>
      <w:r>
        <w:rPr>
          <w:rStyle w:val="P-HEAD-WBULLETSChar"/>
          <w:rFonts w:cs="Tahoma"/>
          <w:noProof/>
          <w:sz w:val="20"/>
          <w:szCs w:val="20"/>
          <w:highlight w:val="lightGray"/>
        </w:rPr>
        <w:t>1/2013</w:t>
      </w:r>
      <w:r w:rsidRPr="00C47CC1">
        <w:rPr>
          <w:rStyle w:val="P-HEAD-WBULLETSChar"/>
          <w:rFonts w:cs="Tahoma"/>
          <w:sz w:val="20"/>
          <w:szCs w:val="20"/>
          <w:highlight w:val="lightGray"/>
        </w:rPr>
        <w:fldChar w:fldCharType="end"/>
      </w:r>
      <w:r w:rsidRPr="00F71F50">
        <w:rPr>
          <w:rStyle w:val="P-HEAD-WBULLETSChar"/>
          <w:rFonts w:cs="Tahoma"/>
          <w:sz w:val="20"/>
          <w:szCs w:val="20"/>
        </w:rPr>
        <w:t xml:space="preserve"> </w:t>
      </w:r>
      <w:r w:rsidRPr="00F71F50">
        <w:rPr>
          <w:rFonts w:ascii="Tahoma" w:hAnsi="Tahoma" w:cs="Tahoma"/>
          <w:sz w:val="20"/>
          <w:szCs w:val="20"/>
        </w:rPr>
        <w:t>je platný a účinný dnem jeho podpisu oběma smluvními stranami.</w:t>
      </w:r>
    </w:p>
    <w:p w:rsidR="00403124" w:rsidRPr="00F71F50" w:rsidRDefault="00403124" w:rsidP="00403124">
      <w:pPr>
        <w:ind w:left="709"/>
        <w:jc w:val="both"/>
        <w:rPr>
          <w:rFonts w:ascii="Tahoma" w:hAnsi="Tahoma" w:cs="Tahoma"/>
        </w:rPr>
      </w:pPr>
    </w:p>
    <w:p w:rsidR="00403124" w:rsidRPr="00F71F50" w:rsidRDefault="00403124" w:rsidP="00403124">
      <w:pPr>
        <w:pStyle w:val="Perfekt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</w:t>
      </w:r>
      <w:r w:rsidRPr="00F71F50">
        <w:rPr>
          <w:rFonts w:ascii="Tahoma" w:hAnsi="Tahoma" w:cs="Tahoma"/>
          <w:sz w:val="20"/>
          <w:szCs w:val="20"/>
        </w:rPr>
        <w:t xml:space="preserve"> je sepsána ve čtyřech vyhotoveních s platností originálu, z nichž každá ze stran obdrží po dvou výtiscích.</w:t>
      </w:r>
    </w:p>
    <w:p w:rsidR="00403124" w:rsidRPr="00F71F50" w:rsidRDefault="00403124" w:rsidP="00403124">
      <w:pPr>
        <w:pStyle w:val="Perfekt"/>
        <w:rPr>
          <w:rFonts w:ascii="Tahoma" w:hAnsi="Tahoma" w:cs="Tahoma"/>
          <w:sz w:val="20"/>
          <w:szCs w:val="20"/>
        </w:rPr>
      </w:pPr>
    </w:p>
    <w:p w:rsidR="00403124" w:rsidRPr="00F71F50" w:rsidRDefault="00403124" w:rsidP="00403124">
      <w:pPr>
        <w:pStyle w:val="Perfekt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71F50">
        <w:rPr>
          <w:rFonts w:ascii="Tahoma" w:hAnsi="Tahoma" w:cs="Tahoma"/>
          <w:sz w:val="20"/>
          <w:szCs w:val="20"/>
        </w:rPr>
        <w:t>Nedílnou součástí tohoto Dodatku jsou následující přílohy:</w:t>
      </w:r>
    </w:p>
    <w:p w:rsidR="00403124" w:rsidRPr="00F71F50" w:rsidRDefault="00403124" w:rsidP="00403124">
      <w:pPr>
        <w:spacing w:before="120"/>
        <w:ind w:left="360" w:firstLine="340"/>
        <w:jc w:val="both"/>
        <w:rPr>
          <w:rStyle w:val="P-HEAD-WBULLETSChar"/>
          <w:rFonts w:cs="Tahoma"/>
        </w:rPr>
      </w:pPr>
      <w:r w:rsidRPr="00C47CC1">
        <w:rPr>
          <w:rStyle w:val="P-HEAD-WBULLETSChar"/>
          <w:rFonts w:cs="Tahoma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7CC1">
        <w:rPr>
          <w:rStyle w:val="P-HEAD-WBULLETSChar"/>
          <w:rFonts w:cs="Tahoma"/>
          <w:sz w:val="20"/>
          <w:szCs w:val="20"/>
          <w:highlight w:val="lightGray"/>
        </w:rPr>
        <w:instrText xml:space="preserve"> FORMTEXT </w:instrText>
      </w:r>
      <w:r w:rsidRPr="00C47CC1">
        <w:rPr>
          <w:rStyle w:val="P-HEAD-WBULLETSChar"/>
          <w:rFonts w:cs="Tahoma"/>
          <w:sz w:val="20"/>
          <w:szCs w:val="20"/>
          <w:highlight w:val="lightGray"/>
        </w:rPr>
      </w:r>
      <w:r w:rsidRPr="00C47CC1">
        <w:rPr>
          <w:rStyle w:val="P-HEAD-WBULLETSChar"/>
          <w:rFonts w:cs="Tahoma"/>
          <w:sz w:val="20"/>
          <w:szCs w:val="20"/>
          <w:highlight w:val="lightGray"/>
        </w:rPr>
        <w:fldChar w:fldCharType="separate"/>
      </w:r>
      <w:r>
        <w:rPr>
          <w:rStyle w:val="P-HEAD-WBULLETSChar"/>
          <w:rFonts w:cs="Tahoma"/>
          <w:noProof/>
          <w:sz w:val="20"/>
          <w:szCs w:val="20"/>
          <w:highlight w:val="lightGray"/>
        </w:rPr>
        <w:t>1, 2, 7, 8, 9 a 10</w:t>
      </w:r>
      <w:r w:rsidRPr="00C47CC1">
        <w:rPr>
          <w:rStyle w:val="P-HEAD-WBULLETSChar"/>
          <w:rFonts w:cs="Tahoma"/>
          <w:sz w:val="20"/>
          <w:szCs w:val="20"/>
          <w:highlight w:val="lightGray"/>
        </w:rPr>
        <w:fldChar w:fldCharType="end"/>
      </w:r>
    </w:p>
    <w:p w:rsidR="00403124" w:rsidRPr="00F71F50" w:rsidRDefault="00403124" w:rsidP="00403124">
      <w:pPr>
        <w:spacing w:before="120"/>
        <w:ind w:left="360" w:firstLine="340"/>
        <w:jc w:val="both"/>
        <w:rPr>
          <w:rFonts w:ascii="Tahoma" w:hAnsi="Tahoma" w:cs="Tahoma"/>
        </w:rPr>
      </w:pPr>
    </w:p>
    <w:p w:rsidR="00403124" w:rsidRPr="00F71F50" w:rsidRDefault="00403124" w:rsidP="00403124">
      <w:pPr>
        <w:pStyle w:val="P-NORMAL-TEXT"/>
        <w:rPr>
          <w:rFonts w:cs="Tahoma"/>
        </w:rPr>
      </w:pPr>
    </w:p>
    <w:p w:rsidR="00403124" w:rsidRPr="00F71F50" w:rsidRDefault="00403124" w:rsidP="00403124">
      <w:pPr>
        <w:pStyle w:val="P-NORMAL-TEXT"/>
        <w:rPr>
          <w:rFonts w:cs="Tahoma"/>
        </w:rPr>
      </w:pPr>
    </w:p>
    <w:p w:rsidR="00403124" w:rsidRPr="00F71F50" w:rsidRDefault="00403124" w:rsidP="00403124">
      <w:pPr>
        <w:pStyle w:val="P-NORMAL-TEXT"/>
        <w:rPr>
          <w:rFonts w:cs="Tahoma"/>
        </w:rPr>
      </w:pPr>
    </w:p>
    <w:p w:rsidR="00403124" w:rsidRDefault="00403124" w:rsidP="00403124">
      <w:pPr>
        <w:pStyle w:val="P-NORMAL-TEXT"/>
        <w:rPr>
          <w:rFonts w:cs="Tahoma"/>
        </w:rPr>
      </w:pPr>
      <w:r>
        <w:rPr>
          <w:rFonts w:cs="Tahoma"/>
        </w:rPr>
        <w:t xml:space="preserve">V </w:t>
      </w:r>
      <w:r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Pardubicích</w:t>
      </w:r>
      <w:r>
        <w:rPr>
          <w:rFonts w:cs="Tahoma"/>
        </w:rPr>
        <w:fldChar w:fldCharType="end"/>
      </w:r>
      <w:r>
        <w:rPr>
          <w:rFonts w:cs="Tahoma"/>
        </w:rPr>
        <w:t xml:space="preserve"> </w:t>
      </w:r>
      <w:r>
        <w:rPr>
          <w:rFonts w:cs="Tahoma"/>
        </w:rPr>
        <w:tab/>
        <w:t xml:space="preserve">dne </w:t>
      </w:r>
      <w:r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29. 03. 2013</w:t>
      </w:r>
      <w:r>
        <w:rPr>
          <w:rFonts w:cs="Tahoma"/>
        </w:rPr>
        <w:fldChar w:fldCharType="end"/>
      </w: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V </w:t>
      </w:r>
      <w:r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Ústí nad Orlicí</w:t>
      </w:r>
      <w:r>
        <w:rPr>
          <w:rFonts w:cs="Tahoma"/>
        </w:rPr>
        <w:fldChar w:fldCharType="end"/>
      </w:r>
      <w:r>
        <w:rPr>
          <w:rFonts w:cs="Tahoma"/>
        </w:rPr>
        <w:t xml:space="preserve"> </w:t>
      </w:r>
      <w:r>
        <w:rPr>
          <w:rFonts w:cs="Tahoma"/>
        </w:rPr>
        <w:tab/>
        <w:t xml:space="preserve">dne </w:t>
      </w:r>
      <w:r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29. 03. 2013</w:t>
      </w:r>
      <w:r>
        <w:rPr>
          <w:rFonts w:cs="Tahoma"/>
        </w:rPr>
        <w:fldChar w:fldCharType="end"/>
      </w:r>
    </w:p>
    <w:p w:rsidR="00403124" w:rsidRDefault="00403124" w:rsidP="00403124">
      <w:pPr>
        <w:pStyle w:val="P-NORMAL-TEXT"/>
        <w:rPr>
          <w:rFonts w:cs="Tahoma"/>
        </w:rPr>
      </w:pPr>
    </w:p>
    <w:p w:rsidR="00403124" w:rsidRDefault="00403124" w:rsidP="00403124">
      <w:pPr>
        <w:pStyle w:val="P-NORMAL-TEXT"/>
        <w:rPr>
          <w:rFonts w:cs="Tahoma"/>
        </w:rPr>
      </w:pPr>
    </w:p>
    <w:p w:rsidR="00403124" w:rsidRDefault="00403124" w:rsidP="00403124">
      <w:pPr>
        <w:pStyle w:val="P-NORMAL-TEXT"/>
        <w:rPr>
          <w:rFonts w:cs="Tahoma"/>
        </w:rPr>
      </w:pPr>
      <w:r>
        <w:rPr>
          <w:rFonts w:cs="Tahoma"/>
        </w:rPr>
        <w:t xml:space="preserve">za ČP: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za Zástupce:</w:t>
      </w:r>
    </w:p>
    <w:p w:rsidR="00403124" w:rsidRDefault="00403124" w:rsidP="00403124">
      <w:pPr>
        <w:pStyle w:val="P-NORMAL-TEXT"/>
        <w:rPr>
          <w:rFonts w:cs="Tahoma"/>
        </w:rPr>
      </w:pPr>
    </w:p>
    <w:p w:rsidR="00403124" w:rsidRDefault="00403124" w:rsidP="00403124">
      <w:pPr>
        <w:pStyle w:val="P-NORMAL-TEXT"/>
        <w:rPr>
          <w:rFonts w:cs="Tahoma"/>
        </w:rPr>
      </w:pPr>
    </w:p>
    <w:p w:rsidR="00403124" w:rsidRDefault="00403124" w:rsidP="00403124">
      <w:pPr>
        <w:pStyle w:val="P-NORMAL-TEXT"/>
        <w:rPr>
          <w:rFonts w:cs="Tahoma"/>
        </w:rPr>
      </w:pPr>
    </w:p>
    <w:p w:rsidR="00403124" w:rsidRDefault="00403124" w:rsidP="00403124">
      <w:pPr>
        <w:pStyle w:val="P-NORMAL-TEXT"/>
        <w:rPr>
          <w:rFonts w:cs="Tahoma"/>
        </w:rPr>
      </w:pPr>
      <w:r>
        <w:rPr>
          <w:rFonts w:cs="Tahoma"/>
        </w:rPr>
        <w:t>______________________________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</w:t>
      </w:r>
    </w:p>
    <w:p w:rsidR="00403124" w:rsidRPr="00E054C9" w:rsidRDefault="00403124" w:rsidP="00403124">
      <w:pPr>
        <w:pStyle w:val="P-NORMAL-TEXT"/>
        <w:rPr>
          <w:rFonts w:cs="Tahoma"/>
          <w:iCs/>
        </w:rPr>
      </w:pPr>
      <w:r w:rsidRPr="00E054C9">
        <w:rPr>
          <w:rFonts w:cs="Tahoma"/>
          <w:iCs/>
        </w:rPr>
        <w:t xml:space="preserve">          Ing. Rastislav Ho</w:t>
      </w:r>
      <w:r>
        <w:rPr>
          <w:rFonts w:cs="Tahoma"/>
          <w:iCs/>
        </w:rPr>
        <w:t xml:space="preserve">ráček </w:t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  <w:t xml:space="preserve">    Ing. Miloslav Hlavsa</w:t>
      </w:r>
    </w:p>
    <w:p w:rsidR="00403124" w:rsidRPr="000B542B" w:rsidRDefault="00403124" w:rsidP="00403124">
      <w:pPr>
        <w:pStyle w:val="P-NORMAL-TEXT"/>
        <w:rPr>
          <w:rFonts w:cs="Tahoma"/>
          <w:i/>
          <w:iCs/>
        </w:rPr>
      </w:pPr>
      <w:r>
        <w:rPr>
          <w:rFonts w:cs="Tahoma"/>
          <w:i/>
          <w:iCs/>
        </w:rPr>
        <w:t xml:space="preserve">    </w:t>
      </w:r>
      <w:r>
        <w:t>ředitel Regionu Východní Čechy</w:t>
      </w:r>
      <w:r>
        <w:tab/>
      </w:r>
      <w:r>
        <w:tab/>
      </w:r>
      <w:r>
        <w:tab/>
      </w:r>
      <w:r>
        <w:tab/>
        <w:t xml:space="preserve">        místopředseda představenstva</w:t>
      </w:r>
    </w:p>
    <w:p w:rsidR="00403124" w:rsidRDefault="00403124" w:rsidP="00403124">
      <w:pPr>
        <w:pStyle w:val="Zkladntext2"/>
        <w:rPr>
          <w:rFonts w:ascii="Tahoma" w:hAnsi="Tahoma" w:cs="Tahoma"/>
          <w:sz w:val="20"/>
        </w:rPr>
      </w:pPr>
    </w:p>
    <w:p w:rsidR="00403124" w:rsidRDefault="00403124" w:rsidP="00403124">
      <w:pPr>
        <w:pStyle w:val="P-NORMAL-TEXT"/>
        <w:rPr>
          <w:rFonts w:cs="Tahoma"/>
          <w:i/>
          <w:iCs/>
        </w:rPr>
      </w:pPr>
    </w:p>
    <w:p w:rsidR="00403124" w:rsidRDefault="00403124" w:rsidP="00403124">
      <w:pPr>
        <w:pStyle w:val="P-NORMAL-TEXT"/>
        <w:rPr>
          <w:rFonts w:cs="Tahoma"/>
          <w:i/>
          <w:iCs/>
        </w:rPr>
      </w:pPr>
    </w:p>
    <w:p w:rsidR="00403124" w:rsidRDefault="00403124" w:rsidP="00403124">
      <w:pPr>
        <w:pStyle w:val="P-NORMAL-TEXT"/>
        <w:rPr>
          <w:rFonts w:cs="Tahoma"/>
          <w:i/>
          <w:iCs/>
        </w:rPr>
      </w:pPr>
    </w:p>
    <w:p w:rsidR="00403124" w:rsidRDefault="00403124" w:rsidP="00403124">
      <w:pPr>
        <w:pStyle w:val="P-NORMAL-TEX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</w:t>
      </w:r>
    </w:p>
    <w:p w:rsidR="00403124" w:rsidRPr="00E054C9" w:rsidRDefault="00403124" w:rsidP="00403124">
      <w:pPr>
        <w:pStyle w:val="P-NORMAL-TEXT"/>
        <w:rPr>
          <w:rFonts w:cs="Tahoma"/>
          <w:iCs/>
        </w:rPr>
      </w:pPr>
      <w:r>
        <w:rPr>
          <w:rFonts w:cs="Tahoma"/>
          <w:iCs/>
        </w:rPr>
        <w:tab/>
      </w:r>
      <w:r w:rsidRPr="00E054C9">
        <w:rPr>
          <w:rFonts w:cs="Tahoma"/>
          <w:iCs/>
        </w:rPr>
        <w:t xml:space="preserve">         </w:t>
      </w:r>
      <w:r>
        <w:rPr>
          <w:rFonts w:cs="Tahoma"/>
          <w:iCs/>
        </w:rPr>
        <w:t xml:space="preserve"> </w:t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</w:r>
      <w:r>
        <w:rPr>
          <w:rFonts w:cs="Tahoma"/>
          <w:iCs/>
        </w:rPr>
        <w:tab/>
        <w:t xml:space="preserve">    Ing. Zdeněk Šembera</w:t>
      </w:r>
    </w:p>
    <w:p w:rsidR="00403124" w:rsidRPr="00C245AE" w:rsidRDefault="00403124" w:rsidP="0040312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cs="Tahoma"/>
          <w:i/>
          <w:iCs/>
        </w:rPr>
        <w:t xml:space="preserve">    </w:t>
      </w: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člen představenstva</w:t>
      </w:r>
    </w:p>
    <w:p w:rsidR="00E16950" w:rsidRDefault="00E16950" w:rsidP="00E16950">
      <w:pPr>
        <w:pStyle w:val="P-NORMAL-TEXT"/>
        <w:rPr>
          <w:rFonts w:cs="Tahoma"/>
          <w:i/>
        </w:rPr>
      </w:pPr>
    </w:p>
    <w:p w:rsidR="00E16950" w:rsidRPr="001E1B33" w:rsidRDefault="00E16950" w:rsidP="00E16950">
      <w:pPr>
        <w:pStyle w:val="P-NORMAL-TEXT"/>
        <w:rPr>
          <w:rFonts w:cs="Tahoma"/>
          <w:i/>
        </w:rPr>
      </w:pP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E16950" w:rsidRDefault="00E16950" w:rsidP="00062101">
      <w:pPr>
        <w:jc w:val="center"/>
        <w:rPr>
          <w:rFonts w:ascii="Tahoma" w:hAnsi="Tahoma" w:cs="Tahoma"/>
          <w:b/>
        </w:rPr>
      </w:pPr>
    </w:p>
    <w:bookmarkEnd w:id="0"/>
    <w:bookmarkEnd w:id="1"/>
    <w:p w:rsidR="00E16950" w:rsidRDefault="00E16950" w:rsidP="00062101">
      <w:pPr>
        <w:jc w:val="center"/>
        <w:rPr>
          <w:rFonts w:ascii="Tahoma" w:hAnsi="Tahoma" w:cs="Tahoma"/>
          <w:b/>
        </w:rPr>
      </w:pPr>
    </w:p>
    <w:p w:rsidR="00014E1F" w:rsidRPr="00406282" w:rsidRDefault="00014E1F" w:rsidP="00406282">
      <w:pPr>
        <w:rPr>
          <w:rFonts w:ascii="Tahoma" w:hAnsi="Tahoma" w:cs="Tahoma"/>
          <w:sz w:val="20"/>
          <w:szCs w:val="20"/>
        </w:rPr>
        <w:sectPr w:rsidR="00014E1F" w:rsidRPr="0040628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2E34B3" w:rsidRDefault="002E34B3" w:rsidP="002E34B3">
      <w:pPr>
        <w:pStyle w:val="cpNormal"/>
        <w:spacing w:before="120" w:after="120" w:line="240" w:lineRule="auto"/>
        <w:ind w:left="714"/>
        <w:rPr>
          <w:rFonts w:ascii="Tahoma" w:hAnsi="Tahoma" w:cs="Tahoma"/>
          <w:sz w:val="20"/>
          <w:szCs w:val="20"/>
        </w:rPr>
      </w:pPr>
    </w:p>
    <w:p w:rsidR="00D32D5C" w:rsidRDefault="00D32D5C" w:rsidP="00AE1EEC">
      <w:pPr>
        <w:pStyle w:val="cpNormal"/>
        <w:spacing w:before="120" w:after="120" w:line="240" w:lineRule="auto"/>
        <w:ind w:left="720"/>
      </w:pPr>
    </w:p>
    <w:sectPr w:rsidR="00D32D5C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A4" w:rsidRDefault="009624A4" w:rsidP="00E26E3A">
      <w:pPr>
        <w:spacing w:line="240" w:lineRule="auto"/>
      </w:pPr>
      <w:r>
        <w:separator/>
      </w:r>
    </w:p>
  </w:endnote>
  <w:endnote w:type="continuationSeparator" w:id="0">
    <w:p w:rsidR="009624A4" w:rsidRDefault="009624A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710020">
      <w:fldChar w:fldCharType="begin"/>
    </w:r>
    <w:r w:rsidR="00710020">
      <w:instrText xml:space="preserve"> PAGE  \* Arabic  \* MERGEFORMAT </w:instrText>
    </w:r>
    <w:r w:rsidR="00710020">
      <w:fldChar w:fldCharType="separate"/>
    </w:r>
    <w:r w:rsidR="00563E13">
      <w:rPr>
        <w:noProof/>
      </w:rPr>
      <w:t>2</w:t>
    </w:r>
    <w:r w:rsidR="00710020">
      <w:rPr>
        <w:noProof/>
      </w:rPr>
      <w:fldChar w:fldCharType="end"/>
    </w:r>
    <w:r w:rsidR="004A6877">
      <w:t>/</w:t>
    </w:r>
    <w:fldSimple w:instr=" NUMPAGES  \* Arabic  \* MERGEFORMAT ">
      <w:r w:rsidR="00563E13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A4" w:rsidRDefault="009624A4" w:rsidP="00E26E3A">
      <w:pPr>
        <w:spacing w:line="240" w:lineRule="auto"/>
      </w:pPr>
      <w:r>
        <w:separator/>
      </w:r>
    </w:p>
  </w:footnote>
  <w:footnote w:type="continuationSeparator" w:id="0">
    <w:p w:rsidR="009624A4" w:rsidRDefault="009624A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B" w:rsidRPr="00062101" w:rsidRDefault="00592AFD" w:rsidP="00E16950">
    <w:pPr>
      <w:pStyle w:val="Zhlav"/>
      <w:tabs>
        <w:tab w:val="center" w:pos="1707"/>
      </w:tabs>
      <w:spacing w:before="260"/>
      <w:ind w:left="1701"/>
      <w:rPr>
        <w:b/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EF8688B" wp14:editId="2ACF8AC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70C4F9B" wp14:editId="2E56E08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5F142C9" wp14:editId="239BF06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E16950">
      <w:rPr>
        <w:color w:val="002776"/>
      </w:rPr>
      <w:t>Dodatek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6A61D7"/>
    <w:multiLevelType w:val="multilevel"/>
    <w:tmpl w:val="66F66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C351CB"/>
    <w:multiLevelType w:val="hybridMultilevel"/>
    <w:tmpl w:val="B3986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012E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4"/>
  </w:num>
  <w:num w:numId="3">
    <w:abstractNumId w:val="25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3"/>
  </w:num>
  <w:num w:numId="21">
    <w:abstractNumId w:val="16"/>
  </w:num>
  <w:num w:numId="22">
    <w:abstractNumId w:val="38"/>
  </w:num>
  <w:num w:numId="23">
    <w:abstractNumId w:val="22"/>
  </w:num>
  <w:num w:numId="24">
    <w:abstractNumId w:val="12"/>
  </w:num>
  <w:num w:numId="25">
    <w:abstractNumId w:val="36"/>
  </w:num>
  <w:num w:numId="26">
    <w:abstractNumId w:val="31"/>
  </w:num>
  <w:num w:numId="27">
    <w:abstractNumId w:val="17"/>
  </w:num>
  <w:num w:numId="28">
    <w:abstractNumId w:val="29"/>
  </w:num>
  <w:num w:numId="29">
    <w:abstractNumId w:val="19"/>
  </w:num>
  <w:num w:numId="30">
    <w:abstractNumId w:val="10"/>
  </w:num>
  <w:num w:numId="31">
    <w:abstractNumId w:val="30"/>
  </w:num>
  <w:num w:numId="32">
    <w:abstractNumId w:val="28"/>
  </w:num>
  <w:num w:numId="33">
    <w:abstractNumId w:val="37"/>
  </w:num>
  <w:num w:numId="34">
    <w:abstractNumId w:val="15"/>
  </w:num>
  <w:num w:numId="35">
    <w:abstractNumId w:val="35"/>
  </w:num>
  <w:num w:numId="36">
    <w:abstractNumId w:val="18"/>
  </w:num>
  <w:num w:numId="37">
    <w:abstractNumId w:val="3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4E1F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2101"/>
    <w:rsid w:val="00062C5B"/>
    <w:rsid w:val="000703B6"/>
    <w:rsid w:val="00070794"/>
    <w:rsid w:val="00070913"/>
    <w:rsid w:val="000723F4"/>
    <w:rsid w:val="00073A89"/>
    <w:rsid w:val="000830DC"/>
    <w:rsid w:val="0009076C"/>
    <w:rsid w:val="000929B6"/>
    <w:rsid w:val="00096033"/>
    <w:rsid w:val="000A0541"/>
    <w:rsid w:val="000B0498"/>
    <w:rsid w:val="000B6BD3"/>
    <w:rsid w:val="000B6F74"/>
    <w:rsid w:val="000C1283"/>
    <w:rsid w:val="000D426F"/>
    <w:rsid w:val="000F015C"/>
    <w:rsid w:val="000F5DA9"/>
    <w:rsid w:val="001008E1"/>
    <w:rsid w:val="00113562"/>
    <w:rsid w:val="00113956"/>
    <w:rsid w:val="00122D2A"/>
    <w:rsid w:val="0012356A"/>
    <w:rsid w:val="00130B7A"/>
    <w:rsid w:val="00131E4A"/>
    <w:rsid w:val="00135EB8"/>
    <w:rsid w:val="00145CB5"/>
    <w:rsid w:val="00160A8C"/>
    <w:rsid w:val="00171DE6"/>
    <w:rsid w:val="00177A4B"/>
    <w:rsid w:val="00186EF5"/>
    <w:rsid w:val="00190879"/>
    <w:rsid w:val="00193DF2"/>
    <w:rsid w:val="00194D3B"/>
    <w:rsid w:val="001A1791"/>
    <w:rsid w:val="001C2005"/>
    <w:rsid w:val="001D08B4"/>
    <w:rsid w:val="001D5F44"/>
    <w:rsid w:val="001D6DAD"/>
    <w:rsid w:val="001E250B"/>
    <w:rsid w:val="001E3E71"/>
    <w:rsid w:val="001F4EAD"/>
    <w:rsid w:val="001F741B"/>
    <w:rsid w:val="001F7F28"/>
    <w:rsid w:val="00211595"/>
    <w:rsid w:val="00212034"/>
    <w:rsid w:val="0022161F"/>
    <w:rsid w:val="002239FA"/>
    <w:rsid w:val="00226A7D"/>
    <w:rsid w:val="00240181"/>
    <w:rsid w:val="0024185A"/>
    <w:rsid w:val="00242ABC"/>
    <w:rsid w:val="00254604"/>
    <w:rsid w:val="002661DF"/>
    <w:rsid w:val="00271EEE"/>
    <w:rsid w:val="00284F44"/>
    <w:rsid w:val="002864E3"/>
    <w:rsid w:val="002A25E4"/>
    <w:rsid w:val="002B474E"/>
    <w:rsid w:val="002B7B70"/>
    <w:rsid w:val="002C6A2A"/>
    <w:rsid w:val="002C74FD"/>
    <w:rsid w:val="002E34B3"/>
    <w:rsid w:val="002E5773"/>
    <w:rsid w:val="002F2799"/>
    <w:rsid w:val="002F4952"/>
    <w:rsid w:val="002F5E86"/>
    <w:rsid w:val="00306AF3"/>
    <w:rsid w:val="0032736C"/>
    <w:rsid w:val="00327974"/>
    <w:rsid w:val="0034258D"/>
    <w:rsid w:val="00365AB2"/>
    <w:rsid w:val="00381784"/>
    <w:rsid w:val="00383214"/>
    <w:rsid w:val="00391423"/>
    <w:rsid w:val="003918AB"/>
    <w:rsid w:val="003920D7"/>
    <w:rsid w:val="003A0C63"/>
    <w:rsid w:val="003B1846"/>
    <w:rsid w:val="003B3F23"/>
    <w:rsid w:val="003B5702"/>
    <w:rsid w:val="003C44B9"/>
    <w:rsid w:val="003E7523"/>
    <w:rsid w:val="00403124"/>
    <w:rsid w:val="00406282"/>
    <w:rsid w:val="00407D66"/>
    <w:rsid w:val="00411A82"/>
    <w:rsid w:val="00421611"/>
    <w:rsid w:val="00425B2F"/>
    <w:rsid w:val="00425F5F"/>
    <w:rsid w:val="00431598"/>
    <w:rsid w:val="00445A9E"/>
    <w:rsid w:val="00447666"/>
    <w:rsid w:val="004512B7"/>
    <w:rsid w:val="004515F0"/>
    <w:rsid w:val="00456ADA"/>
    <w:rsid w:val="00473186"/>
    <w:rsid w:val="0049423B"/>
    <w:rsid w:val="004A378D"/>
    <w:rsid w:val="004A56A7"/>
    <w:rsid w:val="004A6877"/>
    <w:rsid w:val="004C3C05"/>
    <w:rsid w:val="004C6B38"/>
    <w:rsid w:val="004D1280"/>
    <w:rsid w:val="004D19E2"/>
    <w:rsid w:val="004D36DC"/>
    <w:rsid w:val="004D4E16"/>
    <w:rsid w:val="004E308A"/>
    <w:rsid w:val="004E6BA4"/>
    <w:rsid w:val="004F01E8"/>
    <w:rsid w:val="004F226B"/>
    <w:rsid w:val="004F2FF8"/>
    <w:rsid w:val="00500F8E"/>
    <w:rsid w:val="00507645"/>
    <w:rsid w:val="00521B95"/>
    <w:rsid w:val="00522D99"/>
    <w:rsid w:val="00524055"/>
    <w:rsid w:val="00527105"/>
    <w:rsid w:val="00527E2E"/>
    <w:rsid w:val="00540208"/>
    <w:rsid w:val="005426B5"/>
    <w:rsid w:val="00556AFB"/>
    <w:rsid w:val="00563E13"/>
    <w:rsid w:val="0057521C"/>
    <w:rsid w:val="00577CD6"/>
    <w:rsid w:val="00581C40"/>
    <w:rsid w:val="0059032A"/>
    <w:rsid w:val="00592AFD"/>
    <w:rsid w:val="00597113"/>
    <w:rsid w:val="005B1137"/>
    <w:rsid w:val="005B1149"/>
    <w:rsid w:val="005B69D1"/>
    <w:rsid w:val="005D26C1"/>
    <w:rsid w:val="005D3B75"/>
    <w:rsid w:val="005D418C"/>
    <w:rsid w:val="005D4C06"/>
    <w:rsid w:val="005D4E0E"/>
    <w:rsid w:val="005E2CCD"/>
    <w:rsid w:val="005E40D6"/>
    <w:rsid w:val="005F01A3"/>
    <w:rsid w:val="005F3A27"/>
    <w:rsid w:val="005F44AF"/>
    <w:rsid w:val="00600F38"/>
    <w:rsid w:val="00606B3C"/>
    <w:rsid w:val="006121FA"/>
    <w:rsid w:val="006134A2"/>
    <w:rsid w:val="00632170"/>
    <w:rsid w:val="00633670"/>
    <w:rsid w:val="00633C23"/>
    <w:rsid w:val="00667BA4"/>
    <w:rsid w:val="006C123D"/>
    <w:rsid w:val="006C22E9"/>
    <w:rsid w:val="006C7348"/>
    <w:rsid w:val="006D2D1B"/>
    <w:rsid w:val="006D6103"/>
    <w:rsid w:val="006E236C"/>
    <w:rsid w:val="006E5096"/>
    <w:rsid w:val="006F0F52"/>
    <w:rsid w:val="006F1B96"/>
    <w:rsid w:val="006F320F"/>
    <w:rsid w:val="006F66D0"/>
    <w:rsid w:val="007033AC"/>
    <w:rsid w:val="00710020"/>
    <w:rsid w:val="007236C5"/>
    <w:rsid w:val="00731396"/>
    <w:rsid w:val="00746493"/>
    <w:rsid w:val="00766638"/>
    <w:rsid w:val="00766A20"/>
    <w:rsid w:val="007670D1"/>
    <w:rsid w:val="00775FE4"/>
    <w:rsid w:val="007836DF"/>
    <w:rsid w:val="00786B01"/>
    <w:rsid w:val="0079263B"/>
    <w:rsid w:val="007A01B3"/>
    <w:rsid w:val="007A6396"/>
    <w:rsid w:val="007B38FB"/>
    <w:rsid w:val="007C579C"/>
    <w:rsid w:val="007D294E"/>
    <w:rsid w:val="007D7177"/>
    <w:rsid w:val="007E2233"/>
    <w:rsid w:val="007E2CA8"/>
    <w:rsid w:val="007E3B43"/>
    <w:rsid w:val="00802D86"/>
    <w:rsid w:val="00810689"/>
    <w:rsid w:val="008131AF"/>
    <w:rsid w:val="00813726"/>
    <w:rsid w:val="00816231"/>
    <w:rsid w:val="00816CE0"/>
    <w:rsid w:val="00831788"/>
    <w:rsid w:val="008346D2"/>
    <w:rsid w:val="0084036E"/>
    <w:rsid w:val="00846BC4"/>
    <w:rsid w:val="00847C2C"/>
    <w:rsid w:val="008517E0"/>
    <w:rsid w:val="00875514"/>
    <w:rsid w:val="00882F70"/>
    <w:rsid w:val="008863A6"/>
    <w:rsid w:val="008A4B63"/>
    <w:rsid w:val="008B3038"/>
    <w:rsid w:val="008C1B4E"/>
    <w:rsid w:val="008C3F53"/>
    <w:rsid w:val="008C40D3"/>
    <w:rsid w:val="008C6CD3"/>
    <w:rsid w:val="008D718A"/>
    <w:rsid w:val="008E1A05"/>
    <w:rsid w:val="008E58F1"/>
    <w:rsid w:val="008F6AD3"/>
    <w:rsid w:val="00922959"/>
    <w:rsid w:val="00923CD1"/>
    <w:rsid w:val="0092519F"/>
    <w:rsid w:val="00927594"/>
    <w:rsid w:val="00931802"/>
    <w:rsid w:val="009407C1"/>
    <w:rsid w:val="00942AAB"/>
    <w:rsid w:val="00945A37"/>
    <w:rsid w:val="009624A4"/>
    <w:rsid w:val="00963C0C"/>
    <w:rsid w:val="0096625C"/>
    <w:rsid w:val="009836DA"/>
    <w:rsid w:val="00984C3B"/>
    <w:rsid w:val="0099054E"/>
    <w:rsid w:val="00995DF5"/>
    <w:rsid w:val="009A14A3"/>
    <w:rsid w:val="009C24CD"/>
    <w:rsid w:val="009C5FF4"/>
    <w:rsid w:val="009D1BFF"/>
    <w:rsid w:val="009D473C"/>
    <w:rsid w:val="009E1270"/>
    <w:rsid w:val="009F1841"/>
    <w:rsid w:val="009F3F2C"/>
    <w:rsid w:val="00A12219"/>
    <w:rsid w:val="00A14286"/>
    <w:rsid w:val="00A15FA9"/>
    <w:rsid w:val="00A216C1"/>
    <w:rsid w:val="00A237FF"/>
    <w:rsid w:val="00A23AAF"/>
    <w:rsid w:val="00A425C5"/>
    <w:rsid w:val="00A43B0C"/>
    <w:rsid w:val="00A43E53"/>
    <w:rsid w:val="00A4516D"/>
    <w:rsid w:val="00A47E45"/>
    <w:rsid w:val="00A52FC0"/>
    <w:rsid w:val="00A64BC9"/>
    <w:rsid w:val="00A73778"/>
    <w:rsid w:val="00A837AE"/>
    <w:rsid w:val="00AA1110"/>
    <w:rsid w:val="00AA1A56"/>
    <w:rsid w:val="00AA3820"/>
    <w:rsid w:val="00AB164A"/>
    <w:rsid w:val="00AD19FC"/>
    <w:rsid w:val="00AE1EEC"/>
    <w:rsid w:val="00AE7AA0"/>
    <w:rsid w:val="00AF25C2"/>
    <w:rsid w:val="00B04496"/>
    <w:rsid w:val="00B2389A"/>
    <w:rsid w:val="00B24E4C"/>
    <w:rsid w:val="00B3274C"/>
    <w:rsid w:val="00B3546A"/>
    <w:rsid w:val="00B35880"/>
    <w:rsid w:val="00B36FB7"/>
    <w:rsid w:val="00B54360"/>
    <w:rsid w:val="00B71FA3"/>
    <w:rsid w:val="00B76A78"/>
    <w:rsid w:val="00B81C69"/>
    <w:rsid w:val="00B97216"/>
    <w:rsid w:val="00BA0D75"/>
    <w:rsid w:val="00BA4B21"/>
    <w:rsid w:val="00BA50D1"/>
    <w:rsid w:val="00BB07CE"/>
    <w:rsid w:val="00BB3463"/>
    <w:rsid w:val="00BC0907"/>
    <w:rsid w:val="00BC0FCF"/>
    <w:rsid w:val="00BC3B7F"/>
    <w:rsid w:val="00BD2646"/>
    <w:rsid w:val="00BD312D"/>
    <w:rsid w:val="00BD7F06"/>
    <w:rsid w:val="00BF4377"/>
    <w:rsid w:val="00BF6B60"/>
    <w:rsid w:val="00C00885"/>
    <w:rsid w:val="00C037FF"/>
    <w:rsid w:val="00C270C2"/>
    <w:rsid w:val="00C3488F"/>
    <w:rsid w:val="00C41461"/>
    <w:rsid w:val="00C4695D"/>
    <w:rsid w:val="00C47CC1"/>
    <w:rsid w:val="00C54B75"/>
    <w:rsid w:val="00C54D4F"/>
    <w:rsid w:val="00C5528A"/>
    <w:rsid w:val="00C5691C"/>
    <w:rsid w:val="00C66AF5"/>
    <w:rsid w:val="00C70DDC"/>
    <w:rsid w:val="00C73055"/>
    <w:rsid w:val="00C84F7F"/>
    <w:rsid w:val="00C86614"/>
    <w:rsid w:val="00C9428B"/>
    <w:rsid w:val="00C94445"/>
    <w:rsid w:val="00CA03C5"/>
    <w:rsid w:val="00CA0C8A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22628"/>
    <w:rsid w:val="00D22BD7"/>
    <w:rsid w:val="00D24F8A"/>
    <w:rsid w:val="00D25607"/>
    <w:rsid w:val="00D32D5C"/>
    <w:rsid w:val="00D43067"/>
    <w:rsid w:val="00D44E0A"/>
    <w:rsid w:val="00D47A90"/>
    <w:rsid w:val="00D61A25"/>
    <w:rsid w:val="00D64841"/>
    <w:rsid w:val="00D708BF"/>
    <w:rsid w:val="00D71E95"/>
    <w:rsid w:val="00D776BD"/>
    <w:rsid w:val="00DB666A"/>
    <w:rsid w:val="00DC2D71"/>
    <w:rsid w:val="00DD1D6A"/>
    <w:rsid w:val="00DD5900"/>
    <w:rsid w:val="00DD71E8"/>
    <w:rsid w:val="00DF13F0"/>
    <w:rsid w:val="00DF40E3"/>
    <w:rsid w:val="00E01274"/>
    <w:rsid w:val="00E02846"/>
    <w:rsid w:val="00E0342F"/>
    <w:rsid w:val="00E05E15"/>
    <w:rsid w:val="00E16950"/>
    <w:rsid w:val="00E20AB1"/>
    <w:rsid w:val="00E26E3A"/>
    <w:rsid w:val="00E31989"/>
    <w:rsid w:val="00E42B80"/>
    <w:rsid w:val="00E50071"/>
    <w:rsid w:val="00E70D2B"/>
    <w:rsid w:val="00E725F0"/>
    <w:rsid w:val="00E81F5F"/>
    <w:rsid w:val="00E95757"/>
    <w:rsid w:val="00EA15FD"/>
    <w:rsid w:val="00EA6004"/>
    <w:rsid w:val="00EA6DCA"/>
    <w:rsid w:val="00EC0984"/>
    <w:rsid w:val="00ED01F6"/>
    <w:rsid w:val="00ED1C09"/>
    <w:rsid w:val="00ED240B"/>
    <w:rsid w:val="00F03C4F"/>
    <w:rsid w:val="00F1751B"/>
    <w:rsid w:val="00F20140"/>
    <w:rsid w:val="00F201DD"/>
    <w:rsid w:val="00F352BC"/>
    <w:rsid w:val="00F41429"/>
    <w:rsid w:val="00F432E7"/>
    <w:rsid w:val="00F476DD"/>
    <w:rsid w:val="00F66A2D"/>
    <w:rsid w:val="00F71ACE"/>
    <w:rsid w:val="00F72A60"/>
    <w:rsid w:val="00F82DE7"/>
    <w:rsid w:val="00F82EBF"/>
    <w:rsid w:val="00F870D8"/>
    <w:rsid w:val="00F9044E"/>
    <w:rsid w:val="00FA0521"/>
    <w:rsid w:val="00FA0ACA"/>
    <w:rsid w:val="00FA5FCB"/>
    <w:rsid w:val="00FC11B7"/>
    <w:rsid w:val="00FD1089"/>
    <w:rsid w:val="00FD22E1"/>
    <w:rsid w:val="00FD31C9"/>
    <w:rsid w:val="00FD53A9"/>
    <w:rsid w:val="00FE35D4"/>
    <w:rsid w:val="00FE3A2B"/>
    <w:rsid w:val="00FE50EC"/>
    <w:rsid w:val="00FE5758"/>
    <w:rsid w:val="00FE68C1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16950"/>
    <w:pPr>
      <w:spacing w:line="240" w:lineRule="auto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6950"/>
    <w:rPr>
      <w:rFonts w:ascii="Times New Roman" w:eastAsia="Times New Roman" w:hAnsi="Times New Roman"/>
      <w:sz w:val="24"/>
    </w:rPr>
  </w:style>
  <w:style w:type="paragraph" w:customStyle="1" w:styleId="Perfekt">
    <w:name w:val="Perfekt"/>
    <w:basedOn w:val="Zkladntextodsazen"/>
    <w:rsid w:val="00E1695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E16950"/>
    <w:pPr>
      <w:numPr>
        <w:numId w:val="3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69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6950"/>
    <w:rPr>
      <w:rFonts w:ascii="Times New Roman" w:hAnsi="Times New Roman"/>
      <w:sz w:val="22"/>
      <w:szCs w:val="22"/>
      <w:lang w:eastAsia="en-US"/>
    </w:rPr>
  </w:style>
  <w:style w:type="character" w:customStyle="1" w:styleId="platne1">
    <w:name w:val="platne1"/>
    <w:basedOn w:val="Standardnpsmoodstavce"/>
    <w:uiPriority w:val="99"/>
    <w:rsid w:val="005F3A27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5F3A27"/>
    <w:pPr>
      <w:framePr w:hSpace="141" w:wrap="around" w:vAnchor="text" w:hAnchor="margin" w:y="501"/>
      <w:spacing w:after="120"/>
    </w:pPr>
    <w:rPr>
      <w:rFonts w:eastAsia="Times New Roman"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24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24CD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16950"/>
    <w:pPr>
      <w:spacing w:line="240" w:lineRule="auto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6950"/>
    <w:rPr>
      <w:rFonts w:ascii="Times New Roman" w:eastAsia="Times New Roman" w:hAnsi="Times New Roman"/>
      <w:sz w:val="24"/>
    </w:rPr>
  </w:style>
  <w:style w:type="paragraph" w:customStyle="1" w:styleId="Perfekt">
    <w:name w:val="Perfekt"/>
    <w:basedOn w:val="Zkladntextodsazen"/>
    <w:rsid w:val="00E1695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E16950"/>
    <w:pPr>
      <w:numPr>
        <w:numId w:val="3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69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6950"/>
    <w:rPr>
      <w:rFonts w:ascii="Times New Roman" w:hAnsi="Times New Roman"/>
      <w:sz w:val="22"/>
      <w:szCs w:val="22"/>
      <w:lang w:eastAsia="en-US"/>
    </w:rPr>
  </w:style>
  <w:style w:type="character" w:customStyle="1" w:styleId="platne1">
    <w:name w:val="platne1"/>
    <w:basedOn w:val="Standardnpsmoodstavce"/>
    <w:uiPriority w:val="99"/>
    <w:rsid w:val="005F3A27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5F3A27"/>
    <w:pPr>
      <w:framePr w:hSpace="141" w:wrap="around" w:vAnchor="text" w:hAnchor="margin" w:y="501"/>
      <w:spacing w:after="120"/>
    </w:pPr>
    <w:rPr>
      <w:rFonts w:eastAsia="Times New Roman"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24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24CD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96E2-6F61-4FDC-B1F4-A2F5419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 František</dc:creator>
  <cp:keywords/>
  <cp:lastModifiedBy>Šindelářová Emília Ing.</cp:lastModifiedBy>
  <cp:revision>5</cp:revision>
  <cp:lastPrinted>2013-04-02T08:12:00Z</cp:lastPrinted>
  <dcterms:created xsi:type="dcterms:W3CDTF">2013-04-02T08:07:00Z</dcterms:created>
  <dcterms:modified xsi:type="dcterms:W3CDTF">2017-06-30T10:36:00Z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