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4DBC4" w14:textId="77777777" w:rsidR="00D6509D" w:rsidRPr="00D23583" w:rsidRDefault="00D6509D" w:rsidP="00D6509D">
      <w:pPr>
        <w:spacing w:before="120" w:after="120" w:line="240" w:lineRule="auto"/>
        <w:jc w:val="right"/>
        <w:rPr>
          <w:rFonts w:cs="Arial"/>
          <w:b/>
          <w:color w:val="CE3736"/>
          <w:sz w:val="32"/>
          <w:szCs w:val="32"/>
        </w:rPr>
      </w:pPr>
      <w:r>
        <w:rPr>
          <w:b/>
          <w:color w:val="CE3736"/>
          <w:sz w:val="32"/>
        </w:rPr>
        <w:t xml:space="preserve">AMENDMENT NO. 1 </w:t>
      </w:r>
    </w:p>
    <w:p w14:paraId="2C1D011A" w14:textId="6B7FCCD6" w:rsidR="005C6E7C" w:rsidRPr="00D23583" w:rsidRDefault="00D6509D" w:rsidP="00D6509D">
      <w:pPr>
        <w:spacing w:before="120" w:after="120" w:line="240" w:lineRule="auto"/>
        <w:jc w:val="right"/>
        <w:rPr>
          <w:rFonts w:cs="Arial"/>
          <w:sz w:val="32"/>
          <w:szCs w:val="32"/>
        </w:rPr>
      </w:pPr>
      <w:r>
        <w:rPr>
          <w:b/>
          <w:color w:val="CE3736"/>
          <w:sz w:val="32"/>
        </w:rPr>
        <w:t>TO THE ANALYSIS AGREEMENT</w:t>
      </w:r>
    </w:p>
    <w:p w14:paraId="6FBFFCF6" w14:textId="7889CF91" w:rsidR="00F71A84" w:rsidRDefault="00270535" w:rsidP="00D6509D">
      <w:pPr>
        <w:spacing w:before="120" w:after="120" w:line="240" w:lineRule="auto"/>
        <w:rPr>
          <w:rFonts w:cs="Arial"/>
        </w:rPr>
      </w:pPr>
      <w:r>
        <w:t xml:space="preserve"> </w:t>
      </w:r>
      <w:r>
        <w:tab/>
      </w:r>
      <w:r>
        <w:tab/>
      </w:r>
      <w:r>
        <w:tab/>
      </w:r>
      <w:r>
        <w:tab/>
      </w:r>
      <w:r>
        <w:tab/>
      </w:r>
      <w:r>
        <w:tab/>
      </w:r>
      <w:r>
        <w:tab/>
      </w:r>
    </w:p>
    <w:p w14:paraId="2D161D68" w14:textId="5E6A2B5E" w:rsidR="005055B4" w:rsidRPr="00D6509D" w:rsidRDefault="005055B4" w:rsidP="00D6509D">
      <w:pPr>
        <w:spacing w:before="120" w:after="120" w:line="240" w:lineRule="auto"/>
        <w:rPr>
          <w:rFonts w:cs="Arial"/>
        </w:rPr>
      </w:pPr>
      <w:r>
        <w:tab/>
      </w:r>
      <w:r>
        <w:tab/>
      </w:r>
      <w:r>
        <w:tab/>
      </w:r>
      <w:r>
        <w:tab/>
      </w:r>
      <w:r>
        <w:tab/>
      </w:r>
      <w:r>
        <w:tab/>
      </w:r>
      <w:r>
        <w:tab/>
      </w:r>
      <w:r>
        <w:tab/>
        <w:t xml:space="preserve">Reference number: </w:t>
      </w:r>
      <w:r>
        <w:rPr>
          <w:b/>
        </w:rPr>
        <w:t>NTK/675/2024</w:t>
      </w:r>
    </w:p>
    <w:p w14:paraId="33586440" w14:textId="77777777" w:rsidR="00F71A84" w:rsidRPr="00D6509D" w:rsidRDefault="00F71A84" w:rsidP="00D6509D">
      <w:pPr>
        <w:spacing w:before="120" w:after="120" w:line="240" w:lineRule="auto"/>
        <w:rPr>
          <w:rFonts w:cs="Arial"/>
        </w:rPr>
      </w:pPr>
    </w:p>
    <w:p w14:paraId="44F73A5F" w14:textId="77777777" w:rsidR="00D6509D" w:rsidRPr="00D6509D" w:rsidRDefault="00D6509D" w:rsidP="00D6509D">
      <w:pPr>
        <w:spacing w:before="120" w:after="120" w:line="240" w:lineRule="auto"/>
        <w:jc w:val="center"/>
        <w:rPr>
          <w:rFonts w:cs="Arial"/>
        </w:rPr>
      </w:pPr>
      <w:r>
        <w:t>entered into by and between</w:t>
      </w:r>
    </w:p>
    <w:p w14:paraId="5B871D8F" w14:textId="77777777" w:rsidR="00D6509D" w:rsidRPr="00D6509D" w:rsidRDefault="00D6509D" w:rsidP="00D6509D">
      <w:pPr>
        <w:spacing w:before="120" w:after="120" w:line="240" w:lineRule="auto"/>
        <w:jc w:val="center"/>
        <w:rPr>
          <w:rFonts w:cs="Arial"/>
        </w:rPr>
      </w:pPr>
    </w:p>
    <w:p w14:paraId="6985E8FD" w14:textId="77777777" w:rsidR="00D6509D" w:rsidRPr="00D6509D" w:rsidRDefault="00D6509D" w:rsidP="00D6509D">
      <w:pPr>
        <w:numPr>
          <w:ilvl w:val="0"/>
          <w:numId w:val="8"/>
        </w:numPr>
        <w:spacing w:before="120" w:after="120" w:line="240" w:lineRule="auto"/>
        <w:ind w:left="567" w:hanging="567"/>
        <w:jc w:val="both"/>
        <w:rPr>
          <w:rFonts w:cs="Arial"/>
          <w:b/>
          <w:szCs w:val="20"/>
        </w:rPr>
      </w:pPr>
      <w:proofErr w:type="spellStart"/>
      <w:r>
        <w:rPr>
          <w:b/>
        </w:rPr>
        <w:t>Národní</w:t>
      </w:r>
      <w:proofErr w:type="spellEnd"/>
      <w:r>
        <w:rPr>
          <w:b/>
        </w:rPr>
        <w:t xml:space="preserve"> </w:t>
      </w:r>
      <w:proofErr w:type="spellStart"/>
      <w:r>
        <w:rPr>
          <w:b/>
        </w:rPr>
        <w:t>technická</w:t>
      </w:r>
      <w:proofErr w:type="spellEnd"/>
      <w:r>
        <w:rPr>
          <w:b/>
        </w:rPr>
        <w:t xml:space="preserve"> </w:t>
      </w:r>
      <w:proofErr w:type="spellStart"/>
      <w:r>
        <w:rPr>
          <w:b/>
        </w:rPr>
        <w:t>knihovna</w:t>
      </w:r>
      <w:proofErr w:type="spellEnd"/>
      <w:r>
        <w:rPr>
          <w:b/>
        </w:rPr>
        <w:t xml:space="preserve"> (National Library of Technology)</w:t>
      </w:r>
    </w:p>
    <w:p w14:paraId="51481D48"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state-funded institution established by the Ministry of Education, Youth and Sports</w:t>
      </w:r>
    </w:p>
    <w:p w14:paraId="56983829"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 xml:space="preserve">with its registered office at </w:t>
      </w:r>
      <w:proofErr w:type="spellStart"/>
      <w:r>
        <w:rPr>
          <w:color w:val="000000"/>
        </w:rPr>
        <w:t>Technická</w:t>
      </w:r>
      <w:proofErr w:type="spellEnd"/>
      <w:r>
        <w:rPr>
          <w:color w:val="000000"/>
        </w:rPr>
        <w:t xml:space="preserve"> 6/2710, 160 80 Prague 6</w:t>
      </w:r>
    </w:p>
    <w:p w14:paraId="28AF510A"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ID No.: 61387142</w:t>
      </w:r>
    </w:p>
    <w:p w14:paraId="68C4C5CC"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VAT ID: CZ61387142</w:t>
      </w:r>
    </w:p>
    <w:p w14:paraId="5FE502CB" w14:textId="13DB6DF4"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 xml:space="preserve">Represented by: </w:t>
      </w:r>
      <w:proofErr w:type="spellStart"/>
      <w:r w:rsidR="00297D8E">
        <w:rPr>
          <w:i/>
          <w:color w:val="000000"/>
        </w:rPr>
        <w:t>redigováno</w:t>
      </w:r>
      <w:proofErr w:type="spellEnd"/>
    </w:p>
    <w:p w14:paraId="6FA8FDDC"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Data box ID: syd69w9</w:t>
      </w:r>
    </w:p>
    <w:p w14:paraId="411FD224"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p>
    <w:p w14:paraId="7CCD743C" w14:textId="16108CF3"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 xml:space="preserve">(the </w:t>
      </w:r>
      <w:r w:rsidR="00361086">
        <w:rPr>
          <w:color w:val="000000"/>
        </w:rPr>
        <w:t>“</w:t>
      </w:r>
      <w:r>
        <w:rPr>
          <w:b/>
          <w:color w:val="000000"/>
        </w:rPr>
        <w:t>Client</w:t>
      </w:r>
      <w:r>
        <w:rPr>
          <w:color w:val="000000"/>
        </w:rPr>
        <w:t>”)</w:t>
      </w:r>
    </w:p>
    <w:p w14:paraId="70F114BC"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and</w:t>
      </w:r>
    </w:p>
    <w:p w14:paraId="6BB562B6" w14:textId="77777777" w:rsidR="00D6509D" w:rsidRPr="00D6509D" w:rsidRDefault="00D6509D" w:rsidP="00D6509D">
      <w:pPr>
        <w:numPr>
          <w:ilvl w:val="0"/>
          <w:numId w:val="8"/>
        </w:numPr>
        <w:spacing w:before="120" w:after="120" w:line="240" w:lineRule="auto"/>
        <w:ind w:left="567" w:hanging="567"/>
        <w:jc w:val="both"/>
        <w:rPr>
          <w:rFonts w:cs="Arial"/>
          <w:b/>
          <w:szCs w:val="20"/>
        </w:rPr>
      </w:pPr>
      <w:bookmarkStart w:id="0" w:name="_Hlk158800176"/>
      <w:proofErr w:type="spellStart"/>
      <w:r>
        <w:rPr>
          <w:b/>
        </w:rPr>
        <w:t>MoreBrains</w:t>
      </w:r>
      <w:proofErr w:type="spellEnd"/>
      <w:r>
        <w:rPr>
          <w:b/>
        </w:rPr>
        <w:t xml:space="preserve"> Cooperative Ltd</w:t>
      </w:r>
      <w:bookmarkEnd w:id="0"/>
    </w:p>
    <w:p w14:paraId="2898C80B"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a company incorporated under the laws of England and Wales</w:t>
      </w:r>
    </w:p>
    <w:p w14:paraId="083F2571"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 xml:space="preserve">with its registered office at </w:t>
      </w:r>
      <w:bookmarkStart w:id="1" w:name="_Hlk158801287"/>
      <w:bookmarkStart w:id="2" w:name="_Hlk158800211"/>
      <w:proofErr w:type="spellStart"/>
      <w:r>
        <w:t>Appledram</w:t>
      </w:r>
      <w:proofErr w:type="spellEnd"/>
      <w:r>
        <w:t xml:space="preserve"> Barns, </w:t>
      </w:r>
      <w:proofErr w:type="spellStart"/>
      <w:r>
        <w:t>Birdham</w:t>
      </w:r>
      <w:proofErr w:type="spellEnd"/>
      <w:r>
        <w:t xml:space="preserve"> Road, Chichester</w:t>
      </w:r>
      <w:bookmarkEnd w:id="1"/>
      <w:r>
        <w:t>, England, PO20 7EQ, United Kingdom</w:t>
      </w:r>
      <w:bookmarkEnd w:id="2"/>
    </w:p>
    <w:p w14:paraId="662034DD" w14:textId="77777777" w:rsidR="00CA04A0" w:rsidRPr="00CA04A0" w:rsidRDefault="00D6509D" w:rsidP="00CA04A0">
      <w:pPr>
        <w:pStyle w:val="Normlnweb"/>
        <w:spacing w:before="120" w:beforeAutospacing="0" w:after="120" w:afterAutospacing="0"/>
        <w:ind w:left="567"/>
        <w:rPr>
          <w:rFonts w:ascii="Arial" w:hAnsi="Arial" w:cs="Arial"/>
          <w:sz w:val="22"/>
          <w:szCs w:val="22"/>
        </w:rPr>
      </w:pPr>
      <w:proofErr w:type="spellStart"/>
      <w:r w:rsidRPr="00CA04A0">
        <w:rPr>
          <w:rFonts w:ascii="Arial" w:hAnsi="Arial" w:cs="Arial"/>
          <w:color w:val="000000"/>
          <w:sz w:val="22"/>
          <w:szCs w:val="22"/>
        </w:rPr>
        <w:t>Reg</w:t>
      </w:r>
      <w:proofErr w:type="spellEnd"/>
      <w:r w:rsidRPr="00CA04A0">
        <w:rPr>
          <w:rFonts w:ascii="Arial" w:hAnsi="Arial" w:cs="Arial"/>
          <w:color w:val="000000"/>
          <w:sz w:val="22"/>
          <w:szCs w:val="22"/>
        </w:rPr>
        <w:t>. No</w:t>
      </w:r>
      <w:r w:rsidRPr="00ED0A65">
        <w:rPr>
          <w:rFonts w:ascii="Arial" w:hAnsi="Arial" w:cs="Arial"/>
          <w:color w:val="000000"/>
          <w:sz w:val="22"/>
          <w:szCs w:val="22"/>
        </w:rPr>
        <w:t>.:</w:t>
      </w:r>
      <w:r w:rsidR="00CA04A0" w:rsidRPr="00ED0A65">
        <w:rPr>
          <w:rFonts w:ascii="Arial" w:hAnsi="Arial" w:cs="Arial"/>
          <w:color w:val="000000"/>
          <w:sz w:val="22"/>
          <w:szCs w:val="22"/>
        </w:rPr>
        <w:t xml:space="preserve"> 12929631</w:t>
      </w:r>
    </w:p>
    <w:p w14:paraId="0DB09566"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rPr>
          <w:color w:val="000000"/>
        </w:rPr>
        <w:t>registered with the Companies House</w:t>
      </w:r>
      <w:r>
        <w:t>, Cardiff, Wales, on 5 October 2020</w:t>
      </w:r>
    </w:p>
    <w:p w14:paraId="4A602C5E" w14:textId="77777777" w:rsidR="00D6509D" w:rsidRPr="00D6509D" w:rsidRDefault="00D6509D" w:rsidP="00D6509D">
      <w:pPr>
        <w:keepNext/>
        <w:pBdr>
          <w:top w:val="nil"/>
          <w:left w:val="nil"/>
          <w:bottom w:val="nil"/>
          <w:right w:val="nil"/>
          <w:between w:val="nil"/>
        </w:pBdr>
        <w:spacing w:before="120" w:after="120" w:line="240" w:lineRule="auto"/>
        <w:ind w:left="567"/>
        <w:rPr>
          <w:rFonts w:eastAsia="Arial" w:cs="Arial"/>
        </w:rPr>
      </w:pPr>
      <w:r>
        <w:rPr>
          <w:smallCaps/>
          <w:color w:val="000000"/>
        </w:rPr>
        <w:t xml:space="preserve">VAT ID: </w:t>
      </w:r>
      <w:r>
        <w:t>GB382 7370 76</w:t>
      </w:r>
    </w:p>
    <w:p w14:paraId="6692E278" w14:textId="77777777" w:rsidR="00D6509D" w:rsidRPr="00D6509D" w:rsidRDefault="00D6509D" w:rsidP="00D6509D">
      <w:pPr>
        <w:keepNext/>
        <w:pBdr>
          <w:top w:val="nil"/>
          <w:left w:val="nil"/>
          <w:bottom w:val="nil"/>
          <w:right w:val="nil"/>
          <w:between w:val="nil"/>
        </w:pBdr>
        <w:spacing w:before="120" w:after="120" w:line="240" w:lineRule="auto"/>
        <w:ind w:left="567"/>
        <w:rPr>
          <w:rFonts w:eastAsia="Arial" w:cs="Arial"/>
        </w:rPr>
      </w:pPr>
    </w:p>
    <w:p w14:paraId="2C070B02" w14:textId="77777777" w:rsidR="00D6509D" w:rsidRPr="00D6509D" w:rsidRDefault="00D6509D" w:rsidP="00D6509D">
      <w:pPr>
        <w:keepNext/>
        <w:pBdr>
          <w:top w:val="nil"/>
          <w:left w:val="nil"/>
          <w:bottom w:val="nil"/>
          <w:right w:val="nil"/>
          <w:between w:val="nil"/>
        </w:pBdr>
        <w:spacing w:before="120" w:after="120" w:line="240" w:lineRule="auto"/>
        <w:ind w:left="567"/>
        <w:rPr>
          <w:rFonts w:cs="Arial"/>
          <w:color w:val="000000"/>
          <w:szCs w:val="20"/>
        </w:rPr>
      </w:pPr>
      <w:r>
        <w:t>(the “</w:t>
      </w:r>
      <w:r>
        <w:rPr>
          <w:b/>
          <w:bCs/>
        </w:rPr>
        <w:t>Provider</w:t>
      </w:r>
      <w:r w:rsidRPr="00361086">
        <w:t>”)</w:t>
      </w:r>
    </w:p>
    <w:p w14:paraId="294F730D" w14:textId="3E218989" w:rsidR="00D6509D" w:rsidRDefault="00D6509D" w:rsidP="00D6509D">
      <w:pPr>
        <w:pStyle w:val="Zkladntext"/>
        <w:rPr>
          <w:rFonts w:ascii="Arial" w:hAnsi="Arial" w:cs="Arial"/>
          <w:szCs w:val="22"/>
        </w:rPr>
      </w:pPr>
      <w:r>
        <w:rPr>
          <w:rFonts w:ascii="Arial" w:hAnsi="Arial"/>
        </w:rPr>
        <w:t xml:space="preserve">(The Client and the Provider are hereinafter jointly referred to as the </w:t>
      </w:r>
      <w:r w:rsidR="00361086">
        <w:rPr>
          <w:rFonts w:ascii="Arial" w:hAnsi="Arial"/>
        </w:rPr>
        <w:t>“</w:t>
      </w:r>
      <w:r>
        <w:rPr>
          <w:rFonts w:ascii="Arial" w:hAnsi="Arial"/>
          <w:b/>
        </w:rPr>
        <w:t>Parties</w:t>
      </w:r>
      <w:r w:rsidR="00361086">
        <w:rPr>
          <w:rFonts w:ascii="Arial" w:hAnsi="Arial"/>
        </w:rPr>
        <w:t>”</w:t>
      </w:r>
      <w:r>
        <w:rPr>
          <w:rFonts w:ascii="Arial" w:hAnsi="Arial"/>
        </w:rPr>
        <w:t xml:space="preserve"> and each individually as a </w:t>
      </w:r>
      <w:r w:rsidR="00361086">
        <w:rPr>
          <w:rFonts w:ascii="Arial" w:hAnsi="Arial"/>
        </w:rPr>
        <w:t>“</w:t>
      </w:r>
      <w:r>
        <w:rPr>
          <w:rFonts w:ascii="Arial" w:hAnsi="Arial"/>
          <w:b/>
        </w:rPr>
        <w:t>Party</w:t>
      </w:r>
      <w:r w:rsidR="00361086">
        <w:rPr>
          <w:rFonts w:ascii="Arial" w:hAnsi="Arial"/>
        </w:rPr>
        <w:t>”</w:t>
      </w:r>
      <w:r>
        <w:rPr>
          <w:rFonts w:ascii="Arial" w:hAnsi="Arial"/>
        </w:rPr>
        <w:t>)</w:t>
      </w:r>
    </w:p>
    <w:p w14:paraId="4CF9D7AB" w14:textId="77777777" w:rsidR="00D6509D" w:rsidRDefault="00D6509D" w:rsidP="00D6509D">
      <w:pPr>
        <w:pStyle w:val="Zkladntext"/>
        <w:rPr>
          <w:rFonts w:ascii="Arial" w:hAnsi="Arial" w:cs="Arial"/>
          <w:szCs w:val="22"/>
        </w:rPr>
      </w:pPr>
    </w:p>
    <w:p w14:paraId="5A14B5CA" w14:textId="5D77836D" w:rsidR="00D6509D" w:rsidRDefault="00D6509D" w:rsidP="00D6509D">
      <w:pPr>
        <w:pStyle w:val="Zkladntext"/>
        <w:rPr>
          <w:rFonts w:ascii="Arial" w:hAnsi="Arial" w:cs="Arial"/>
          <w:b/>
          <w:bCs/>
          <w:szCs w:val="22"/>
        </w:rPr>
      </w:pPr>
      <w:r>
        <w:rPr>
          <w:rFonts w:ascii="Arial" w:hAnsi="Arial"/>
          <w:b/>
        </w:rPr>
        <w:t>RECITALS</w:t>
      </w:r>
    </w:p>
    <w:p w14:paraId="6A0FC0B7" w14:textId="77777777" w:rsidR="005470D9" w:rsidRPr="00D6509D" w:rsidRDefault="005470D9" w:rsidP="00D6509D">
      <w:pPr>
        <w:pStyle w:val="Zkladntext"/>
        <w:rPr>
          <w:rFonts w:ascii="Arial" w:hAnsi="Arial" w:cs="Arial"/>
          <w:b/>
          <w:bCs/>
          <w:szCs w:val="22"/>
        </w:rPr>
      </w:pPr>
    </w:p>
    <w:p w14:paraId="44E5F984" w14:textId="7A199F56" w:rsidR="00D6509D" w:rsidRPr="00D6509D" w:rsidRDefault="00D6509D" w:rsidP="00D6509D">
      <w:pPr>
        <w:pStyle w:val="Preambule"/>
        <w:widowControl/>
        <w:numPr>
          <w:ilvl w:val="0"/>
          <w:numId w:val="1"/>
        </w:numPr>
        <w:tabs>
          <w:tab w:val="num" w:pos="567"/>
        </w:tabs>
        <w:ind w:left="567" w:hanging="567"/>
        <w:rPr>
          <w:rFonts w:ascii="Arial" w:hAnsi="Arial" w:cs="Arial"/>
        </w:rPr>
      </w:pPr>
      <w:r>
        <w:rPr>
          <w:rFonts w:ascii="Arial" w:hAnsi="Arial"/>
        </w:rPr>
        <w:t>On 20 February 2024, the Parties entered into a contract for the preparation of a cost-benefit analysis concerning selected persistent identifiers (</w:t>
      </w:r>
      <w:r w:rsidR="00361086">
        <w:rPr>
          <w:rFonts w:ascii="Arial" w:hAnsi="Arial"/>
        </w:rPr>
        <w:t>“</w:t>
      </w:r>
      <w:r>
        <w:rPr>
          <w:rFonts w:ascii="Arial" w:hAnsi="Arial"/>
          <w:b/>
        </w:rPr>
        <w:t>PIDs</w:t>
      </w:r>
      <w:r w:rsidR="00361086">
        <w:rPr>
          <w:rFonts w:ascii="Arial" w:hAnsi="Arial"/>
        </w:rPr>
        <w:t>”</w:t>
      </w:r>
      <w:r>
        <w:rPr>
          <w:rFonts w:ascii="Arial" w:hAnsi="Arial"/>
        </w:rPr>
        <w:t xml:space="preserve">) in the systems of research institutions and universities in the Czech Republic as part of the CARDS project (the </w:t>
      </w:r>
      <w:r w:rsidR="00361086">
        <w:rPr>
          <w:rFonts w:ascii="Arial" w:hAnsi="Arial"/>
        </w:rPr>
        <w:t>“</w:t>
      </w:r>
      <w:r>
        <w:rPr>
          <w:rFonts w:ascii="Arial" w:hAnsi="Arial"/>
          <w:b/>
        </w:rPr>
        <w:t>Agreement</w:t>
      </w:r>
      <w:r>
        <w:rPr>
          <w:rFonts w:ascii="Arial" w:hAnsi="Arial"/>
        </w:rPr>
        <w:t>”).  The Provider has contractually committed to perform an analysis evaluating the potential, implementation and further use of PIDs in the VaVaI (</w:t>
      </w:r>
      <w:proofErr w:type="spellStart"/>
      <w:r>
        <w:rPr>
          <w:rFonts w:ascii="Arial" w:hAnsi="Arial"/>
        </w:rPr>
        <w:t>R&amp;D&amp;I</w:t>
      </w:r>
      <w:proofErr w:type="spellEnd"/>
      <w:r>
        <w:rPr>
          <w:rFonts w:ascii="Arial" w:hAnsi="Arial"/>
        </w:rPr>
        <w:t>) environment (the “</w:t>
      </w:r>
      <w:r>
        <w:rPr>
          <w:rFonts w:ascii="Arial" w:hAnsi="Arial"/>
          <w:b/>
        </w:rPr>
        <w:t>Analysis</w:t>
      </w:r>
      <w:r>
        <w:rPr>
          <w:rFonts w:ascii="Arial" w:hAnsi="Arial"/>
        </w:rPr>
        <w:t xml:space="preserve">”). The Analysis is to be carried out in accordance with the schedule under Annex 2 to the Agreement and according to the Client’s requirements under Annex 1 to the </w:t>
      </w:r>
      <w:r>
        <w:rPr>
          <w:rFonts w:ascii="Arial" w:hAnsi="Arial"/>
        </w:rPr>
        <w:lastRenderedPageBreak/>
        <w:t>Agreement. The Analysis will be comprised of several documents, one of which being the methodology for the Analysis.</w:t>
      </w:r>
    </w:p>
    <w:p w14:paraId="40F80AB0" w14:textId="05812C57" w:rsidR="00DF1B02" w:rsidRDefault="00D6509D" w:rsidP="00D6509D">
      <w:pPr>
        <w:pStyle w:val="Preambule"/>
        <w:widowControl/>
        <w:numPr>
          <w:ilvl w:val="0"/>
          <w:numId w:val="1"/>
        </w:numPr>
        <w:tabs>
          <w:tab w:val="num" w:pos="567"/>
        </w:tabs>
        <w:ind w:left="567" w:hanging="567"/>
        <w:rPr>
          <w:rFonts w:ascii="Arial" w:hAnsi="Arial" w:cs="Arial"/>
        </w:rPr>
      </w:pPr>
      <w:r>
        <w:rPr>
          <w:rFonts w:ascii="Arial" w:hAnsi="Arial"/>
        </w:rPr>
        <w:t xml:space="preserve">During the preparation of the Analysis methodology, new circumstances have arisen, in particular regarding the data recorded in Czech </w:t>
      </w:r>
      <w:proofErr w:type="spellStart"/>
      <w:r>
        <w:rPr>
          <w:rFonts w:ascii="Arial" w:hAnsi="Arial"/>
        </w:rPr>
        <w:t>R&amp;D&amp;I</w:t>
      </w:r>
      <w:proofErr w:type="spellEnd"/>
      <w:r>
        <w:rPr>
          <w:rFonts w:ascii="Arial" w:hAnsi="Arial"/>
        </w:rPr>
        <w:t xml:space="preserve"> information systems, and other activities conditioning the successful implementation of both stages of the Analysis, which the Client could not foresee, and therefore could not have taken into account already in the terms and conditions of the tender procedure for the public contract that preceded the execution of the Agreement. </w:t>
      </w:r>
    </w:p>
    <w:p w14:paraId="308881CA" w14:textId="3F263E12" w:rsidR="00DF1B02" w:rsidRDefault="00DF1B02" w:rsidP="00DF1B02">
      <w:pPr>
        <w:pStyle w:val="Preambule"/>
        <w:widowControl/>
        <w:ind w:left="567"/>
        <w:rPr>
          <w:rFonts w:ascii="Arial" w:hAnsi="Arial" w:cs="Arial"/>
        </w:rPr>
      </w:pPr>
      <w:r>
        <w:rPr>
          <w:rFonts w:ascii="Arial" w:hAnsi="Arial"/>
        </w:rPr>
        <w:t>In particular, the following new circumstances/facts should be taken into account:</w:t>
      </w:r>
    </w:p>
    <w:p w14:paraId="31D0A112" w14:textId="30E28CC4" w:rsidR="00307776" w:rsidRPr="00307776" w:rsidRDefault="00307776" w:rsidP="00AC0535">
      <w:pPr>
        <w:pStyle w:val="pf0"/>
        <w:numPr>
          <w:ilvl w:val="0"/>
          <w:numId w:val="9"/>
        </w:numPr>
        <w:jc w:val="both"/>
        <w:rPr>
          <w:rFonts w:ascii="Arial" w:hAnsi="Arial" w:cs="Arial"/>
          <w:b/>
          <w:bCs/>
          <w:sz w:val="22"/>
          <w:szCs w:val="22"/>
        </w:rPr>
      </w:pPr>
      <w:r>
        <w:rPr>
          <w:rStyle w:val="cf01"/>
          <w:rFonts w:ascii="Arial" w:hAnsi="Arial"/>
          <w:b/>
          <w:sz w:val="22"/>
        </w:rPr>
        <w:t xml:space="preserve">After identifying the </w:t>
      </w:r>
      <w:proofErr w:type="spellStart"/>
      <w:r>
        <w:rPr>
          <w:rStyle w:val="cf01"/>
          <w:rFonts w:ascii="Arial" w:hAnsi="Arial"/>
          <w:b/>
          <w:sz w:val="22"/>
        </w:rPr>
        <w:t>R&amp;D&amp;I</w:t>
      </w:r>
      <w:proofErr w:type="spellEnd"/>
      <w:r>
        <w:rPr>
          <w:rStyle w:val="cf01"/>
          <w:rFonts w:ascii="Arial" w:hAnsi="Arial"/>
          <w:b/>
          <w:sz w:val="22"/>
        </w:rPr>
        <w:t xml:space="preserve"> IS as a key source of data for the Analysis, it was necessary to analyse the data in detail, compare them with sources available abroad and verify that they were fully sufficient and comprehensible for the Analysis.</w:t>
      </w:r>
    </w:p>
    <w:p w14:paraId="79F35400" w14:textId="7FDDC32A" w:rsidR="00A76B0F" w:rsidRPr="00A76B0F" w:rsidRDefault="00A76B0F" w:rsidP="00AC0535">
      <w:pPr>
        <w:pStyle w:val="pf0"/>
        <w:numPr>
          <w:ilvl w:val="0"/>
          <w:numId w:val="9"/>
        </w:numPr>
        <w:jc w:val="both"/>
        <w:rPr>
          <w:rFonts w:ascii="Arial" w:hAnsi="Arial" w:cs="Arial"/>
          <w:b/>
          <w:bCs/>
        </w:rPr>
      </w:pPr>
      <w:r>
        <w:rPr>
          <w:rStyle w:val="cf01"/>
          <w:rFonts w:ascii="Arial" w:hAnsi="Arial"/>
          <w:b/>
          <w:sz w:val="22"/>
        </w:rPr>
        <w:t xml:space="preserve">To successfully </w:t>
      </w:r>
      <w:r w:rsidR="00757CBC">
        <w:rPr>
          <w:rStyle w:val="cf01"/>
          <w:rFonts w:ascii="Arial" w:hAnsi="Arial"/>
          <w:b/>
          <w:sz w:val="22"/>
        </w:rPr>
        <w:t>implement</w:t>
      </w:r>
      <w:r>
        <w:rPr>
          <w:rStyle w:val="cf01"/>
          <w:rFonts w:ascii="Arial" w:hAnsi="Arial"/>
          <w:b/>
          <w:sz w:val="22"/>
        </w:rPr>
        <w:t xml:space="preserve"> Stage II of the Analysis, it is necessary to quantify the current status of PIDs implementation in the Czech Republic through a survey that must be conducted after Stage I of the Analysis and then at least once before Stage II. The Provider will consult the Client about the content of the survey to ensure that it complies with the defined methodology of the Analysis and will work closely on it between Stage I and Stage II of the Analysis.</w:t>
      </w:r>
    </w:p>
    <w:p w14:paraId="01963849" w14:textId="4AAB70D8" w:rsidR="003A1A6C" w:rsidRDefault="003A1A6C" w:rsidP="000A1D6C">
      <w:pPr>
        <w:pStyle w:val="Odstavecseseznamem"/>
        <w:keepLines/>
        <w:widowControl w:val="0"/>
        <w:numPr>
          <w:ilvl w:val="0"/>
          <w:numId w:val="9"/>
        </w:numPr>
        <w:pBdr>
          <w:top w:val="nil"/>
          <w:left w:val="nil"/>
          <w:bottom w:val="nil"/>
          <w:right w:val="nil"/>
          <w:between w:val="nil"/>
        </w:pBdr>
        <w:spacing w:before="120" w:after="120" w:line="240" w:lineRule="auto"/>
        <w:contextualSpacing w:val="0"/>
        <w:jc w:val="both"/>
        <w:rPr>
          <w:rFonts w:cs="Arial"/>
          <w:b/>
          <w:bCs/>
          <w:color w:val="000000"/>
        </w:rPr>
      </w:pPr>
      <w:r>
        <w:rPr>
          <w:b/>
          <w:color w:val="000000"/>
        </w:rPr>
        <w:t>The Provider will consult the Client between the Stages about the strategy for communicating the results of the Analysis, or its main message and clarity for the Client’s main stakeholders, including any revisions to the texts that summarise and present the results of the Analysis.</w:t>
      </w:r>
    </w:p>
    <w:p w14:paraId="70E9091B" w14:textId="6B1B4B86" w:rsidR="00D6509D" w:rsidRPr="00D6509D" w:rsidRDefault="00D6509D" w:rsidP="00490856">
      <w:pPr>
        <w:pStyle w:val="Preambule"/>
        <w:widowControl/>
        <w:ind w:left="567"/>
        <w:rPr>
          <w:rFonts w:ascii="Arial" w:hAnsi="Arial" w:cs="Arial"/>
        </w:rPr>
      </w:pPr>
      <w:r>
        <w:rPr>
          <w:rFonts w:ascii="Arial" w:hAnsi="Arial"/>
        </w:rPr>
        <w:t xml:space="preserve">These new facts have a major impact on the implementation of the entire project and require further consultations with the Provider, which will affect both the price of the performance under the Agreement and the schedule of Stage I of the Analysis. Stage I of the Analysis or its implementation has been partially delayed by NTK due to an event entitled </w:t>
      </w:r>
      <w:r w:rsidR="00D01E03">
        <w:rPr>
          <w:rFonts w:ascii="Arial" w:hAnsi="Arial"/>
        </w:rPr>
        <w:t>‘</w:t>
      </w:r>
      <w:proofErr w:type="spellStart"/>
      <w:r>
        <w:rPr>
          <w:rFonts w:ascii="Arial" w:hAnsi="Arial"/>
        </w:rPr>
        <w:t>PIDfest</w:t>
      </w:r>
      <w:proofErr w:type="spellEnd"/>
      <w:r w:rsidR="003531E9">
        <w:rPr>
          <w:rFonts w:ascii="Arial" w:hAnsi="Arial"/>
        </w:rPr>
        <w:t>’</w:t>
      </w:r>
      <w:r w:rsidR="00842A97">
        <w:rPr>
          <w:rFonts w:ascii="Arial" w:hAnsi="Arial"/>
        </w:rPr>
        <w:t xml:space="preserve"> held on</w:t>
      </w:r>
      <w:r>
        <w:rPr>
          <w:rFonts w:ascii="Arial" w:hAnsi="Arial"/>
        </w:rPr>
        <w:t xml:space="preserve"> 11 to 13 June 2024, or more precisely the allocation of capacity for the preparation for the conference. </w:t>
      </w:r>
    </w:p>
    <w:p w14:paraId="370F5056" w14:textId="7BBFF372" w:rsidR="00D6509D" w:rsidRPr="00490856" w:rsidRDefault="00D6509D" w:rsidP="00D6509D">
      <w:pPr>
        <w:pStyle w:val="Odstavecseseznamem"/>
        <w:numPr>
          <w:ilvl w:val="0"/>
          <w:numId w:val="1"/>
        </w:numPr>
        <w:spacing w:before="120" w:after="120" w:line="240" w:lineRule="auto"/>
        <w:ind w:left="567" w:hanging="567"/>
        <w:contextualSpacing w:val="0"/>
        <w:jc w:val="both"/>
        <w:rPr>
          <w:rFonts w:cs="Arial"/>
        </w:rPr>
      </w:pPr>
      <w:r>
        <w:t>As a result, the Parties have decided to enter into this Amendment 1 (the “</w:t>
      </w:r>
      <w:r>
        <w:rPr>
          <w:b/>
        </w:rPr>
        <w:t>Amendment</w:t>
      </w:r>
      <w:r>
        <w:t>”) to amend certain contractual provisions</w:t>
      </w:r>
      <w:r w:rsidR="00842A97">
        <w:t xml:space="preserve"> pursuant to Article 15.1. of the Agreement</w:t>
      </w:r>
      <w:r>
        <w:t xml:space="preserve">. These changes are in accordance with Article 5.8 of the rules for the award and control of public contracts financed from the Jan Amos </w:t>
      </w:r>
      <w:proofErr w:type="spellStart"/>
      <w:r>
        <w:t>Komenský</w:t>
      </w:r>
      <w:proofErr w:type="spellEnd"/>
      <w:r>
        <w:t xml:space="preserve"> Operational Programme</w:t>
      </w:r>
      <w:r w:rsidR="00842A97">
        <w:t xml:space="preserve">. </w:t>
      </w:r>
      <w:r>
        <w:t xml:space="preserve">At the same time, the amendment to the Agreement complies with the provision of section 222 of Act No. 134/2016 Sb., on Public Procurement, as amended. The changes in question are shown </w:t>
      </w:r>
      <w:r>
        <w:rPr>
          <w:b/>
        </w:rPr>
        <w:t>in bold</w:t>
      </w:r>
      <w:r>
        <w:t xml:space="preserve"> in the original wording of the Agreement.</w:t>
      </w:r>
    </w:p>
    <w:p w14:paraId="7F7365F3" w14:textId="4A3261B1" w:rsidR="00D6509D" w:rsidRPr="00D6509D" w:rsidRDefault="00D6509D" w:rsidP="00D6509D">
      <w:pPr>
        <w:pStyle w:val="Nadpis1"/>
        <w:keepNext/>
        <w:numPr>
          <w:ilvl w:val="3"/>
          <w:numId w:val="8"/>
        </w:numPr>
        <w:spacing w:before="240" w:line="240" w:lineRule="auto"/>
        <w:ind w:left="567" w:hanging="567"/>
        <w:jc w:val="both"/>
        <w:rPr>
          <w:rFonts w:eastAsia="Times New Roman" w:cs="Arial"/>
          <w:bCs/>
          <w:caps/>
          <w:color w:val="auto"/>
          <w:kern w:val="32"/>
          <w:sz w:val="22"/>
          <w:szCs w:val="32"/>
        </w:rPr>
      </w:pPr>
      <w:r>
        <w:rPr>
          <w:caps/>
          <w:color w:val="auto"/>
          <w:sz w:val="22"/>
        </w:rPr>
        <w:t>SUBJECT MATTER OF THE AMENDMENT</w:t>
      </w:r>
    </w:p>
    <w:p w14:paraId="091B2A9E" w14:textId="77777777" w:rsidR="00D6509D" w:rsidRPr="00D6509D" w:rsidRDefault="00D6509D" w:rsidP="00D6509D">
      <w:pPr>
        <w:pStyle w:val="Odstavecseseznamem"/>
        <w:numPr>
          <w:ilvl w:val="0"/>
          <w:numId w:val="2"/>
        </w:numPr>
        <w:spacing w:before="120" w:after="120" w:line="240" w:lineRule="auto"/>
        <w:ind w:left="567" w:hanging="567"/>
        <w:contextualSpacing w:val="0"/>
        <w:jc w:val="both"/>
        <w:rPr>
          <w:rFonts w:cs="Arial"/>
        </w:rPr>
      </w:pPr>
      <w:r>
        <w:t>The Parties amend the existing wording of Article 3.1 of the Agreement to read as follows:</w:t>
      </w:r>
    </w:p>
    <w:p w14:paraId="723EB54E" w14:textId="77777777" w:rsidR="00D6509D" w:rsidRPr="00D6509D" w:rsidRDefault="00D6509D" w:rsidP="00D6509D">
      <w:pPr>
        <w:pStyle w:val="Text11"/>
        <w:keepNext w:val="0"/>
        <w:rPr>
          <w:rFonts w:ascii="Arial" w:hAnsi="Arial" w:cs="Arial"/>
          <w:i/>
          <w:iCs/>
          <w:szCs w:val="22"/>
        </w:rPr>
      </w:pPr>
      <w:r>
        <w:rPr>
          <w:rFonts w:ascii="Arial" w:hAnsi="Arial"/>
        </w:rPr>
        <w:t>"</w:t>
      </w:r>
      <w:bookmarkStart w:id="3" w:name="_Hlk167286616"/>
      <w:r>
        <w:rPr>
          <w:rFonts w:ascii="Arial" w:hAnsi="Arial"/>
          <w:i/>
        </w:rPr>
        <w:t xml:space="preserve">The Client undertakes to pay the Provider for the orderly provided performance the price of </w:t>
      </w:r>
      <w:r>
        <w:rPr>
          <w:rFonts w:ascii="Arial" w:hAnsi="Arial"/>
          <w:b/>
          <w:i/>
        </w:rPr>
        <w:t>EUR 70,000</w:t>
      </w:r>
      <w:r>
        <w:rPr>
          <w:rFonts w:ascii="Arial" w:hAnsi="Arial"/>
          <w:i/>
        </w:rPr>
        <w:t xml:space="preserve"> </w:t>
      </w:r>
      <w:r>
        <w:rPr>
          <w:rFonts w:ascii="Arial" w:hAnsi="Arial"/>
          <w:b/>
          <w:i/>
        </w:rPr>
        <w:t>(seventy thousand euros)</w:t>
      </w:r>
      <w:r>
        <w:rPr>
          <w:rFonts w:ascii="Arial" w:hAnsi="Arial"/>
          <w:i/>
        </w:rPr>
        <w:t xml:space="preserve"> excluding VAT (the “Price”).”</w:t>
      </w:r>
    </w:p>
    <w:bookmarkEnd w:id="3"/>
    <w:p w14:paraId="6ABE5D3B" w14:textId="77777777" w:rsidR="00D6509D" w:rsidRPr="00D6509D" w:rsidRDefault="00D6509D" w:rsidP="00D6509D">
      <w:pPr>
        <w:pStyle w:val="Odstavecseseznamem"/>
        <w:numPr>
          <w:ilvl w:val="0"/>
          <w:numId w:val="2"/>
        </w:numPr>
        <w:spacing w:before="120" w:after="120" w:line="240" w:lineRule="auto"/>
        <w:ind w:left="567" w:hanging="567"/>
        <w:contextualSpacing w:val="0"/>
        <w:jc w:val="both"/>
        <w:rPr>
          <w:rFonts w:eastAsia="Calibri" w:cs="Arial"/>
        </w:rPr>
      </w:pPr>
      <w:r>
        <w:t>The Parties amend the existing wording of Article 3.3 of the Agreement to read as follows:</w:t>
      </w:r>
    </w:p>
    <w:p w14:paraId="240B8FDB" w14:textId="77777777" w:rsidR="00D6509D" w:rsidRPr="00D6509D" w:rsidRDefault="00D6509D" w:rsidP="00D6509D">
      <w:pPr>
        <w:pStyle w:val="Odstavecseseznamem"/>
        <w:spacing w:before="120" w:after="120" w:line="240" w:lineRule="auto"/>
        <w:ind w:left="567"/>
        <w:jc w:val="both"/>
        <w:rPr>
          <w:rFonts w:eastAsia="Calibri" w:cs="Arial"/>
          <w:i/>
          <w:iCs/>
        </w:rPr>
      </w:pPr>
      <w:r>
        <w:t>“</w:t>
      </w:r>
      <w:r>
        <w:rPr>
          <w:i/>
          <w:iCs/>
        </w:rPr>
        <w:t>The Price will be paid in four (4) instalments as follows:</w:t>
      </w:r>
    </w:p>
    <w:p w14:paraId="6A9A7BDA" w14:textId="1ABE79A9" w:rsidR="00D6509D" w:rsidRPr="00D6509D" w:rsidRDefault="00D6509D" w:rsidP="00D6509D">
      <w:pPr>
        <w:pStyle w:val="Odstavecseseznamem"/>
        <w:numPr>
          <w:ilvl w:val="2"/>
          <w:numId w:val="2"/>
        </w:numPr>
        <w:spacing w:before="120" w:after="120" w:line="240" w:lineRule="auto"/>
        <w:ind w:left="1418" w:hanging="851"/>
        <w:contextualSpacing w:val="0"/>
        <w:jc w:val="both"/>
        <w:rPr>
          <w:rFonts w:eastAsia="Calibri" w:cs="Arial"/>
          <w:i/>
          <w:iCs/>
        </w:rPr>
      </w:pPr>
      <w:r>
        <w:rPr>
          <w:i/>
        </w:rPr>
        <w:t xml:space="preserve">an advance payment of EUR 13,000, a maximum of 20% (thirteen thousand euros) of the total Price excl. VAT, providing the right to this advance payment, and thus the issue of the relevant advance invoice to the Provider, arises after the signing </w:t>
      </w:r>
      <w:r>
        <w:rPr>
          <w:i/>
        </w:rPr>
        <w:lastRenderedPageBreak/>
        <w:t xml:space="preserve">of the Acceptance Report for the draft methodology of the Analysis during Stage I of the Analysis;  </w:t>
      </w:r>
    </w:p>
    <w:p w14:paraId="438E5C59" w14:textId="7005AFDD" w:rsidR="00D6509D" w:rsidRPr="00D6509D" w:rsidRDefault="00D6509D" w:rsidP="00D6509D">
      <w:pPr>
        <w:pStyle w:val="Odstavecseseznamem"/>
        <w:numPr>
          <w:ilvl w:val="2"/>
          <w:numId w:val="2"/>
        </w:numPr>
        <w:spacing w:before="120" w:after="120" w:line="240" w:lineRule="auto"/>
        <w:ind w:left="1418" w:hanging="851"/>
        <w:contextualSpacing w:val="0"/>
        <w:jc w:val="both"/>
        <w:rPr>
          <w:rFonts w:eastAsia="Calibri" w:cs="Arial"/>
          <w:i/>
          <w:iCs/>
        </w:rPr>
      </w:pPr>
      <w:r>
        <w:rPr>
          <w:i/>
        </w:rPr>
        <w:t xml:space="preserve">a payment of </w:t>
      </w:r>
      <w:r>
        <w:rPr>
          <w:b/>
          <w:i/>
        </w:rPr>
        <w:t>EUR 24,</w:t>
      </w:r>
      <w:r w:rsidR="00CD375D">
        <w:rPr>
          <w:b/>
          <w:i/>
        </w:rPr>
        <w:t>5</w:t>
      </w:r>
      <w:r>
        <w:rPr>
          <w:b/>
          <w:i/>
        </w:rPr>
        <w:t>00</w:t>
      </w:r>
      <w:r w:rsidR="00CD375D">
        <w:rPr>
          <w:b/>
          <w:i/>
        </w:rPr>
        <w:t>, a maximum of 35%</w:t>
      </w:r>
      <w:r>
        <w:rPr>
          <w:b/>
          <w:i/>
        </w:rPr>
        <w:t xml:space="preserve"> (twenty-four </w:t>
      </w:r>
      <w:r w:rsidRPr="00CD375D">
        <w:rPr>
          <w:bCs/>
          <w:i/>
        </w:rPr>
        <w:t xml:space="preserve">thousand </w:t>
      </w:r>
      <w:r w:rsidR="00CD375D" w:rsidRPr="00CD375D">
        <w:rPr>
          <w:bCs/>
          <w:i/>
        </w:rPr>
        <w:t>and five hundred euros</w:t>
      </w:r>
      <w:r w:rsidRPr="00CD375D">
        <w:rPr>
          <w:bCs/>
          <w:i/>
        </w:rPr>
        <w:t xml:space="preserve">) of the total Prices excl. VAT, </w:t>
      </w:r>
      <w:r>
        <w:rPr>
          <w:i/>
        </w:rPr>
        <w:t xml:space="preserve">whereby the right to this payment, and thus the issue of the relevant Invoice to the Provider, arises after the signing of the Acceptance Report of the final deliverables of the Analysis at the end of Stage I of the Analysis. </w:t>
      </w:r>
    </w:p>
    <w:p w14:paraId="4779895D" w14:textId="598D138D" w:rsidR="00D6509D" w:rsidRPr="00D6509D" w:rsidRDefault="00D6509D" w:rsidP="00D6509D">
      <w:pPr>
        <w:pStyle w:val="Odstavecseseznamem"/>
        <w:numPr>
          <w:ilvl w:val="2"/>
          <w:numId w:val="2"/>
        </w:numPr>
        <w:spacing w:before="120" w:after="120" w:line="240" w:lineRule="auto"/>
        <w:ind w:left="1418" w:hanging="851"/>
        <w:contextualSpacing w:val="0"/>
        <w:jc w:val="both"/>
        <w:rPr>
          <w:rFonts w:eastAsia="Calibri" w:cs="Arial"/>
          <w:i/>
          <w:iCs/>
        </w:rPr>
      </w:pPr>
      <w:r>
        <w:rPr>
          <w:i/>
        </w:rPr>
        <w:t xml:space="preserve">an advance payment EUR 13,000, a maximum of 20% (thirteen thousand euros) of the total Price excl. VAT, providing that the right to this advance payment, and thus the issue of the relevant advance invoice to the Provider, arises after the signing of the Acceptance Report for the draft methodology of the Analysis as part of Stage II of the Analysis; </w:t>
      </w:r>
    </w:p>
    <w:p w14:paraId="1C97961F" w14:textId="1BF56B87" w:rsidR="00D6509D" w:rsidRPr="00D6509D" w:rsidRDefault="00D6509D" w:rsidP="00D6509D">
      <w:pPr>
        <w:pStyle w:val="Odstavecseseznamem"/>
        <w:numPr>
          <w:ilvl w:val="2"/>
          <w:numId w:val="2"/>
        </w:numPr>
        <w:spacing w:before="120" w:after="120" w:line="240" w:lineRule="auto"/>
        <w:ind w:left="1418" w:hanging="851"/>
        <w:contextualSpacing w:val="0"/>
        <w:jc w:val="both"/>
        <w:rPr>
          <w:rFonts w:eastAsia="Calibri" w:cs="Arial"/>
        </w:rPr>
      </w:pPr>
      <w:r>
        <w:t xml:space="preserve">a </w:t>
      </w:r>
      <w:r>
        <w:rPr>
          <w:i/>
        </w:rPr>
        <w:t xml:space="preserve">payment of EUR 19,500, a maximum of 30% (nineteen thousand and five hundred euros) of the total Price excl. VAT, providing the right to this payment, and thus </w:t>
      </w:r>
      <w:r w:rsidRPr="000E4D26">
        <w:rPr>
          <w:i/>
        </w:rPr>
        <w:t>the issue of the relevant invoice to the Provider, arises after the signing of the Acceptance Report for final deliverables of the Analysis at the end of Stage II of the Analysis</w:t>
      </w:r>
      <w:r>
        <w:t>.</w:t>
      </w:r>
      <w:r w:rsidR="000E4D26">
        <w:t>”</w:t>
      </w:r>
    </w:p>
    <w:p w14:paraId="7E66D4DC" w14:textId="60B5E6B9" w:rsidR="00D6509D" w:rsidRPr="00D6509D" w:rsidRDefault="00D6509D" w:rsidP="00D6509D">
      <w:pPr>
        <w:pStyle w:val="Odstavecseseznamem"/>
        <w:numPr>
          <w:ilvl w:val="0"/>
          <w:numId w:val="2"/>
        </w:numPr>
        <w:spacing w:before="120" w:after="120" w:line="240" w:lineRule="auto"/>
        <w:ind w:left="567" w:hanging="567"/>
        <w:contextualSpacing w:val="0"/>
        <w:jc w:val="both"/>
        <w:rPr>
          <w:rFonts w:eastAsia="Calibri" w:cs="Arial"/>
        </w:rPr>
      </w:pPr>
      <w:r>
        <w:t xml:space="preserve">The Parties amend the existing Annex 1 to the Agreement </w:t>
      </w:r>
      <w:r w:rsidR="000E4D26">
        <w:t>–</w:t>
      </w:r>
      <w:r>
        <w:t xml:space="preserve"> Analysis Requirements to include a new, Updated Analysis Requirements, which are attached as Annex 1 to this Amendment. The Provider acknowledges that the new Updated Analysis Requirements as per Annex 1 to the Amendment continue to be binding in terms of further performance of the obligations under the Agreement.</w:t>
      </w:r>
    </w:p>
    <w:p w14:paraId="2A56C088" w14:textId="29342F7E" w:rsidR="00D6509D" w:rsidRPr="00D6509D" w:rsidRDefault="00D6509D" w:rsidP="00D6509D">
      <w:pPr>
        <w:pStyle w:val="Odstavecseseznamem"/>
        <w:numPr>
          <w:ilvl w:val="0"/>
          <w:numId w:val="2"/>
        </w:numPr>
        <w:spacing w:before="120" w:after="120" w:line="240" w:lineRule="auto"/>
        <w:ind w:left="567" w:hanging="567"/>
        <w:contextualSpacing w:val="0"/>
        <w:jc w:val="both"/>
        <w:rPr>
          <w:rFonts w:eastAsia="Calibri" w:cs="Arial"/>
        </w:rPr>
      </w:pPr>
      <w:r>
        <w:t xml:space="preserve">The Parties amend the existing Annex 2 to the Agreement </w:t>
      </w:r>
      <w:r w:rsidR="000E4D26">
        <w:t>–</w:t>
      </w:r>
      <w:r>
        <w:t xml:space="preserve"> Schedule</w:t>
      </w:r>
      <w:r w:rsidR="000E4D26">
        <w:t xml:space="preserve"> </w:t>
      </w:r>
      <w:r>
        <w:t xml:space="preserve">to include a new, Updated Schedule, which is attached as Annex 2 to this Amendment. The Provider acknowledges that the new Updated Schedule as per Annex 2 to the Amendment continues to be binding in terms of further performance of the obligations under the Agreement. </w:t>
      </w:r>
    </w:p>
    <w:p w14:paraId="1BD2FFA7" w14:textId="77777777" w:rsidR="00D6509D" w:rsidRDefault="00D6509D" w:rsidP="00D6509D">
      <w:pPr>
        <w:spacing w:before="120" w:after="120" w:line="240" w:lineRule="auto"/>
        <w:jc w:val="both"/>
        <w:rPr>
          <w:rFonts w:cs="Arial"/>
        </w:rPr>
      </w:pPr>
    </w:p>
    <w:p w14:paraId="243F5914" w14:textId="32665B8D" w:rsidR="00D6509D" w:rsidRPr="00D6509D" w:rsidRDefault="00D6509D" w:rsidP="00D6509D">
      <w:pPr>
        <w:spacing w:before="120" w:after="120" w:line="240" w:lineRule="auto"/>
        <w:jc w:val="both"/>
        <w:rPr>
          <w:rFonts w:eastAsia="Calibri" w:cs="Arial"/>
        </w:rPr>
      </w:pPr>
      <w:r>
        <w:t xml:space="preserve"> </w:t>
      </w:r>
    </w:p>
    <w:p w14:paraId="2D492018" w14:textId="77777777" w:rsidR="00D6509D" w:rsidRDefault="00D6509D" w:rsidP="00D6509D">
      <w:pPr>
        <w:pStyle w:val="Nadpis1"/>
        <w:keepNext/>
        <w:numPr>
          <w:ilvl w:val="3"/>
          <w:numId w:val="8"/>
        </w:numPr>
        <w:spacing w:before="240" w:line="240" w:lineRule="auto"/>
        <w:ind w:left="567" w:hanging="567"/>
        <w:jc w:val="both"/>
        <w:rPr>
          <w:rFonts w:eastAsia="Times New Roman" w:cs="Arial"/>
          <w:bCs/>
          <w:caps/>
          <w:color w:val="auto"/>
          <w:kern w:val="32"/>
          <w:sz w:val="22"/>
          <w:szCs w:val="32"/>
        </w:rPr>
      </w:pPr>
      <w:r>
        <w:rPr>
          <w:caps/>
          <w:color w:val="auto"/>
          <w:sz w:val="22"/>
        </w:rPr>
        <w:t>FINAL PROVISIONS</w:t>
      </w:r>
    </w:p>
    <w:p w14:paraId="10F36BE7" w14:textId="77777777" w:rsidR="00D6509D" w:rsidRPr="00D6509D" w:rsidRDefault="00D6509D" w:rsidP="00D6509D">
      <w:pPr>
        <w:rPr>
          <w:lang w:eastAsia="en-US"/>
        </w:rPr>
      </w:pPr>
    </w:p>
    <w:p w14:paraId="69610BAA" w14:textId="1D0DC2DC" w:rsidR="00D6509D" w:rsidRPr="00D6509D" w:rsidRDefault="004A4429" w:rsidP="00D6509D">
      <w:pPr>
        <w:pStyle w:val="Odstavecseseznamem"/>
        <w:numPr>
          <w:ilvl w:val="0"/>
          <w:numId w:val="3"/>
        </w:numPr>
        <w:spacing w:before="120" w:after="120" w:line="240" w:lineRule="auto"/>
        <w:ind w:left="567" w:hanging="567"/>
        <w:contextualSpacing w:val="0"/>
        <w:jc w:val="both"/>
        <w:rPr>
          <w:rFonts w:cs="Arial"/>
        </w:rPr>
      </w:pPr>
      <w:r>
        <w:t>This</w:t>
      </w:r>
      <w:r w:rsidR="00D6509D">
        <w:t xml:space="preserve"> Amendment will be signed in electronic form</w:t>
      </w:r>
      <w:r w:rsidRPr="004A4429">
        <w:t xml:space="preserve"> </w:t>
      </w:r>
      <w:r>
        <w:t>only</w:t>
      </w:r>
      <w:r w:rsidR="00D6509D">
        <w:t>, in Czech and English. In the event of any discrepancy between the language versions, the Czech language version will prevail.</w:t>
      </w:r>
    </w:p>
    <w:p w14:paraId="4B095585" w14:textId="77777777" w:rsidR="00D6509D" w:rsidRPr="00D6509D" w:rsidRDefault="00D6509D" w:rsidP="00D6509D">
      <w:pPr>
        <w:pStyle w:val="Odstavecseseznamem"/>
        <w:numPr>
          <w:ilvl w:val="0"/>
          <w:numId w:val="3"/>
        </w:numPr>
        <w:spacing w:before="120" w:after="120" w:line="240" w:lineRule="auto"/>
        <w:ind w:left="567" w:hanging="567"/>
        <w:contextualSpacing w:val="0"/>
        <w:jc w:val="both"/>
        <w:rPr>
          <w:rFonts w:cs="Arial"/>
        </w:rPr>
      </w:pPr>
      <w:r>
        <w:t xml:space="preserve">This Amendment takes effect on the date of its publication through the Register of Contracts in accordance with the applicable provisions of Act No. 340/2015 Sb., on Special Conditions for the Effectiveness of Certain Contracts, Publication of Such Contracts and on the Register of Contracts (the Register of Contracts Act), as amended, and the Parties declare for this purpose that the Amendment does not contain any trade secrets of either Party and the Parties consent to such publication. The Parties further agree that the publication of the Amendment in the Register of Contracts will be made by the Client. </w:t>
      </w:r>
    </w:p>
    <w:p w14:paraId="4022A436" w14:textId="1FF36E01" w:rsidR="00D6509D" w:rsidRPr="00D6509D" w:rsidRDefault="00D6509D" w:rsidP="00D6509D">
      <w:pPr>
        <w:pStyle w:val="Odstavecseseznamem"/>
        <w:numPr>
          <w:ilvl w:val="0"/>
          <w:numId w:val="3"/>
        </w:numPr>
        <w:spacing w:before="120" w:after="120" w:line="240" w:lineRule="auto"/>
        <w:ind w:left="567" w:hanging="567"/>
        <w:contextualSpacing w:val="0"/>
        <w:jc w:val="both"/>
        <w:rPr>
          <w:rFonts w:cs="Arial"/>
        </w:rPr>
      </w:pPr>
      <w:r>
        <w:t xml:space="preserve">This Amendment </w:t>
      </w:r>
      <w:r w:rsidR="004A4429">
        <w:t>will</w:t>
      </w:r>
      <w:r>
        <w:t xml:space="preserve"> become an integral part of the Agreement. The provisions of the Agreement and the Annexes thereto not affected by this Amendment remain unchanged. Capitalised terms not defined in this Amendment have the meanings set forth in the Agreement.</w:t>
      </w:r>
    </w:p>
    <w:p w14:paraId="0C027DBE" w14:textId="0929DE2A" w:rsidR="00D6509D" w:rsidRPr="00D6509D" w:rsidRDefault="00D6509D" w:rsidP="00D6509D">
      <w:pPr>
        <w:pStyle w:val="Odstavecseseznamem"/>
        <w:numPr>
          <w:ilvl w:val="0"/>
          <w:numId w:val="3"/>
        </w:numPr>
        <w:spacing w:before="120" w:after="120" w:line="240" w:lineRule="auto"/>
        <w:ind w:left="567" w:hanging="567"/>
        <w:contextualSpacing w:val="0"/>
        <w:jc w:val="both"/>
        <w:rPr>
          <w:rFonts w:cs="Arial"/>
        </w:rPr>
      </w:pPr>
      <w:r>
        <w:t xml:space="preserve">The Parties declare that they have duly read this Amendment before signing it, have familiarised themselves with its content and </w:t>
      </w:r>
      <w:r w:rsidR="00150837">
        <w:t xml:space="preserve">with </w:t>
      </w:r>
      <w:r>
        <w:t xml:space="preserve">all the documents referred to in this </w:t>
      </w:r>
      <w:r>
        <w:lastRenderedPageBreak/>
        <w:t xml:space="preserve">Amendment and agree with </w:t>
      </w:r>
      <w:r w:rsidR="00150837">
        <w:t>the</w:t>
      </w:r>
      <w:r>
        <w:t xml:space="preserve"> content</w:t>
      </w:r>
      <w:r w:rsidR="00150837">
        <w:t xml:space="preserve"> hereof</w:t>
      </w:r>
      <w:r>
        <w:t xml:space="preserve">, in witness whereof they affix their signatures. </w:t>
      </w:r>
    </w:p>
    <w:p w14:paraId="569E987F" w14:textId="7A97847F" w:rsidR="00D6509D" w:rsidRPr="00D6509D" w:rsidRDefault="00D6509D" w:rsidP="00D6509D">
      <w:pPr>
        <w:pStyle w:val="Odstavecseseznamem"/>
        <w:numPr>
          <w:ilvl w:val="0"/>
          <w:numId w:val="3"/>
        </w:numPr>
        <w:spacing w:before="120" w:after="120" w:line="240" w:lineRule="auto"/>
        <w:ind w:left="567" w:hanging="567"/>
        <w:contextualSpacing w:val="0"/>
        <w:jc w:val="both"/>
        <w:rPr>
          <w:rFonts w:cs="Arial"/>
        </w:rPr>
      </w:pPr>
      <w:r>
        <w:t xml:space="preserve">Annex 1 </w:t>
      </w:r>
      <w:r w:rsidR="00150837">
        <w:t>–</w:t>
      </w:r>
      <w:r>
        <w:t xml:space="preserve"> Updated</w:t>
      </w:r>
      <w:r w:rsidR="00150837">
        <w:t xml:space="preserve"> </w:t>
      </w:r>
      <w:r>
        <w:t xml:space="preserve">Analysis Requirements and Annex 2 </w:t>
      </w:r>
      <w:r w:rsidR="00150837">
        <w:t>–</w:t>
      </w:r>
      <w:r>
        <w:t xml:space="preserve"> Update</w:t>
      </w:r>
      <w:r w:rsidR="00150837">
        <w:t xml:space="preserve"> </w:t>
      </w:r>
      <w:r>
        <w:t>Schedule form an integral part of this Amendment.</w:t>
      </w:r>
    </w:p>
    <w:p w14:paraId="1D4D1C00" w14:textId="77777777" w:rsidR="00D6509D" w:rsidRPr="00D6509D" w:rsidRDefault="00D6509D" w:rsidP="00D6509D">
      <w:pPr>
        <w:spacing w:before="120" w:after="120" w:line="240" w:lineRule="auto"/>
        <w:jc w:val="both"/>
        <w:rPr>
          <w:rFonts w:cs="Arial"/>
        </w:rPr>
      </w:pPr>
    </w:p>
    <w:tbl>
      <w:tblPr>
        <w:tblW w:w="9178" w:type="dxa"/>
        <w:jc w:val="center"/>
        <w:tblLayout w:type="fixed"/>
        <w:tblCellMar>
          <w:left w:w="115" w:type="dxa"/>
          <w:right w:w="115" w:type="dxa"/>
        </w:tblCellMar>
        <w:tblLook w:val="0000" w:firstRow="0" w:lastRow="0" w:firstColumn="0" w:lastColumn="0" w:noHBand="0" w:noVBand="0"/>
      </w:tblPr>
      <w:tblGrid>
        <w:gridCol w:w="4589"/>
        <w:gridCol w:w="4589"/>
      </w:tblGrid>
      <w:tr w:rsidR="00D6509D" w:rsidRPr="00D6509D" w14:paraId="70F0D0C2" w14:textId="77777777" w:rsidTr="00E8083C">
        <w:trPr>
          <w:jc w:val="center"/>
        </w:trPr>
        <w:tc>
          <w:tcPr>
            <w:tcW w:w="4589" w:type="dxa"/>
          </w:tcPr>
          <w:p w14:paraId="3237FA00" w14:textId="77777777" w:rsidR="00D6509D" w:rsidRPr="00D6509D" w:rsidRDefault="00D6509D" w:rsidP="00D6509D">
            <w:pPr>
              <w:spacing w:before="120" w:after="120" w:line="240" w:lineRule="auto"/>
              <w:rPr>
                <w:rFonts w:cs="Arial"/>
                <w:b/>
              </w:rPr>
            </w:pPr>
            <w:r>
              <w:rPr>
                <w:b/>
              </w:rPr>
              <w:t>for the National Library of Technology (</w:t>
            </w:r>
            <w:proofErr w:type="spellStart"/>
            <w:r>
              <w:rPr>
                <w:b/>
              </w:rPr>
              <w:t>Národní</w:t>
            </w:r>
            <w:proofErr w:type="spellEnd"/>
            <w:r>
              <w:rPr>
                <w:b/>
              </w:rPr>
              <w:t xml:space="preserve"> </w:t>
            </w:r>
            <w:proofErr w:type="spellStart"/>
            <w:r>
              <w:rPr>
                <w:b/>
              </w:rPr>
              <w:t>technická</w:t>
            </w:r>
            <w:proofErr w:type="spellEnd"/>
            <w:r>
              <w:rPr>
                <w:b/>
              </w:rPr>
              <w:t xml:space="preserve"> </w:t>
            </w:r>
            <w:proofErr w:type="spellStart"/>
            <w:r>
              <w:rPr>
                <w:b/>
              </w:rPr>
              <w:t>knihovna</w:t>
            </w:r>
            <w:proofErr w:type="spellEnd"/>
            <w:r>
              <w:rPr>
                <w:b/>
              </w:rPr>
              <w:t>)</w:t>
            </w:r>
          </w:p>
          <w:p w14:paraId="287EAF36" w14:textId="77777777" w:rsidR="00D6509D" w:rsidRPr="00D6509D" w:rsidRDefault="00D6509D" w:rsidP="00D6509D">
            <w:pPr>
              <w:spacing w:before="120" w:after="120" w:line="240" w:lineRule="auto"/>
              <w:rPr>
                <w:rFonts w:cs="Arial"/>
                <w:b/>
              </w:rPr>
            </w:pPr>
          </w:p>
        </w:tc>
        <w:tc>
          <w:tcPr>
            <w:tcW w:w="4589" w:type="dxa"/>
          </w:tcPr>
          <w:p w14:paraId="1F1482F6" w14:textId="77777777" w:rsidR="00D6509D" w:rsidRPr="00D6509D" w:rsidRDefault="00D6509D" w:rsidP="00D6509D">
            <w:pPr>
              <w:spacing w:before="120" w:after="120" w:line="240" w:lineRule="auto"/>
              <w:rPr>
                <w:rFonts w:cs="Arial"/>
                <w:b/>
              </w:rPr>
            </w:pPr>
            <w:proofErr w:type="spellStart"/>
            <w:r>
              <w:rPr>
                <w:b/>
              </w:rPr>
              <w:t>MoreBrains</w:t>
            </w:r>
            <w:proofErr w:type="spellEnd"/>
            <w:r>
              <w:rPr>
                <w:b/>
              </w:rPr>
              <w:t xml:space="preserve"> Cooperative Ltd</w:t>
            </w:r>
          </w:p>
        </w:tc>
      </w:tr>
      <w:tr w:rsidR="00D6509D" w:rsidRPr="00D6509D" w14:paraId="50CC82D9" w14:textId="77777777" w:rsidTr="00E8083C">
        <w:trPr>
          <w:jc w:val="center"/>
        </w:trPr>
        <w:tc>
          <w:tcPr>
            <w:tcW w:w="4589" w:type="dxa"/>
          </w:tcPr>
          <w:p w14:paraId="6185A7EC" w14:textId="77777777" w:rsidR="00D6509D" w:rsidRPr="00D6509D" w:rsidRDefault="00D6509D" w:rsidP="00D6509D">
            <w:pPr>
              <w:spacing w:before="120" w:after="120" w:line="240" w:lineRule="auto"/>
              <w:rPr>
                <w:rFonts w:cs="Arial"/>
              </w:rPr>
            </w:pPr>
            <w:r>
              <w:t>Place: Prague, Czech Republic</w:t>
            </w:r>
          </w:p>
          <w:p w14:paraId="5F87F5E7" w14:textId="77777777" w:rsidR="00D6509D" w:rsidRPr="00D6509D" w:rsidRDefault="00D6509D" w:rsidP="00D6509D">
            <w:pPr>
              <w:spacing w:before="120" w:after="120" w:line="240" w:lineRule="auto"/>
              <w:rPr>
                <w:rFonts w:cs="Arial"/>
              </w:rPr>
            </w:pPr>
            <w:r>
              <w:t>Date: as per electronic signature</w:t>
            </w:r>
          </w:p>
        </w:tc>
        <w:tc>
          <w:tcPr>
            <w:tcW w:w="4589" w:type="dxa"/>
          </w:tcPr>
          <w:p w14:paraId="7DF191B4" w14:textId="77777777" w:rsidR="00D6509D" w:rsidRPr="00D6509D" w:rsidRDefault="00D6509D" w:rsidP="00D6509D">
            <w:pPr>
              <w:spacing w:before="120" w:after="120" w:line="240" w:lineRule="auto"/>
              <w:rPr>
                <w:rFonts w:cs="Arial"/>
              </w:rPr>
            </w:pPr>
            <w:r>
              <w:t>Place: Chichester, United Kingdom</w:t>
            </w:r>
          </w:p>
          <w:p w14:paraId="376FB115" w14:textId="77777777" w:rsidR="00D6509D" w:rsidRPr="00D6509D" w:rsidRDefault="00D6509D" w:rsidP="00D6509D">
            <w:pPr>
              <w:spacing w:before="120" w:after="120" w:line="240" w:lineRule="auto"/>
              <w:rPr>
                <w:rFonts w:eastAsia="Arial" w:cs="Arial"/>
              </w:rPr>
            </w:pPr>
            <w:r>
              <w:t>Date: as per electronic signature</w:t>
            </w:r>
          </w:p>
          <w:p w14:paraId="52E954DC" w14:textId="77777777" w:rsidR="00D6509D" w:rsidRPr="00D6509D" w:rsidRDefault="00D6509D" w:rsidP="00D6509D">
            <w:pPr>
              <w:spacing w:before="120" w:after="120" w:line="240" w:lineRule="auto"/>
              <w:rPr>
                <w:rFonts w:eastAsia="Arial" w:cs="Arial"/>
              </w:rPr>
            </w:pPr>
          </w:p>
          <w:p w14:paraId="5C695AC8" w14:textId="77777777" w:rsidR="00D6509D" w:rsidRPr="00D6509D" w:rsidRDefault="00D6509D" w:rsidP="00D6509D">
            <w:pPr>
              <w:spacing w:before="120" w:after="120" w:line="240" w:lineRule="auto"/>
              <w:rPr>
                <w:rFonts w:cs="Arial"/>
                <w:b/>
              </w:rPr>
            </w:pPr>
          </w:p>
        </w:tc>
      </w:tr>
      <w:tr w:rsidR="00D6509D" w:rsidRPr="00D6509D" w14:paraId="708822A2" w14:textId="77777777" w:rsidTr="00E8083C">
        <w:trPr>
          <w:jc w:val="center"/>
        </w:trPr>
        <w:tc>
          <w:tcPr>
            <w:tcW w:w="4589" w:type="dxa"/>
          </w:tcPr>
          <w:p w14:paraId="50C490A7" w14:textId="77777777" w:rsidR="00D6509D" w:rsidRPr="00D6509D" w:rsidRDefault="00D6509D" w:rsidP="00D6509D">
            <w:pPr>
              <w:spacing w:before="120" w:after="120" w:line="240" w:lineRule="auto"/>
              <w:rPr>
                <w:rFonts w:cs="Arial"/>
              </w:rPr>
            </w:pPr>
          </w:p>
          <w:p w14:paraId="1FEE3DFF" w14:textId="77777777" w:rsidR="00D6509D" w:rsidRPr="00D6509D" w:rsidRDefault="00D6509D" w:rsidP="00D6509D">
            <w:pPr>
              <w:spacing w:before="120" w:after="120" w:line="240" w:lineRule="auto"/>
              <w:rPr>
                <w:rFonts w:cs="Arial"/>
              </w:rPr>
            </w:pPr>
            <w:r>
              <w:t>________________________________</w:t>
            </w:r>
          </w:p>
        </w:tc>
        <w:tc>
          <w:tcPr>
            <w:tcW w:w="4589" w:type="dxa"/>
          </w:tcPr>
          <w:p w14:paraId="11CD259F" w14:textId="77777777" w:rsidR="00D6509D" w:rsidRPr="00D6509D" w:rsidRDefault="00D6509D" w:rsidP="00D6509D">
            <w:pPr>
              <w:spacing w:before="120" w:after="120" w:line="240" w:lineRule="auto"/>
              <w:rPr>
                <w:rFonts w:cs="Arial"/>
              </w:rPr>
            </w:pPr>
          </w:p>
          <w:p w14:paraId="06291144" w14:textId="77777777" w:rsidR="00D6509D" w:rsidRPr="00D6509D" w:rsidRDefault="00D6509D" w:rsidP="00D6509D">
            <w:pPr>
              <w:spacing w:before="120" w:after="120" w:line="240" w:lineRule="auto"/>
              <w:rPr>
                <w:rFonts w:cs="Arial"/>
              </w:rPr>
            </w:pPr>
            <w:r>
              <w:t>________________________________</w:t>
            </w:r>
          </w:p>
        </w:tc>
      </w:tr>
      <w:tr w:rsidR="00D6509D" w:rsidRPr="00D6509D" w14:paraId="3B94D9FF" w14:textId="77777777" w:rsidTr="00E8083C">
        <w:trPr>
          <w:jc w:val="center"/>
        </w:trPr>
        <w:tc>
          <w:tcPr>
            <w:tcW w:w="4589" w:type="dxa"/>
          </w:tcPr>
          <w:p w14:paraId="31A5A540" w14:textId="48D6FD3C" w:rsidR="00D6509D" w:rsidRPr="00D6509D" w:rsidRDefault="00D6509D" w:rsidP="00D6509D">
            <w:pPr>
              <w:spacing w:before="120" w:after="120" w:line="240" w:lineRule="auto"/>
              <w:rPr>
                <w:rFonts w:cs="Arial"/>
              </w:rPr>
            </w:pPr>
            <w:r>
              <w:t xml:space="preserve">Name: </w:t>
            </w:r>
            <w:proofErr w:type="spellStart"/>
            <w:r w:rsidR="00297D8E">
              <w:rPr>
                <w:i/>
              </w:rPr>
              <w:t>redigováno</w:t>
            </w:r>
            <w:proofErr w:type="spellEnd"/>
          </w:p>
          <w:p w14:paraId="3AC16097" w14:textId="1F7203EF" w:rsidR="00D6509D" w:rsidRPr="00297D8E" w:rsidRDefault="00D6509D" w:rsidP="00297D8E">
            <w:pPr>
              <w:spacing w:before="120" w:after="120" w:line="240" w:lineRule="auto"/>
              <w:rPr>
                <w:rFonts w:cs="Arial"/>
                <w:i/>
              </w:rPr>
            </w:pPr>
            <w:r>
              <w:t xml:space="preserve">Title: </w:t>
            </w:r>
            <w:r w:rsidR="00297D8E">
              <w:rPr>
                <w:i/>
              </w:rPr>
              <w:t>redigováno</w:t>
            </w:r>
            <w:bookmarkStart w:id="4" w:name="_GoBack"/>
            <w:bookmarkEnd w:id="4"/>
          </w:p>
        </w:tc>
        <w:tc>
          <w:tcPr>
            <w:tcW w:w="4589" w:type="dxa"/>
          </w:tcPr>
          <w:p w14:paraId="27A3609E" w14:textId="77F7DB9B" w:rsidR="00D6509D" w:rsidRPr="00D6509D" w:rsidRDefault="00D6509D" w:rsidP="00D6509D">
            <w:pPr>
              <w:spacing w:before="120" w:after="120" w:line="240" w:lineRule="auto"/>
              <w:rPr>
                <w:rFonts w:cs="Arial"/>
              </w:rPr>
            </w:pPr>
            <w:r>
              <w:t xml:space="preserve">Name: </w:t>
            </w:r>
          </w:p>
          <w:p w14:paraId="41BE461F" w14:textId="77777777" w:rsidR="00D6509D" w:rsidRPr="00D6509D" w:rsidRDefault="00D6509D" w:rsidP="00D6509D">
            <w:pPr>
              <w:spacing w:before="120" w:after="120" w:line="240" w:lineRule="auto"/>
              <w:rPr>
                <w:rFonts w:cs="Arial"/>
              </w:rPr>
            </w:pPr>
            <w:r>
              <w:t xml:space="preserve">Title: </w:t>
            </w:r>
          </w:p>
        </w:tc>
      </w:tr>
    </w:tbl>
    <w:p w14:paraId="587BD118" w14:textId="77777777" w:rsidR="00D6509D" w:rsidRPr="00D6509D" w:rsidRDefault="00D6509D" w:rsidP="00D6509D">
      <w:pPr>
        <w:spacing w:before="120" w:after="120" w:line="240" w:lineRule="auto"/>
        <w:jc w:val="both"/>
        <w:rPr>
          <w:rFonts w:cs="Arial"/>
        </w:rPr>
      </w:pPr>
      <w:r>
        <w:t xml:space="preserve"> </w:t>
      </w:r>
    </w:p>
    <w:p w14:paraId="21116E2C" w14:textId="77777777" w:rsidR="00D6509D" w:rsidRPr="00D6509D" w:rsidRDefault="00D6509D" w:rsidP="00D6509D">
      <w:pPr>
        <w:spacing w:before="120" w:after="120" w:line="240" w:lineRule="auto"/>
        <w:jc w:val="center"/>
        <w:rPr>
          <w:rFonts w:cs="Arial"/>
          <w:b/>
        </w:rPr>
      </w:pPr>
      <w:r>
        <w:br w:type="page"/>
      </w:r>
      <w:bookmarkStart w:id="5" w:name="_Toc153532395"/>
      <w:r>
        <w:rPr>
          <w:b/>
        </w:rPr>
        <w:lastRenderedPageBreak/>
        <w:t>ANNEX 1</w:t>
      </w:r>
      <w:bookmarkEnd w:id="5"/>
      <w:r>
        <w:rPr>
          <w:b/>
        </w:rPr>
        <w:t xml:space="preserve"> TO THE AMENDMENT</w:t>
      </w:r>
    </w:p>
    <w:p w14:paraId="34BC4967" w14:textId="77777777" w:rsidR="00D6509D" w:rsidRPr="00D6509D" w:rsidRDefault="00D6509D" w:rsidP="00D6509D">
      <w:pPr>
        <w:spacing w:before="120" w:after="120" w:line="240" w:lineRule="auto"/>
        <w:jc w:val="center"/>
        <w:rPr>
          <w:rFonts w:cs="Arial"/>
          <w:b/>
          <w:bCs/>
        </w:rPr>
      </w:pPr>
      <w:r>
        <w:rPr>
          <w:b/>
        </w:rPr>
        <w:t>ANNEX 1 TO THE AGREEMENT</w:t>
      </w:r>
    </w:p>
    <w:p w14:paraId="3658CFD5" w14:textId="77777777" w:rsidR="00D6509D" w:rsidRPr="00D6509D" w:rsidRDefault="00D6509D" w:rsidP="00D6509D">
      <w:pPr>
        <w:spacing w:before="120" w:after="120" w:line="240" w:lineRule="auto"/>
        <w:jc w:val="center"/>
        <w:rPr>
          <w:rFonts w:cs="Arial"/>
          <w:b/>
        </w:rPr>
      </w:pPr>
      <w:r>
        <w:rPr>
          <w:b/>
        </w:rPr>
        <w:t>UPDATED ANALYSIS REQUIREMENTS</w:t>
      </w:r>
    </w:p>
    <w:p w14:paraId="0829E8F0" w14:textId="77777777" w:rsidR="00D6509D" w:rsidRPr="00D6509D" w:rsidRDefault="00D6509D" w:rsidP="00D6509D">
      <w:pPr>
        <w:numPr>
          <w:ilvl w:val="0"/>
          <w:numId w:val="4"/>
        </w:numPr>
        <w:spacing w:before="120" w:after="120" w:line="240" w:lineRule="auto"/>
        <w:jc w:val="both"/>
        <w:rPr>
          <w:rFonts w:cs="Arial"/>
        </w:rPr>
      </w:pPr>
      <w:bookmarkStart w:id="6" w:name="_Ref151625513"/>
      <w:bookmarkStart w:id="7" w:name="_Ref151625521"/>
      <w:bookmarkStart w:id="8" w:name="_Ref151625556"/>
      <w:bookmarkStart w:id="9" w:name="_Ref151625567"/>
      <w:bookmarkStart w:id="10" w:name="_Ref151625598"/>
      <w:bookmarkStart w:id="11" w:name="_Ref151625605"/>
      <w:bookmarkStart w:id="12" w:name="_Ref151625651"/>
      <w:bookmarkStart w:id="13" w:name="_Ref151625672"/>
      <w:r>
        <w:rPr>
          <w:b/>
        </w:rPr>
        <w:t>Analysis Requirements</w:t>
      </w:r>
      <w:bookmarkEnd w:id="6"/>
      <w:bookmarkEnd w:id="7"/>
      <w:bookmarkEnd w:id="8"/>
      <w:bookmarkEnd w:id="9"/>
      <w:bookmarkEnd w:id="10"/>
      <w:bookmarkEnd w:id="11"/>
      <w:bookmarkEnd w:id="12"/>
      <w:bookmarkEnd w:id="13"/>
    </w:p>
    <w:p w14:paraId="4AD9E866" w14:textId="4C696206" w:rsidR="00D6509D" w:rsidRPr="00D6509D" w:rsidRDefault="00D6509D" w:rsidP="00D6509D">
      <w:pPr>
        <w:numPr>
          <w:ilvl w:val="1"/>
          <w:numId w:val="4"/>
        </w:numPr>
        <w:spacing w:before="120" w:after="120" w:line="240" w:lineRule="auto"/>
        <w:jc w:val="both"/>
        <w:rPr>
          <w:rFonts w:cs="Arial"/>
        </w:rPr>
      </w:pPr>
      <w:r>
        <w:t xml:space="preserve">The Analysis must include the activities and deliverables listed below in this Annex. The Analysis and recommendations derived therefrom must be supported by credible data collection / research in accordance with </w:t>
      </w:r>
      <w:r>
        <w:rPr>
          <w:i/>
        </w:rPr>
        <w:t>best practic</w:t>
      </w:r>
      <w:r>
        <w:t>e procedures and must be regularly consulted with the relevant Client’s Contact Persons in accordance with this Agreement by agreement of the Parties, but not less than once every two weeks unless otherwise agreed by the Parties.</w:t>
      </w:r>
    </w:p>
    <w:p w14:paraId="24B56726" w14:textId="77777777" w:rsidR="00D6509D" w:rsidRPr="00D6509D" w:rsidRDefault="00D6509D" w:rsidP="00D6509D">
      <w:pPr>
        <w:numPr>
          <w:ilvl w:val="0"/>
          <w:numId w:val="4"/>
        </w:numPr>
        <w:spacing w:before="120" w:after="120" w:line="240" w:lineRule="auto"/>
        <w:jc w:val="both"/>
        <w:rPr>
          <w:rFonts w:cs="Arial"/>
        </w:rPr>
      </w:pPr>
      <w:r>
        <w:rPr>
          <w:b/>
        </w:rPr>
        <w:t>Stage I</w:t>
      </w:r>
    </w:p>
    <w:p w14:paraId="5E42EB54" w14:textId="64EBAE66" w:rsidR="00D6509D" w:rsidRPr="00D6509D" w:rsidRDefault="00D6509D" w:rsidP="00D6509D">
      <w:pPr>
        <w:numPr>
          <w:ilvl w:val="1"/>
          <w:numId w:val="4"/>
        </w:numPr>
        <w:spacing w:before="120" w:after="120" w:line="240" w:lineRule="auto"/>
        <w:jc w:val="both"/>
        <w:rPr>
          <w:rFonts w:cs="Arial"/>
          <w:u w:val="single"/>
        </w:rPr>
      </w:pPr>
      <w:r>
        <w:rPr>
          <w:u w:val="single"/>
        </w:rPr>
        <w:t>Target.</w:t>
      </w:r>
      <w:r w:rsidRPr="00457D50">
        <w:t xml:space="preserve"> </w:t>
      </w:r>
      <w:r>
        <w:t xml:space="preserve">Mapping the initial state of PIDs use in the Czech </w:t>
      </w:r>
      <w:proofErr w:type="spellStart"/>
      <w:r>
        <w:t>R&amp;D&amp;I</w:t>
      </w:r>
      <w:proofErr w:type="spellEnd"/>
      <w:r>
        <w:t xml:space="preserve"> environment at the beginning of the CARDS project, including quantification of the potential to move this initial state to a more effective use of PIDs and their wider implementation in the systems of the institutions concerned.</w:t>
      </w:r>
    </w:p>
    <w:p w14:paraId="484ADD24" w14:textId="77777777" w:rsidR="00D6509D" w:rsidRPr="00D6509D" w:rsidRDefault="00D6509D" w:rsidP="00D6509D">
      <w:pPr>
        <w:numPr>
          <w:ilvl w:val="1"/>
          <w:numId w:val="4"/>
        </w:numPr>
        <w:spacing w:before="120" w:after="120" w:line="240" w:lineRule="auto"/>
        <w:jc w:val="both"/>
        <w:rPr>
          <w:rFonts w:cs="Arial"/>
        </w:rPr>
      </w:pPr>
      <w:r>
        <w:rPr>
          <w:u w:val="single"/>
        </w:rPr>
        <w:t>Desired primary outcome</w:t>
      </w:r>
      <w:r>
        <w:t xml:space="preserve">. The primary outcome of the first stage of the Analysis will be to map the level of implementation of selected PIDs in the </w:t>
      </w:r>
      <w:proofErr w:type="spellStart"/>
      <w:r>
        <w:t>R&amp;D&amp;I</w:t>
      </w:r>
      <w:proofErr w:type="spellEnd"/>
      <w:r>
        <w:t xml:space="preserve"> environment in the Czech Republic, specifically at research institutions and universities. The Analysis will also provide recommendations for further support to PIDs after the completion of the CARDS project.</w:t>
      </w:r>
    </w:p>
    <w:p w14:paraId="7B128FEE" w14:textId="77777777" w:rsidR="00D6509D" w:rsidRPr="00D6509D" w:rsidRDefault="00D6509D" w:rsidP="00D6509D">
      <w:pPr>
        <w:numPr>
          <w:ilvl w:val="1"/>
          <w:numId w:val="4"/>
        </w:numPr>
        <w:spacing w:before="120" w:after="120" w:line="240" w:lineRule="auto"/>
        <w:jc w:val="both"/>
        <w:rPr>
          <w:rFonts w:cs="Arial"/>
        </w:rPr>
      </w:pPr>
      <w:r>
        <w:rPr>
          <w:u w:val="single"/>
        </w:rPr>
        <w:t>Conclusions of Stage I of the Analysis</w:t>
      </w:r>
      <w:r>
        <w:t>. The conclusions of Stage I of the Analysis will quantify the potential for effective implementation of PIDs. These conclusions will be taken into account by the Client in the implementation of Key Activity 3 of the CARDS project and applied in cooperation with individual Czech research and academic institutions.</w:t>
      </w:r>
    </w:p>
    <w:p w14:paraId="1228A635" w14:textId="77777777" w:rsidR="00D6509D" w:rsidRPr="00D6509D" w:rsidRDefault="00D6509D" w:rsidP="00D6509D">
      <w:pPr>
        <w:numPr>
          <w:ilvl w:val="1"/>
          <w:numId w:val="4"/>
        </w:numPr>
        <w:spacing w:before="120" w:after="120" w:line="240" w:lineRule="auto"/>
        <w:jc w:val="both"/>
        <w:rPr>
          <w:rFonts w:cs="Arial"/>
        </w:rPr>
      </w:pPr>
      <w:r>
        <w:t>The Provider will carry out the following sub-activities and deliverables as part of the preparation of Stage I of the Analysis:</w:t>
      </w:r>
    </w:p>
    <w:p w14:paraId="3C7D05C3" w14:textId="77777777" w:rsidR="00D6509D" w:rsidRPr="00D6509D" w:rsidRDefault="00D6509D" w:rsidP="00D6509D">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 xml:space="preserve">mapping the Czech </w:t>
      </w:r>
      <w:proofErr w:type="spellStart"/>
      <w:r>
        <w:rPr>
          <w:color w:val="000000"/>
        </w:rPr>
        <w:t>R&amp;D&amp;I</w:t>
      </w:r>
      <w:proofErr w:type="spellEnd"/>
      <w:r>
        <w:rPr>
          <w:color w:val="000000"/>
        </w:rPr>
        <w:t xml:space="preserve"> environment (institutions, projects, Czech research deliverables, </w:t>
      </w:r>
      <w:proofErr w:type="spellStart"/>
      <w:r>
        <w:rPr>
          <w:color w:val="000000"/>
        </w:rPr>
        <w:t>R&amp;D&amp;I</w:t>
      </w:r>
      <w:proofErr w:type="spellEnd"/>
      <w:r>
        <w:rPr>
          <w:color w:val="000000"/>
        </w:rPr>
        <w:t xml:space="preserve"> systems);</w:t>
      </w:r>
    </w:p>
    <w:p w14:paraId="2352E0C2" w14:textId="77777777" w:rsidR="00D6509D" w:rsidRPr="00D6509D" w:rsidRDefault="00D6509D" w:rsidP="00D6509D">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initial definition of the analysis questions, proposal for and definition of the methodology, parameters and data collection area;</w:t>
      </w:r>
    </w:p>
    <w:p w14:paraId="3D8540ED" w14:textId="77777777" w:rsidR="00D6509D" w:rsidRPr="00ED0A65" w:rsidRDefault="00D6509D" w:rsidP="00D6509D">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 xml:space="preserve">collecting data on defined </w:t>
      </w:r>
      <w:r w:rsidRPr="00ED0A65">
        <w:rPr>
          <w:color w:val="000000"/>
        </w:rPr>
        <w:t xml:space="preserve">parameters of the Czech </w:t>
      </w:r>
      <w:proofErr w:type="spellStart"/>
      <w:r w:rsidRPr="00ED0A65">
        <w:rPr>
          <w:color w:val="000000"/>
        </w:rPr>
        <w:t>R&amp;D&amp;I</w:t>
      </w:r>
      <w:proofErr w:type="spellEnd"/>
      <w:r w:rsidRPr="00ED0A65">
        <w:rPr>
          <w:color w:val="000000"/>
        </w:rPr>
        <w:t xml:space="preserve"> environment and on the level of implementation of PIDs in systems and research institutions;</w:t>
      </w:r>
    </w:p>
    <w:p w14:paraId="5D239EB6" w14:textId="77777777" w:rsidR="00CA04A0" w:rsidRPr="00ED0A65" w:rsidRDefault="00D6509D" w:rsidP="00CA04A0">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color w:val="000000"/>
        </w:rPr>
      </w:pPr>
      <w:r w:rsidRPr="00ED0A65">
        <w:rPr>
          <w:color w:val="000000"/>
        </w:rPr>
        <w:t xml:space="preserve">calculation/analysis of potential savings for the Czech </w:t>
      </w:r>
      <w:proofErr w:type="spellStart"/>
      <w:r w:rsidRPr="00ED0A65">
        <w:rPr>
          <w:color w:val="000000"/>
        </w:rPr>
        <w:t>R&amp;D&amp;I</w:t>
      </w:r>
      <w:proofErr w:type="spellEnd"/>
      <w:r w:rsidRPr="00ED0A65">
        <w:rPr>
          <w:color w:val="000000"/>
        </w:rPr>
        <w:t xml:space="preserve"> environment (both in terms of funds and time), with a more significant expansion of individual PIDs and a higher level of implementation;</w:t>
      </w:r>
    </w:p>
    <w:p w14:paraId="18756618" w14:textId="52266D3F" w:rsidR="00D6509D" w:rsidRPr="00ED0A65" w:rsidRDefault="00D6509D" w:rsidP="00FF1A31">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b/>
          <w:bCs/>
          <w:color w:val="000000"/>
        </w:rPr>
      </w:pPr>
      <w:r w:rsidRPr="00ED0A65">
        <w:rPr>
          <w:color w:val="000000"/>
        </w:rPr>
        <w:t xml:space="preserve">analysis of the costs to date and a qualified estimate of the financial costs of supporting work with PIDs for the Czech </w:t>
      </w:r>
      <w:proofErr w:type="spellStart"/>
      <w:r w:rsidRPr="00ED0A65">
        <w:rPr>
          <w:color w:val="000000"/>
        </w:rPr>
        <w:t>R&amp;D&amp;I</w:t>
      </w:r>
      <w:proofErr w:type="spellEnd"/>
      <w:r w:rsidRPr="00ED0A65">
        <w:rPr>
          <w:color w:val="000000"/>
        </w:rPr>
        <w:t xml:space="preserve"> environment in the long term</w:t>
      </w:r>
      <w:r w:rsidR="00CA04A0" w:rsidRPr="00ED0A65">
        <w:rPr>
          <w:color w:val="000000"/>
        </w:rPr>
        <w:t xml:space="preserve">. </w:t>
      </w:r>
      <w:r w:rsidR="00CA04A0" w:rsidRPr="00ED0A65">
        <w:rPr>
          <w:rFonts w:cs="Arial"/>
          <w:b/>
          <w:bCs/>
          <w:color w:val="000000"/>
        </w:rPr>
        <w:t>The costs analysed will be salary costs and direct costs attributable to the Client’s current PID programme, subject to availability of data to be supplied by the Client;</w:t>
      </w:r>
    </w:p>
    <w:p w14:paraId="49E4E08B" w14:textId="77777777" w:rsidR="009E4155" w:rsidRPr="00ED0A65" w:rsidRDefault="00D6509D" w:rsidP="009E4155">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color w:val="000000"/>
        </w:rPr>
      </w:pPr>
      <w:r w:rsidRPr="00ED0A65">
        <w:rPr>
          <w:color w:val="000000"/>
        </w:rPr>
        <w:t xml:space="preserve">comparison of identified costs and potential savings in the </w:t>
      </w:r>
      <w:proofErr w:type="spellStart"/>
      <w:r w:rsidRPr="00ED0A65">
        <w:rPr>
          <w:color w:val="000000"/>
        </w:rPr>
        <w:t>R&amp;D&amp;I</w:t>
      </w:r>
      <w:proofErr w:type="spellEnd"/>
      <w:r w:rsidRPr="00ED0A65">
        <w:rPr>
          <w:color w:val="000000"/>
        </w:rPr>
        <w:t xml:space="preserve"> environment; </w:t>
      </w:r>
    </w:p>
    <w:p w14:paraId="49B0A10A" w14:textId="58B243EE" w:rsidR="009E4155" w:rsidRPr="00ED0A65" w:rsidRDefault="00D6509D" w:rsidP="009E4155">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b/>
          <w:bCs/>
          <w:color w:val="000000"/>
        </w:rPr>
      </w:pPr>
      <w:r w:rsidRPr="00ED0A65">
        <w:rPr>
          <w:color w:val="000000"/>
        </w:rPr>
        <w:t>checks on /review of data measured and identified</w:t>
      </w:r>
      <w:r w:rsidR="00CA04A0" w:rsidRPr="00ED0A65">
        <w:rPr>
          <w:color w:val="000000"/>
        </w:rPr>
        <w:t xml:space="preserve"> </w:t>
      </w:r>
      <w:r w:rsidR="00CA04A0" w:rsidRPr="00ED0A65">
        <w:rPr>
          <w:rFonts w:cs="Arial"/>
          <w:b/>
          <w:bCs/>
          <w:color w:val="000000"/>
        </w:rPr>
        <w:t xml:space="preserve">to ensure that the structure of the data is fit for purpose for the analysis. </w:t>
      </w:r>
      <w:r w:rsidR="009E4155" w:rsidRPr="00ED0A65">
        <w:rPr>
          <w:rFonts w:cs="Arial"/>
          <w:b/>
          <w:bCs/>
          <w:lang w:val="en-US"/>
        </w:rPr>
        <w:t>The Client acknowledges that the Provider cannot guarantee the material accuracy of data from the IS VaVaI system.</w:t>
      </w:r>
    </w:p>
    <w:p w14:paraId="29255E4A" w14:textId="77777777" w:rsidR="00D6509D" w:rsidRPr="00ED0A65" w:rsidRDefault="00D6509D" w:rsidP="00D6509D">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color w:val="000000"/>
        </w:rPr>
      </w:pPr>
      <w:r w:rsidRPr="00ED0A65">
        <w:rPr>
          <w:color w:val="000000"/>
        </w:rPr>
        <w:t xml:space="preserve">regular consultations with the Client; </w:t>
      </w:r>
    </w:p>
    <w:p w14:paraId="199F148D" w14:textId="77777777" w:rsidR="00D6509D" w:rsidRPr="00D6509D" w:rsidRDefault="00D6509D" w:rsidP="00D6509D">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color w:val="000000"/>
        </w:rPr>
      </w:pPr>
      <w:r w:rsidRPr="00ED0A65">
        <w:rPr>
          <w:color w:val="000000"/>
        </w:rPr>
        <w:t>formulation of results, conclusions, risks and recommendations</w:t>
      </w:r>
      <w:r>
        <w:rPr>
          <w:color w:val="000000"/>
        </w:rPr>
        <w:t>.</w:t>
      </w:r>
    </w:p>
    <w:p w14:paraId="77A9B88C" w14:textId="2F4137D8" w:rsidR="00CA04A0" w:rsidRPr="00ED0A65" w:rsidRDefault="00D6509D" w:rsidP="00CA04A0">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b/>
          <w:bCs/>
          <w:color w:val="000000"/>
        </w:rPr>
      </w:pPr>
      <w:bookmarkStart w:id="14" w:name="_Hlk174097514"/>
      <w:r>
        <w:rPr>
          <w:b/>
          <w:color w:val="000000"/>
        </w:rPr>
        <w:lastRenderedPageBreak/>
        <w:t xml:space="preserve">detailed analysis and familiarisation with the </w:t>
      </w:r>
      <w:r w:rsidR="00AB7042">
        <w:rPr>
          <w:b/>
          <w:color w:val="000000"/>
        </w:rPr>
        <w:t>IS VaVaI system</w:t>
      </w:r>
      <w:r>
        <w:rPr>
          <w:b/>
          <w:color w:val="000000"/>
        </w:rPr>
        <w:t xml:space="preserve">, the key source of data for the entire </w:t>
      </w:r>
      <w:r w:rsidRPr="00ED0A65">
        <w:rPr>
          <w:b/>
          <w:color w:val="000000"/>
        </w:rPr>
        <w:t>Analysis, evaluation whether the data are sufficient for the preparation of the Analysis;</w:t>
      </w:r>
    </w:p>
    <w:p w14:paraId="3585B147" w14:textId="72B07C9E" w:rsidR="00CA04A0" w:rsidRPr="00ED0A65" w:rsidRDefault="00D6509D" w:rsidP="00CA04A0">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b/>
          <w:bCs/>
          <w:color w:val="000000"/>
        </w:rPr>
      </w:pPr>
      <w:r w:rsidRPr="00ED0A65">
        <w:rPr>
          <w:rFonts w:cs="Arial"/>
          <w:b/>
          <w:color w:val="000000"/>
        </w:rPr>
        <w:t>consultation and recommendations for communicating the results of the Analysis</w:t>
      </w:r>
      <w:r w:rsidR="00CA04A0" w:rsidRPr="00ED0A65">
        <w:rPr>
          <w:rFonts w:cs="Arial"/>
          <w:b/>
          <w:color w:val="000000"/>
        </w:rPr>
        <w:t xml:space="preserve">. </w:t>
      </w:r>
      <w:bookmarkStart w:id="15" w:name="_Hlk177567784"/>
      <w:r w:rsidR="00CA04A0" w:rsidRPr="00ED0A65">
        <w:rPr>
          <w:rFonts w:cs="Arial"/>
          <w:b/>
          <w:bCs/>
          <w:color w:val="000000"/>
        </w:rPr>
        <w:t>These activities will be linked to the timeline of the overall project and the Provider’s role will consist of:</w:t>
      </w:r>
    </w:p>
    <w:p w14:paraId="64EEC04A" w14:textId="26EAB5A8" w:rsidR="00CA04A0" w:rsidRPr="00ED0A65" w:rsidRDefault="00CA04A0" w:rsidP="00CA04A0">
      <w:pPr>
        <w:pStyle w:val="Normlnweb"/>
        <w:numPr>
          <w:ilvl w:val="4"/>
          <w:numId w:val="15"/>
        </w:numPr>
        <w:spacing w:before="0" w:beforeAutospacing="0" w:after="0" w:afterAutospacing="0"/>
        <w:jc w:val="both"/>
        <w:textAlignment w:val="baseline"/>
        <w:rPr>
          <w:rFonts w:ascii="Arial" w:hAnsi="Arial" w:cs="Arial"/>
          <w:b/>
          <w:bCs/>
          <w:color w:val="000000"/>
          <w:sz w:val="22"/>
          <w:szCs w:val="22"/>
        </w:rPr>
      </w:pPr>
      <w:proofErr w:type="spellStart"/>
      <w:r w:rsidRPr="00ED0A65">
        <w:rPr>
          <w:rFonts w:ascii="Arial" w:hAnsi="Arial" w:cs="Arial"/>
          <w:b/>
          <w:bCs/>
          <w:color w:val="000000"/>
          <w:sz w:val="22"/>
          <w:szCs w:val="22"/>
        </w:rPr>
        <w:t>Advising</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Client</w:t>
      </w:r>
      <w:proofErr w:type="spellEnd"/>
      <w:r w:rsidRPr="00ED0A65">
        <w:rPr>
          <w:rFonts w:ascii="Arial" w:hAnsi="Arial" w:cs="Arial"/>
          <w:b/>
          <w:bCs/>
          <w:color w:val="000000"/>
          <w:sz w:val="22"/>
          <w:szCs w:val="22"/>
        </w:rPr>
        <w:t xml:space="preserve"> on a </w:t>
      </w:r>
      <w:proofErr w:type="spellStart"/>
      <w:r w:rsidRPr="00ED0A65">
        <w:rPr>
          <w:rFonts w:ascii="Arial" w:hAnsi="Arial" w:cs="Arial"/>
          <w:b/>
          <w:bCs/>
          <w:color w:val="000000"/>
          <w:sz w:val="22"/>
          <w:szCs w:val="22"/>
        </w:rPr>
        <w:t>communications</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plan</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covering</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00AB7042" w:rsidRPr="00ED0A65">
        <w:rPr>
          <w:rFonts w:ascii="Arial" w:hAnsi="Arial" w:cs="Arial"/>
          <w:b/>
          <w:bCs/>
          <w:color w:val="000000"/>
          <w:sz w:val="22"/>
          <w:szCs w:val="22"/>
        </w:rPr>
        <w:t>results</w:t>
      </w:r>
      <w:proofErr w:type="spellEnd"/>
      <w:r w:rsidR="00AB7042" w:rsidRPr="00ED0A65">
        <w:rPr>
          <w:rFonts w:ascii="Arial" w:hAnsi="Arial" w:cs="Arial"/>
          <w:b/>
          <w:bCs/>
          <w:color w:val="000000"/>
          <w:sz w:val="22"/>
          <w:szCs w:val="22"/>
        </w:rPr>
        <w:t xml:space="preserve"> </w:t>
      </w:r>
      <w:proofErr w:type="spellStart"/>
      <w:r w:rsidR="00AB7042" w:rsidRPr="00ED0A65">
        <w:rPr>
          <w:rFonts w:ascii="Arial" w:hAnsi="Arial" w:cs="Arial"/>
          <w:b/>
          <w:bCs/>
          <w:color w:val="000000"/>
          <w:sz w:val="22"/>
          <w:szCs w:val="22"/>
        </w:rPr>
        <w:t>of</w:t>
      </w:r>
      <w:proofErr w:type="spellEnd"/>
      <w:r w:rsidR="00AB7042" w:rsidRPr="00ED0A65">
        <w:rPr>
          <w:rFonts w:ascii="Arial" w:hAnsi="Arial" w:cs="Arial"/>
          <w:b/>
          <w:bCs/>
          <w:color w:val="000000"/>
          <w:sz w:val="22"/>
          <w:szCs w:val="22"/>
        </w:rPr>
        <w:t xml:space="preserve"> </w:t>
      </w:r>
      <w:proofErr w:type="spellStart"/>
      <w:r w:rsidR="00AB7042" w:rsidRPr="00ED0A65">
        <w:rPr>
          <w:rFonts w:ascii="Arial" w:hAnsi="Arial" w:cs="Arial"/>
          <w:b/>
          <w:bCs/>
          <w:color w:val="000000"/>
          <w:sz w:val="22"/>
          <w:szCs w:val="22"/>
        </w:rPr>
        <w:t>the</w:t>
      </w:r>
      <w:proofErr w:type="spellEnd"/>
      <w:r w:rsidR="00AB7042" w:rsidRPr="00ED0A65">
        <w:rPr>
          <w:rFonts w:ascii="Arial" w:hAnsi="Arial" w:cs="Arial"/>
          <w:b/>
          <w:bCs/>
          <w:color w:val="000000"/>
          <w:sz w:val="22"/>
          <w:szCs w:val="22"/>
        </w:rPr>
        <w:t xml:space="preserve"> </w:t>
      </w:r>
      <w:proofErr w:type="spellStart"/>
      <w:r w:rsidR="00AB7042" w:rsidRPr="00ED0A65">
        <w:rPr>
          <w:rFonts w:ascii="Arial" w:hAnsi="Arial" w:cs="Arial"/>
          <w:b/>
          <w:bCs/>
          <w:color w:val="000000"/>
          <w:sz w:val="22"/>
          <w:szCs w:val="22"/>
        </w:rPr>
        <w:t>Stage</w:t>
      </w:r>
      <w:proofErr w:type="spellEnd"/>
      <w:r w:rsidR="00AB7042" w:rsidRPr="00ED0A65">
        <w:rPr>
          <w:rFonts w:ascii="Arial" w:hAnsi="Arial" w:cs="Arial"/>
          <w:b/>
          <w:bCs/>
          <w:color w:val="000000"/>
          <w:sz w:val="22"/>
          <w:szCs w:val="22"/>
        </w:rPr>
        <w:t xml:space="preserve"> I </w:t>
      </w:r>
      <w:proofErr w:type="spellStart"/>
      <w:r w:rsidR="00AB7042" w:rsidRPr="00ED0A65">
        <w:rPr>
          <w:rFonts w:ascii="Arial" w:hAnsi="Arial" w:cs="Arial"/>
          <w:b/>
          <w:bCs/>
          <w:color w:val="000000"/>
          <w:sz w:val="22"/>
          <w:szCs w:val="22"/>
        </w:rPr>
        <w:t>of</w:t>
      </w:r>
      <w:proofErr w:type="spellEnd"/>
      <w:r w:rsidR="00AB7042" w:rsidRPr="00ED0A65">
        <w:rPr>
          <w:rFonts w:ascii="Arial" w:hAnsi="Arial" w:cs="Arial"/>
          <w:b/>
          <w:bCs/>
          <w:color w:val="000000"/>
          <w:sz w:val="22"/>
          <w:szCs w:val="22"/>
        </w:rPr>
        <w:t xml:space="preserve"> </w:t>
      </w:r>
      <w:proofErr w:type="spellStart"/>
      <w:r w:rsidR="00AB7042" w:rsidRPr="00ED0A65">
        <w:rPr>
          <w:rFonts w:ascii="Arial" w:hAnsi="Arial" w:cs="Arial"/>
          <w:b/>
          <w:bCs/>
          <w:color w:val="000000"/>
          <w:sz w:val="22"/>
          <w:szCs w:val="22"/>
        </w:rPr>
        <w:t>the</w:t>
      </w:r>
      <w:proofErr w:type="spellEnd"/>
      <w:r w:rsidR="00AB7042"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analysis</w:t>
      </w:r>
      <w:proofErr w:type="spellEnd"/>
      <w:r w:rsidRPr="00ED0A65">
        <w:rPr>
          <w:rFonts w:ascii="Arial" w:hAnsi="Arial" w:cs="Arial"/>
          <w:b/>
          <w:bCs/>
          <w:color w:val="000000"/>
          <w:sz w:val="22"/>
          <w:szCs w:val="22"/>
        </w:rPr>
        <w:t xml:space="preserve"> and </w:t>
      </w:r>
      <w:proofErr w:type="spellStart"/>
      <w:r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ongoing</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rationale</w:t>
      </w:r>
      <w:proofErr w:type="spellEnd"/>
      <w:r w:rsidRPr="00ED0A65">
        <w:rPr>
          <w:rFonts w:ascii="Arial" w:hAnsi="Arial" w:cs="Arial"/>
          <w:b/>
          <w:bCs/>
          <w:color w:val="000000"/>
          <w:sz w:val="22"/>
          <w:szCs w:val="22"/>
        </w:rPr>
        <w:t xml:space="preserve"> and </w:t>
      </w:r>
      <w:proofErr w:type="spellStart"/>
      <w:r w:rsidRPr="00ED0A65">
        <w:rPr>
          <w:rFonts w:ascii="Arial" w:hAnsi="Arial" w:cs="Arial"/>
          <w:b/>
          <w:bCs/>
          <w:color w:val="000000"/>
          <w:sz w:val="22"/>
          <w:szCs w:val="22"/>
        </w:rPr>
        <w:t>process</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of</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surveys</w:t>
      </w:r>
      <w:proofErr w:type="spellEnd"/>
      <w:r w:rsidRPr="00ED0A65">
        <w:rPr>
          <w:rFonts w:ascii="Arial" w:hAnsi="Arial" w:cs="Arial"/>
          <w:b/>
          <w:bCs/>
          <w:color w:val="000000"/>
          <w:sz w:val="22"/>
          <w:szCs w:val="22"/>
        </w:rPr>
        <w:t xml:space="preserve"> and </w:t>
      </w:r>
      <w:proofErr w:type="spellStart"/>
      <w:r w:rsidR="00AB7042" w:rsidRPr="00ED0A65">
        <w:rPr>
          <w:rFonts w:ascii="Arial" w:hAnsi="Arial" w:cs="Arial"/>
          <w:b/>
          <w:bCs/>
          <w:color w:val="000000"/>
          <w:sz w:val="22"/>
          <w:szCs w:val="22"/>
        </w:rPr>
        <w:t>Stage</w:t>
      </w:r>
      <w:proofErr w:type="spellEnd"/>
      <w:r w:rsidR="00AB7042" w:rsidRPr="00ED0A65">
        <w:rPr>
          <w:rFonts w:ascii="Arial" w:hAnsi="Arial" w:cs="Arial"/>
          <w:b/>
          <w:bCs/>
          <w:color w:val="000000"/>
          <w:sz w:val="22"/>
          <w:szCs w:val="22"/>
        </w:rPr>
        <w:t xml:space="preserve"> II </w:t>
      </w:r>
      <w:proofErr w:type="spellStart"/>
      <w:r w:rsidR="00AB7042" w:rsidRPr="00ED0A65">
        <w:rPr>
          <w:rFonts w:ascii="Arial" w:hAnsi="Arial" w:cs="Arial"/>
          <w:b/>
          <w:bCs/>
          <w:color w:val="000000"/>
          <w:sz w:val="22"/>
          <w:szCs w:val="22"/>
        </w:rPr>
        <w:t>of</w:t>
      </w:r>
      <w:proofErr w:type="spellEnd"/>
      <w:r w:rsidR="00AB7042" w:rsidRPr="00ED0A65">
        <w:rPr>
          <w:rFonts w:ascii="Arial" w:hAnsi="Arial" w:cs="Arial"/>
          <w:b/>
          <w:bCs/>
          <w:color w:val="000000"/>
          <w:sz w:val="22"/>
          <w:szCs w:val="22"/>
        </w:rPr>
        <w:t xml:space="preserve"> </w:t>
      </w:r>
      <w:proofErr w:type="spellStart"/>
      <w:r w:rsidR="00AB7042"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analysis</w:t>
      </w:r>
      <w:proofErr w:type="spellEnd"/>
      <w:r w:rsidRPr="00ED0A65">
        <w:rPr>
          <w:rFonts w:ascii="Arial" w:hAnsi="Arial" w:cs="Arial"/>
          <w:b/>
          <w:bCs/>
          <w:color w:val="000000"/>
          <w:sz w:val="22"/>
          <w:szCs w:val="22"/>
        </w:rPr>
        <w:t xml:space="preserve"> in 2028,</w:t>
      </w:r>
    </w:p>
    <w:p w14:paraId="3653CC5F" w14:textId="609D541A" w:rsidR="00CA04A0" w:rsidRPr="00ED0A65" w:rsidRDefault="00CA04A0" w:rsidP="00CA04A0">
      <w:pPr>
        <w:pStyle w:val="Normlnweb"/>
        <w:numPr>
          <w:ilvl w:val="4"/>
          <w:numId w:val="15"/>
        </w:numPr>
        <w:spacing w:before="0" w:beforeAutospacing="0" w:after="0" w:afterAutospacing="0"/>
        <w:jc w:val="both"/>
        <w:textAlignment w:val="baseline"/>
        <w:rPr>
          <w:rFonts w:ascii="Arial" w:hAnsi="Arial" w:cs="Arial"/>
          <w:b/>
          <w:bCs/>
          <w:color w:val="000000"/>
          <w:sz w:val="22"/>
          <w:szCs w:val="22"/>
        </w:rPr>
      </w:pPr>
      <w:proofErr w:type="spellStart"/>
      <w:r w:rsidRPr="00ED0A65">
        <w:rPr>
          <w:rFonts w:ascii="Arial" w:hAnsi="Arial" w:cs="Arial"/>
          <w:b/>
          <w:bCs/>
          <w:color w:val="000000"/>
          <w:sz w:val="22"/>
          <w:szCs w:val="22"/>
        </w:rPr>
        <w:t>Contributing</w:t>
      </w:r>
      <w:proofErr w:type="spellEnd"/>
      <w:r w:rsidRPr="00ED0A65">
        <w:rPr>
          <w:rFonts w:ascii="Arial" w:hAnsi="Arial" w:cs="Arial"/>
          <w:b/>
          <w:bCs/>
          <w:color w:val="000000"/>
          <w:sz w:val="22"/>
          <w:szCs w:val="22"/>
        </w:rPr>
        <w:t xml:space="preserve"> to </w:t>
      </w:r>
      <w:proofErr w:type="spellStart"/>
      <w:r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Client’s</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communications</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activity</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promoting</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analysis</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results</w:t>
      </w:r>
      <w:proofErr w:type="spellEnd"/>
      <w:r w:rsidRPr="00ED0A65">
        <w:rPr>
          <w:rFonts w:ascii="Arial" w:hAnsi="Arial" w:cs="Arial"/>
          <w:b/>
          <w:bCs/>
          <w:color w:val="000000"/>
          <w:sz w:val="22"/>
          <w:szCs w:val="22"/>
        </w:rPr>
        <w:t xml:space="preserve"> via </w:t>
      </w:r>
      <w:proofErr w:type="spellStart"/>
      <w:r w:rsidRPr="00ED0A65">
        <w:rPr>
          <w:rFonts w:ascii="Arial" w:hAnsi="Arial" w:cs="Arial"/>
          <w:b/>
          <w:bCs/>
          <w:color w:val="000000"/>
          <w:sz w:val="22"/>
          <w:szCs w:val="22"/>
        </w:rPr>
        <w:t>two</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webinars</w:t>
      </w:r>
      <w:proofErr w:type="spellEnd"/>
      <w:r w:rsidRPr="00ED0A65">
        <w:rPr>
          <w:rFonts w:ascii="Arial" w:hAnsi="Arial" w:cs="Arial"/>
          <w:b/>
          <w:bCs/>
          <w:color w:val="000000"/>
          <w:sz w:val="22"/>
          <w:szCs w:val="22"/>
        </w:rPr>
        <w:t xml:space="preserve"> and </w:t>
      </w:r>
      <w:proofErr w:type="spellStart"/>
      <w:r w:rsidRPr="00ED0A65">
        <w:rPr>
          <w:rFonts w:ascii="Arial" w:hAnsi="Arial" w:cs="Arial"/>
          <w:b/>
          <w:bCs/>
          <w:color w:val="000000"/>
          <w:sz w:val="22"/>
          <w:szCs w:val="22"/>
        </w:rPr>
        <w:t>two</w:t>
      </w:r>
      <w:proofErr w:type="spellEnd"/>
      <w:r w:rsidRPr="00ED0A65">
        <w:rPr>
          <w:rFonts w:ascii="Arial" w:hAnsi="Arial" w:cs="Arial"/>
          <w:b/>
          <w:bCs/>
          <w:color w:val="000000"/>
          <w:sz w:val="22"/>
          <w:szCs w:val="22"/>
        </w:rPr>
        <w:t xml:space="preserve"> blog </w:t>
      </w:r>
      <w:proofErr w:type="spellStart"/>
      <w:r w:rsidRPr="00ED0A65">
        <w:rPr>
          <w:rFonts w:ascii="Arial" w:hAnsi="Arial" w:cs="Arial"/>
          <w:b/>
          <w:bCs/>
          <w:color w:val="000000"/>
          <w:sz w:val="22"/>
          <w:szCs w:val="22"/>
        </w:rPr>
        <w:t>posts</w:t>
      </w:r>
      <w:proofErr w:type="spellEnd"/>
      <w:r w:rsidRPr="00ED0A65">
        <w:rPr>
          <w:rFonts w:ascii="Arial" w:hAnsi="Arial" w:cs="Arial"/>
          <w:b/>
          <w:bCs/>
          <w:color w:val="000000"/>
          <w:sz w:val="22"/>
          <w:szCs w:val="22"/>
        </w:rPr>
        <w:t>,</w:t>
      </w:r>
    </w:p>
    <w:p w14:paraId="47D42B28" w14:textId="188EDDCE" w:rsidR="00CA04A0" w:rsidRPr="00ED0A65" w:rsidRDefault="00CA04A0" w:rsidP="00CA04A0">
      <w:pPr>
        <w:pStyle w:val="Normlnweb"/>
        <w:numPr>
          <w:ilvl w:val="4"/>
          <w:numId w:val="15"/>
        </w:numPr>
        <w:spacing w:before="0" w:beforeAutospacing="0" w:after="0" w:afterAutospacing="0"/>
        <w:jc w:val="both"/>
        <w:textAlignment w:val="baseline"/>
        <w:rPr>
          <w:rFonts w:ascii="Arial" w:hAnsi="Arial" w:cs="Arial"/>
          <w:b/>
          <w:bCs/>
          <w:color w:val="000000"/>
          <w:sz w:val="22"/>
          <w:szCs w:val="22"/>
        </w:rPr>
      </w:pPr>
      <w:proofErr w:type="spellStart"/>
      <w:r w:rsidRPr="00ED0A65">
        <w:rPr>
          <w:rFonts w:ascii="Arial" w:hAnsi="Arial" w:cs="Arial"/>
          <w:b/>
          <w:bCs/>
          <w:color w:val="000000"/>
          <w:sz w:val="22"/>
          <w:szCs w:val="22"/>
        </w:rPr>
        <w:t>Advising</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Client</w:t>
      </w:r>
      <w:proofErr w:type="spellEnd"/>
      <w:r w:rsidRPr="00ED0A65">
        <w:rPr>
          <w:rFonts w:ascii="Arial" w:hAnsi="Arial" w:cs="Arial"/>
          <w:b/>
          <w:bCs/>
          <w:color w:val="000000"/>
          <w:sz w:val="22"/>
          <w:szCs w:val="22"/>
        </w:rPr>
        <w:t xml:space="preserve"> on </w:t>
      </w:r>
      <w:proofErr w:type="spellStart"/>
      <w:r w:rsidRPr="00ED0A65">
        <w:rPr>
          <w:rFonts w:ascii="Arial" w:hAnsi="Arial" w:cs="Arial"/>
          <w:b/>
          <w:bCs/>
          <w:color w:val="000000"/>
          <w:sz w:val="22"/>
          <w:szCs w:val="22"/>
        </w:rPr>
        <w:t>communications</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around</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the</w:t>
      </w:r>
      <w:proofErr w:type="spellEnd"/>
      <w:r w:rsidRPr="00ED0A65">
        <w:rPr>
          <w:rFonts w:ascii="Arial" w:hAnsi="Arial" w:cs="Arial"/>
          <w:b/>
          <w:bCs/>
          <w:color w:val="000000"/>
          <w:sz w:val="22"/>
          <w:szCs w:val="22"/>
        </w:rPr>
        <w:t xml:space="preserve"> </w:t>
      </w:r>
      <w:proofErr w:type="spellStart"/>
      <w:r w:rsidRPr="00ED0A65">
        <w:rPr>
          <w:rFonts w:ascii="Arial" w:hAnsi="Arial" w:cs="Arial"/>
          <w:b/>
          <w:bCs/>
          <w:color w:val="000000"/>
          <w:sz w:val="22"/>
          <w:szCs w:val="22"/>
        </w:rPr>
        <w:t>surveys</w:t>
      </w:r>
      <w:proofErr w:type="spellEnd"/>
      <w:r w:rsidRPr="00ED0A65">
        <w:rPr>
          <w:rFonts w:ascii="Arial" w:hAnsi="Arial" w:cs="Arial"/>
          <w:b/>
          <w:bCs/>
          <w:color w:val="000000"/>
          <w:sz w:val="22"/>
          <w:szCs w:val="22"/>
        </w:rPr>
        <w:t>;</w:t>
      </w:r>
    </w:p>
    <w:bookmarkEnd w:id="15"/>
    <w:p w14:paraId="26DF1F56" w14:textId="5C8F0D43" w:rsidR="00D6509D" w:rsidRPr="00ED0A65" w:rsidRDefault="00D6509D" w:rsidP="00D6509D">
      <w:pPr>
        <w:pStyle w:val="Odstavecseseznamem"/>
        <w:keepLines/>
        <w:widowControl w:val="0"/>
        <w:numPr>
          <w:ilvl w:val="0"/>
          <w:numId w:val="5"/>
        </w:numPr>
        <w:pBdr>
          <w:top w:val="nil"/>
          <w:left w:val="nil"/>
          <w:bottom w:val="nil"/>
          <w:right w:val="nil"/>
          <w:between w:val="nil"/>
        </w:pBdr>
        <w:spacing w:before="120" w:after="120" w:line="240" w:lineRule="auto"/>
        <w:ind w:left="993" w:hanging="426"/>
        <w:contextualSpacing w:val="0"/>
        <w:jc w:val="both"/>
        <w:rPr>
          <w:rFonts w:cs="Arial"/>
          <w:b/>
          <w:bCs/>
          <w:color w:val="000000"/>
        </w:rPr>
      </w:pPr>
      <w:r w:rsidRPr="00ED0A65">
        <w:rPr>
          <w:b/>
          <w:color w:val="000000"/>
        </w:rPr>
        <w:t xml:space="preserve">consultation and recommendations on the </w:t>
      </w:r>
      <w:proofErr w:type="spellStart"/>
      <w:r w:rsidRPr="00ED0A65">
        <w:rPr>
          <w:b/>
          <w:color w:val="000000"/>
        </w:rPr>
        <w:t>R&amp;D&amp;I</w:t>
      </w:r>
      <w:proofErr w:type="spellEnd"/>
      <w:r w:rsidRPr="00ED0A65">
        <w:rPr>
          <w:b/>
          <w:color w:val="000000"/>
        </w:rPr>
        <w:t xml:space="preserve"> environment survey that proved to be a necessary prerequisite for the implementation of Stage II of the Analysis. Assistance will be also provided between the two stages.</w:t>
      </w:r>
      <w:r w:rsidR="00F02D72" w:rsidRPr="00ED0A65">
        <w:rPr>
          <w:b/>
          <w:color w:val="000000"/>
        </w:rPr>
        <w:t xml:space="preserve"> </w:t>
      </w:r>
      <w:r w:rsidR="00F02D72" w:rsidRPr="00ED0A65">
        <w:rPr>
          <w:rFonts w:cs="Arial"/>
          <w:b/>
          <w:bCs/>
          <w:color w:val="000000"/>
        </w:rPr>
        <w:t>The Provider’s role in this activity will comprise:</w:t>
      </w:r>
    </w:p>
    <w:p w14:paraId="68832A44" w14:textId="77777777" w:rsidR="00F02D72" w:rsidRPr="00ED0A65" w:rsidRDefault="00F02D72" w:rsidP="00F02D72">
      <w:pPr>
        <w:pStyle w:val="Odstavecseseznamem"/>
        <w:keepLines/>
        <w:widowControl w:val="0"/>
        <w:numPr>
          <w:ilvl w:val="4"/>
          <w:numId w:val="18"/>
        </w:numPr>
        <w:pBdr>
          <w:top w:val="nil"/>
          <w:left w:val="nil"/>
          <w:bottom w:val="nil"/>
          <w:right w:val="nil"/>
          <w:between w:val="nil"/>
        </w:pBdr>
        <w:spacing w:before="120" w:after="120" w:line="240" w:lineRule="auto"/>
        <w:contextualSpacing w:val="0"/>
        <w:jc w:val="both"/>
        <w:rPr>
          <w:rFonts w:cs="Arial"/>
          <w:b/>
          <w:bCs/>
          <w:color w:val="000000"/>
        </w:rPr>
      </w:pPr>
      <w:r w:rsidRPr="00ED0A65">
        <w:rPr>
          <w:rFonts w:cs="Arial"/>
          <w:b/>
          <w:bCs/>
          <w:color w:val="000000"/>
        </w:rPr>
        <w:t>Working with the Client to develop survey questions and format,</w:t>
      </w:r>
    </w:p>
    <w:p w14:paraId="6FDE15CA" w14:textId="597E76EE" w:rsidR="00F02D72" w:rsidRPr="00ED0A65" w:rsidRDefault="00F02D72" w:rsidP="00F02D72">
      <w:pPr>
        <w:pStyle w:val="Odstavecseseznamem"/>
        <w:keepLines/>
        <w:widowControl w:val="0"/>
        <w:numPr>
          <w:ilvl w:val="4"/>
          <w:numId w:val="18"/>
        </w:numPr>
        <w:pBdr>
          <w:top w:val="nil"/>
          <w:left w:val="nil"/>
          <w:bottom w:val="nil"/>
          <w:right w:val="nil"/>
          <w:between w:val="nil"/>
        </w:pBdr>
        <w:spacing w:before="120" w:after="120" w:line="240" w:lineRule="auto"/>
        <w:contextualSpacing w:val="0"/>
        <w:jc w:val="both"/>
        <w:rPr>
          <w:rFonts w:cs="Arial"/>
          <w:b/>
          <w:bCs/>
          <w:color w:val="000000"/>
        </w:rPr>
      </w:pPr>
      <w:r w:rsidRPr="00ED0A65">
        <w:rPr>
          <w:rFonts w:cs="Arial"/>
          <w:b/>
          <w:bCs/>
          <w:color w:val="000000"/>
        </w:rPr>
        <w:t>Advising the Client on targeting and distribution of survey,</w:t>
      </w:r>
    </w:p>
    <w:p w14:paraId="643C0176" w14:textId="02D48F9A" w:rsidR="00F02D72" w:rsidRPr="00ED0A65" w:rsidRDefault="00F02D72" w:rsidP="00F02D72">
      <w:pPr>
        <w:pStyle w:val="Odstavecseseznamem"/>
        <w:keepLines/>
        <w:widowControl w:val="0"/>
        <w:numPr>
          <w:ilvl w:val="4"/>
          <w:numId w:val="18"/>
        </w:numPr>
        <w:pBdr>
          <w:top w:val="nil"/>
          <w:left w:val="nil"/>
          <w:bottom w:val="nil"/>
          <w:right w:val="nil"/>
          <w:between w:val="nil"/>
        </w:pBdr>
        <w:spacing w:before="120" w:after="120" w:line="240" w:lineRule="auto"/>
        <w:contextualSpacing w:val="0"/>
        <w:jc w:val="both"/>
        <w:rPr>
          <w:rFonts w:cs="Arial"/>
          <w:b/>
          <w:bCs/>
          <w:color w:val="000000"/>
        </w:rPr>
      </w:pPr>
      <w:r w:rsidRPr="00ED0A65">
        <w:rPr>
          <w:rFonts w:cs="Arial"/>
          <w:b/>
          <w:bCs/>
          <w:color w:val="000000"/>
        </w:rPr>
        <w:t>Reviewing responses for each iteration of the survey to assure relevance and levels of completeness.</w:t>
      </w:r>
    </w:p>
    <w:p w14:paraId="58C1E51B" w14:textId="77777777" w:rsidR="00D6509D" w:rsidRPr="00ED0A65" w:rsidRDefault="00D6509D" w:rsidP="00D6509D">
      <w:pPr>
        <w:numPr>
          <w:ilvl w:val="0"/>
          <w:numId w:val="4"/>
        </w:numPr>
        <w:spacing w:before="120" w:after="120" w:line="240" w:lineRule="auto"/>
        <w:jc w:val="both"/>
        <w:rPr>
          <w:rFonts w:cs="Arial"/>
        </w:rPr>
      </w:pPr>
      <w:bookmarkStart w:id="16" w:name="_Ref151626366"/>
      <w:bookmarkEnd w:id="14"/>
      <w:r w:rsidRPr="00ED0A65">
        <w:rPr>
          <w:b/>
        </w:rPr>
        <w:t>Stage II</w:t>
      </w:r>
      <w:bookmarkEnd w:id="16"/>
    </w:p>
    <w:p w14:paraId="217F25DC" w14:textId="77777777" w:rsidR="00D6509D" w:rsidRPr="00D6509D" w:rsidRDefault="00D6509D" w:rsidP="00D6509D">
      <w:pPr>
        <w:numPr>
          <w:ilvl w:val="1"/>
          <w:numId w:val="4"/>
        </w:numPr>
        <w:spacing w:before="120" w:after="120" w:line="240" w:lineRule="auto"/>
        <w:jc w:val="both"/>
        <w:rPr>
          <w:rFonts w:cs="Arial"/>
        </w:rPr>
      </w:pPr>
      <w:r>
        <w:rPr>
          <w:u w:val="single"/>
        </w:rPr>
        <w:t>Target</w:t>
      </w:r>
      <w:r>
        <w:t xml:space="preserve">. Evaluation of the shift in the use of PIDs in the Czech </w:t>
      </w:r>
      <w:proofErr w:type="spellStart"/>
      <w:r>
        <w:t>R&amp;D&amp;I</w:t>
      </w:r>
      <w:proofErr w:type="spellEnd"/>
      <w:r>
        <w:t xml:space="preserve"> environment and the contribution of activities of central support for work with PIDs within the CARDS project.</w:t>
      </w:r>
    </w:p>
    <w:p w14:paraId="25DC35BA" w14:textId="77777777" w:rsidR="00D6509D" w:rsidRPr="00D6509D" w:rsidRDefault="00D6509D" w:rsidP="00D6509D">
      <w:pPr>
        <w:numPr>
          <w:ilvl w:val="1"/>
          <w:numId w:val="4"/>
        </w:numPr>
        <w:spacing w:before="120" w:after="120" w:line="240" w:lineRule="auto"/>
        <w:jc w:val="both"/>
        <w:rPr>
          <w:rFonts w:cs="Arial"/>
        </w:rPr>
      </w:pPr>
      <w:r>
        <w:rPr>
          <w:u w:val="single"/>
        </w:rPr>
        <w:t>Desired primary outcome</w:t>
      </w:r>
      <w:r>
        <w:t xml:space="preserve">. The primary outcome of Stage II of the Analysis will be an assessment of the state of use and implementation of PIDs at the end of the CARDS project and a quantification of the benefits of supporting the implementation of PIDs. The deliverables will thus define the real benefit of the implementation of PIDs in the Czech </w:t>
      </w:r>
      <w:proofErr w:type="spellStart"/>
      <w:r>
        <w:t>R&amp;D&amp;I</w:t>
      </w:r>
      <w:proofErr w:type="spellEnd"/>
      <w:r>
        <w:t xml:space="preserve"> environment and the results of the PID Centre’s activities so far </w:t>
      </w:r>
      <w:sdt>
        <w:sdtPr>
          <w:rPr>
            <w:rFonts w:cs="Arial"/>
          </w:rPr>
          <w:tag w:val="goog_rdk_60"/>
          <w:id w:val="-1894111280"/>
        </w:sdtPr>
        <w:sdtEndPr/>
        <w:sdtContent>
          <w:r>
            <w:t>and, at the same time, provide recommendations for further support of PIDs</w:t>
          </w:r>
        </w:sdtContent>
      </w:sdt>
      <w:sdt>
        <w:sdtPr>
          <w:rPr>
            <w:rFonts w:cs="Arial"/>
          </w:rPr>
          <w:tag w:val="goog_rdk_61"/>
          <w:id w:val="-1693906884"/>
        </w:sdtPr>
        <w:sdtEndPr/>
        <w:sdtContent>
          <w:sdt>
            <w:sdtPr>
              <w:rPr>
                <w:rFonts w:cs="Arial"/>
              </w:rPr>
              <w:tag w:val="goog_rdk_62"/>
              <w:id w:val="1050804205"/>
            </w:sdtPr>
            <w:sdtEndPr/>
            <w:sdtContent/>
          </w:sdt>
        </w:sdtContent>
      </w:sdt>
    </w:p>
    <w:p w14:paraId="0C05DB05" w14:textId="77777777" w:rsidR="00D6509D" w:rsidRPr="00D6509D" w:rsidRDefault="00D6509D" w:rsidP="00D6509D">
      <w:pPr>
        <w:numPr>
          <w:ilvl w:val="1"/>
          <w:numId w:val="4"/>
        </w:numPr>
        <w:spacing w:before="120" w:after="120" w:line="240" w:lineRule="auto"/>
        <w:jc w:val="both"/>
        <w:rPr>
          <w:rFonts w:cs="Arial"/>
        </w:rPr>
      </w:pPr>
      <w:r>
        <w:t>The Provider will carry out the following sub-activities and deliverables as part of the preparation of Stage II of the Analysis:</w:t>
      </w:r>
    </w:p>
    <w:p w14:paraId="57AFF601" w14:textId="77777777" w:rsidR="00D6509D" w:rsidRPr="00D6509D" w:rsidRDefault="00D6509D" w:rsidP="00D6509D">
      <w:pPr>
        <w:pStyle w:val="Odstavecseseznamem"/>
        <w:keepLines/>
        <w:widowControl w:val="0"/>
        <w:numPr>
          <w:ilvl w:val="0"/>
          <w:numId w:val="6"/>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a review of the range of parameters monitored; adjustment and inclusion (if any) of additional variables, but taking into account the ability to compare the results of both measurements;</w:t>
      </w:r>
    </w:p>
    <w:p w14:paraId="147D5E21" w14:textId="77777777" w:rsidR="00D6509D" w:rsidRPr="00D6509D" w:rsidRDefault="00D6509D" w:rsidP="00D6509D">
      <w:pPr>
        <w:pStyle w:val="Odstavecseseznamem"/>
        <w:keepLines/>
        <w:widowControl w:val="0"/>
        <w:numPr>
          <w:ilvl w:val="0"/>
          <w:numId w:val="6"/>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 xml:space="preserve">collecting data on defined parameters of the Czech </w:t>
      </w:r>
      <w:proofErr w:type="spellStart"/>
      <w:r>
        <w:rPr>
          <w:color w:val="000000"/>
        </w:rPr>
        <w:t>R&amp;D&amp;I</w:t>
      </w:r>
      <w:proofErr w:type="spellEnd"/>
      <w:r>
        <w:rPr>
          <w:color w:val="000000"/>
        </w:rPr>
        <w:t xml:space="preserve"> environment and on the level of implementation of PIDs in systems and institutions;</w:t>
      </w:r>
    </w:p>
    <w:p w14:paraId="2890E2B2" w14:textId="77777777" w:rsidR="00D6509D" w:rsidRPr="00D6509D" w:rsidRDefault="00D6509D" w:rsidP="00D6509D">
      <w:pPr>
        <w:pStyle w:val="Odstavecseseznamem"/>
        <w:keepLines/>
        <w:widowControl w:val="0"/>
        <w:numPr>
          <w:ilvl w:val="0"/>
          <w:numId w:val="6"/>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an assessment of the benefit of costs incurred as part of the CARDS project over the 2023-2027 period, taking into account the financial and time savings brought by the investment in PIDs;</w:t>
      </w:r>
    </w:p>
    <w:p w14:paraId="59557DCF" w14:textId="77777777" w:rsidR="00D6509D" w:rsidRPr="00D6509D" w:rsidRDefault="00D6509D" w:rsidP="00D6509D">
      <w:pPr>
        <w:pStyle w:val="Odstavecseseznamem"/>
        <w:keepLines/>
        <w:widowControl w:val="0"/>
        <w:numPr>
          <w:ilvl w:val="0"/>
          <w:numId w:val="6"/>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 xml:space="preserve">repeating the analysis of potential savings for the Czech </w:t>
      </w:r>
      <w:proofErr w:type="spellStart"/>
      <w:r>
        <w:rPr>
          <w:color w:val="000000"/>
        </w:rPr>
        <w:t>R&amp;D&amp;I</w:t>
      </w:r>
      <w:proofErr w:type="spellEnd"/>
      <w:r>
        <w:rPr>
          <w:color w:val="000000"/>
        </w:rPr>
        <w:t xml:space="preserve"> environment for the next years - financial and time savings in further methodological support of individual PIDs by the PID Centre and with a higher level of implementation;</w:t>
      </w:r>
    </w:p>
    <w:p w14:paraId="3FC8626A" w14:textId="77777777" w:rsidR="00D6509D" w:rsidRPr="00D6509D" w:rsidRDefault="00297D8E" w:rsidP="00D6509D">
      <w:pPr>
        <w:pStyle w:val="Odstavecseseznamem"/>
        <w:keepLines/>
        <w:widowControl w:val="0"/>
        <w:numPr>
          <w:ilvl w:val="0"/>
          <w:numId w:val="6"/>
        </w:numPr>
        <w:pBdr>
          <w:top w:val="nil"/>
          <w:left w:val="nil"/>
          <w:bottom w:val="nil"/>
          <w:right w:val="nil"/>
          <w:between w:val="nil"/>
        </w:pBdr>
        <w:spacing w:before="120" w:after="120" w:line="240" w:lineRule="auto"/>
        <w:ind w:left="993" w:hanging="426"/>
        <w:contextualSpacing w:val="0"/>
        <w:jc w:val="both"/>
        <w:rPr>
          <w:rFonts w:cs="Arial"/>
          <w:color w:val="000000"/>
        </w:rPr>
      </w:pPr>
      <w:sdt>
        <w:sdtPr>
          <w:rPr>
            <w:rFonts w:cs="Arial"/>
            <w:color w:val="000000"/>
          </w:rPr>
          <w:tag w:val="goog_rdk_65"/>
          <w:id w:val="-1717652270"/>
        </w:sdtPr>
        <w:sdtEndPr/>
        <w:sdtContent>
          <w:r w:rsidR="00CA52CF">
            <w:rPr>
              <w:color w:val="000000"/>
            </w:rPr>
            <w:t>repeating the analysis of the projected costs to support the implementation at the time of measurement of fee-based PIDs in all Czech research organisations, including a prediction of costs by year, taking into account the growth of the institutions using the PID Centre services to date;</w:t>
          </w:r>
        </w:sdtContent>
      </w:sdt>
    </w:p>
    <w:p w14:paraId="05744BC9" w14:textId="77777777" w:rsidR="00D6509D" w:rsidRPr="00D6509D" w:rsidRDefault="00D6509D" w:rsidP="00D6509D">
      <w:pPr>
        <w:pStyle w:val="Odstavecseseznamem"/>
        <w:keepLines/>
        <w:widowControl w:val="0"/>
        <w:numPr>
          <w:ilvl w:val="0"/>
          <w:numId w:val="6"/>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lastRenderedPageBreak/>
        <w:t>regular consultations with the Client;</w:t>
      </w:r>
    </w:p>
    <w:p w14:paraId="598C183D" w14:textId="77777777" w:rsidR="00D6509D" w:rsidRPr="00D6509D" w:rsidRDefault="00D6509D" w:rsidP="00D6509D">
      <w:pPr>
        <w:pStyle w:val="Odstavecseseznamem"/>
        <w:keepLines/>
        <w:widowControl w:val="0"/>
        <w:numPr>
          <w:ilvl w:val="0"/>
          <w:numId w:val="6"/>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a summary of the results with a focus on the difference between the initial and the current state;</w:t>
      </w:r>
    </w:p>
    <w:p w14:paraId="6E8ABB2B" w14:textId="77777777" w:rsidR="00D6509D" w:rsidRPr="00D6509D" w:rsidRDefault="00D6509D" w:rsidP="00D6509D">
      <w:pPr>
        <w:pStyle w:val="Odstavecseseznamem"/>
        <w:keepLines/>
        <w:widowControl w:val="0"/>
        <w:numPr>
          <w:ilvl w:val="0"/>
          <w:numId w:val="6"/>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formulation of conclusions, further recommendations for further development of PIDs support at national level.</w:t>
      </w:r>
    </w:p>
    <w:p w14:paraId="5B3B46BF" w14:textId="77777777" w:rsidR="00D6509D" w:rsidRPr="00D6509D" w:rsidRDefault="00D6509D" w:rsidP="00D6509D">
      <w:pPr>
        <w:numPr>
          <w:ilvl w:val="0"/>
          <w:numId w:val="4"/>
        </w:numPr>
        <w:spacing w:before="120" w:after="120" w:line="240" w:lineRule="auto"/>
        <w:jc w:val="both"/>
        <w:rPr>
          <w:rFonts w:cs="Arial"/>
        </w:rPr>
      </w:pPr>
      <w:r>
        <w:rPr>
          <w:b/>
        </w:rPr>
        <w:t>Use of the Analysis</w:t>
      </w:r>
    </w:p>
    <w:p w14:paraId="0C15FD68" w14:textId="77777777" w:rsidR="00D6509D" w:rsidRPr="00D6509D" w:rsidRDefault="00D6509D" w:rsidP="00D6509D">
      <w:pPr>
        <w:numPr>
          <w:ilvl w:val="1"/>
          <w:numId w:val="4"/>
        </w:numPr>
        <w:spacing w:before="120" w:after="120" w:line="240" w:lineRule="auto"/>
        <w:jc w:val="both"/>
        <w:rPr>
          <w:rFonts w:cs="Arial"/>
        </w:rPr>
      </w:pPr>
      <w:r>
        <w:t>The Provider will perform the Analysis in accordance with the Client's requirements for the use of the Analysis, i.e., the Analysis will serve to:</w:t>
      </w:r>
    </w:p>
    <w:p w14:paraId="42A74776" w14:textId="77777777" w:rsidR="00D6509D" w:rsidRPr="00D6509D" w:rsidRDefault="00D6509D" w:rsidP="00D6509D">
      <w:pPr>
        <w:pStyle w:val="Odstavecseseznamem"/>
        <w:keepLines/>
        <w:widowControl w:val="0"/>
        <w:numPr>
          <w:ilvl w:val="0"/>
          <w:numId w:val="7"/>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 xml:space="preserve">map the initial state of PIDs use in the Czech </w:t>
      </w:r>
      <w:proofErr w:type="spellStart"/>
      <w:r>
        <w:rPr>
          <w:color w:val="000000"/>
        </w:rPr>
        <w:t>R&amp;D&amp;I</w:t>
      </w:r>
      <w:proofErr w:type="spellEnd"/>
      <w:r>
        <w:rPr>
          <w:color w:val="000000"/>
        </w:rPr>
        <w:t xml:space="preserve"> environment at the beginning of the CARDS project;</w:t>
      </w:r>
    </w:p>
    <w:p w14:paraId="266D5B0D" w14:textId="77777777" w:rsidR="00D6509D" w:rsidRPr="00D6509D" w:rsidRDefault="00D6509D" w:rsidP="00D6509D">
      <w:pPr>
        <w:pStyle w:val="Odstavecseseznamem"/>
        <w:keepLines/>
        <w:widowControl w:val="0"/>
        <w:numPr>
          <w:ilvl w:val="0"/>
          <w:numId w:val="7"/>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 xml:space="preserve">evaluate the results and impact of the centralised financial, administrative and methodological support to PIDs during the CARDS project on the Czech </w:t>
      </w:r>
      <w:proofErr w:type="spellStart"/>
      <w:r>
        <w:rPr>
          <w:color w:val="000000"/>
        </w:rPr>
        <w:t>R&amp;D&amp;I</w:t>
      </w:r>
      <w:proofErr w:type="spellEnd"/>
      <w:r>
        <w:rPr>
          <w:color w:val="000000"/>
        </w:rPr>
        <w:t xml:space="preserve"> environment;</w:t>
      </w:r>
    </w:p>
    <w:p w14:paraId="4C4ACBC0" w14:textId="77777777" w:rsidR="00D6509D" w:rsidRPr="00D6509D" w:rsidRDefault="00D6509D" w:rsidP="00D6509D">
      <w:pPr>
        <w:pStyle w:val="Odstavecseseznamem"/>
        <w:keepLines/>
        <w:widowControl w:val="0"/>
        <w:numPr>
          <w:ilvl w:val="0"/>
          <w:numId w:val="7"/>
        </w:numPr>
        <w:pBdr>
          <w:top w:val="nil"/>
          <w:left w:val="nil"/>
          <w:bottom w:val="nil"/>
          <w:right w:val="nil"/>
          <w:between w:val="nil"/>
        </w:pBdr>
        <w:spacing w:before="120" w:after="120" w:line="240" w:lineRule="auto"/>
        <w:ind w:left="993" w:hanging="426"/>
        <w:contextualSpacing w:val="0"/>
        <w:jc w:val="both"/>
        <w:rPr>
          <w:rFonts w:cs="Arial"/>
          <w:color w:val="000000"/>
        </w:rPr>
      </w:pPr>
      <w:r>
        <w:rPr>
          <w:color w:val="000000"/>
        </w:rPr>
        <w:t>formulate further plans and strategies for supporting PIDs after the completion of the CARDS project.</w:t>
      </w:r>
    </w:p>
    <w:p w14:paraId="6C777045" w14:textId="4ED5C44C" w:rsidR="00D6509D" w:rsidRDefault="00D6509D">
      <w:pPr>
        <w:rPr>
          <w:rFonts w:cs="Arial"/>
        </w:rPr>
      </w:pPr>
      <w:r>
        <w:br w:type="page"/>
      </w:r>
    </w:p>
    <w:p w14:paraId="79D873D8" w14:textId="77777777" w:rsidR="00D6509D" w:rsidRPr="00D6509D" w:rsidRDefault="00D6509D" w:rsidP="00D6509D">
      <w:pPr>
        <w:spacing w:before="120" w:after="120" w:line="240" w:lineRule="auto"/>
        <w:rPr>
          <w:rFonts w:cs="Arial"/>
        </w:rPr>
      </w:pPr>
    </w:p>
    <w:p w14:paraId="4EF5EAC7" w14:textId="6976506D" w:rsidR="00D6509D" w:rsidRPr="00D6509D" w:rsidRDefault="00D6509D" w:rsidP="00D6509D">
      <w:pPr>
        <w:pStyle w:val="Zpat"/>
        <w:keepLines/>
        <w:spacing w:before="120" w:after="120"/>
        <w:ind w:left="709" w:firstLine="11"/>
        <w:jc w:val="center"/>
        <w:rPr>
          <w:rFonts w:cs="Arial"/>
          <w:b/>
          <w:bCs/>
          <w:caps/>
          <w:kern w:val="28"/>
        </w:rPr>
      </w:pPr>
      <w:r>
        <w:rPr>
          <w:b/>
          <w:caps/>
        </w:rPr>
        <w:t xml:space="preserve">Annex 2 to the Amendment </w:t>
      </w:r>
    </w:p>
    <w:p w14:paraId="740AA7D6" w14:textId="4AE1294A" w:rsidR="00D6509D" w:rsidRPr="00D6509D" w:rsidRDefault="00D6509D" w:rsidP="00D6509D">
      <w:pPr>
        <w:pStyle w:val="Zpat"/>
        <w:keepLines/>
        <w:spacing w:before="120" w:after="120"/>
        <w:ind w:left="709" w:firstLine="11"/>
        <w:jc w:val="center"/>
        <w:rPr>
          <w:rFonts w:cs="Arial"/>
          <w:b/>
          <w:bCs/>
          <w:caps/>
          <w:kern w:val="28"/>
        </w:rPr>
      </w:pPr>
      <w:r>
        <w:rPr>
          <w:b/>
          <w:caps/>
        </w:rPr>
        <w:t xml:space="preserve">Annex 2 to the Agreement </w:t>
      </w:r>
    </w:p>
    <w:p w14:paraId="57D5B91F" w14:textId="77777777" w:rsidR="00D6509D" w:rsidRPr="00D6509D" w:rsidRDefault="00D6509D" w:rsidP="00D6509D">
      <w:pPr>
        <w:pStyle w:val="Zpat"/>
        <w:keepLines/>
        <w:spacing w:before="120" w:after="120"/>
        <w:ind w:left="709" w:firstLine="11"/>
        <w:jc w:val="center"/>
        <w:rPr>
          <w:rFonts w:cs="Arial"/>
          <w:b/>
          <w:bCs/>
          <w:caps/>
          <w:kern w:val="28"/>
        </w:rPr>
      </w:pPr>
      <w:r>
        <w:rPr>
          <w:b/>
          <w:caps/>
        </w:rPr>
        <w:t>UPDATED Schedule</w:t>
      </w:r>
    </w:p>
    <w:p w14:paraId="3D2BC82F" w14:textId="77777777" w:rsidR="00D6509D" w:rsidRPr="00D6509D" w:rsidRDefault="00D6509D" w:rsidP="00D6509D">
      <w:pPr>
        <w:pStyle w:val="Zpat"/>
        <w:keepLines/>
        <w:spacing w:before="120" w:after="120"/>
        <w:ind w:left="709" w:firstLine="11"/>
        <w:jc w:val="center"/>
        <w:rPr>
          <w:rFonts w:cs="Arial"/>
          <w:b/>
          <w:bCs/>
          <w:caps/>
          <w:kern w:val="28"/>
        </w:rPr>
      </w:pPr>
    </w:p>
    <w:p w14:paraId="53AB7875" w14:textId="77777777" w:rsidR="00D6509D" w:rsidRPr="00D6509D" w:rsidRDefault="00D6509D" w:rsidP="00D6509D">
      <w:pPr>
        <w:spacing w:before="120" w:after="120" w:line="240" w:lineRule="auto"/>
        <w:rPr>
          <w:rFonts w:cs="Arial"/>
        </w:rPr>
      </w:pPr>
    </w:p>
    <w:p w14:paraId="743901FC" w14:textId="77777777" w:rsidR="00D6509D" w:rsidRPr="00D6509D" w:rsidRDefault="00D6509D" w:rsidP="00D6509D">
      <w:pPr>
        <w:spacing w:before="120" w:after="120" w:line="240" w:lineRule="auto"/>
        <w:jc w:val="both"/>
        <w:rPr>
          <w:rFonts w:cs="Arial"/>
          <w:b/>
          <w:bCs/>
        </w:rPr>
      </w:pPr>
      <w:r>
        <w:rPr>
          <w:b/>
        </w:rPr>
        <w:t>STAGE I</w:t>
      </w:r>
    </w:p>
    <w:p w14:paraId="4A0E0673" w14:textId="77777777" w:rsidR="00D6509D" w:rsidRPr="00D6509D" w:rsidRDefault="00D6509D" w:rsidP="00D6509D">
      <w:pPr>
        <w:pBdr>
          <w:top w:val="nil"/>
          <w:left w:val="nil"/>
          <w:bottom w:val="nil"/>
          <w:right w:val="nil"/>
          <w:between w:val="nil"/>
        </w:pBdr>
        <w:spacing w:before="120" w:after="120" w:line="240" w:lineRule="auto"/>
        <w:ind w:left="2041" w:hanging="794"/>
        <w:jc w:val="both"/>
        <w:rPr>
          <w:rFonts w:cs="Arial"/>
          <w:b/>
          <w:smallCaps/>
          <w:color w:val="000000"/>
        </w:rPr>
      </w:pPr>
    </w:p>
    <w:p w14:paraId="171A44D1" w14:textId="77777777" w:rsidR="00D6509D" w:rsidRPr="00D6509D" w:rsidRDefault="00D6509D" w:rsidP="00D6509D">
      <w:pPr>
        <w:pBdr>
          <w:top w:val="nil"/>
          <w:left w:val="nil"/>
          <w:bottom w:val="nil"/>
          <w:right w:val="nil"/>
          <w:between w:val="nil"/>
        </w:pBdr>
        <w:spacing w:before="120" w:after="120" w:line="240" w:lineRule="auto"/>
        <w:jc w:val="both"/>
        <w:rPr>
          <w:rFonts w:cs="Arial"/>
          <w:color w:val="000000"/>
        </w:rPr>
      </w:pPr>
      <w:r>
        <w:rPr>
          <w:color w:val="000000"/>
        </w:rPr>
        <w:t xml:space="preserve">Time allotment: </w:t>
      </w:r>
      <w:r>
        <w:rPr>
          <w:b/>
          <w:color w:val="000000"/>
        </w:rPr>
        <w:t>11 months</w:t>
      </w:r>
      <w:r>
        <w:rPr>
          <w:color w:val="000000"/>
        </w:rPr>
        <w:t xml:space="preserve"> </w:t>
      </w:r>
    </w:p>
    <w:p w14:paraId="4AA7E82E" w14:textId="300436BC" w:rsidR="00D6509D" w:rsidRPr="00D6509D" w:rsidRDefault="00D6509D" w:rsidP="00D6509D">
      <w:pPr>
        <w:pBdr>
          <w:top w:val="nil"/>
          <w:left w:val="nil"/>
          <w:bottom w:val="nil"/>
          <w:right w:val="nil"/>
          <w:between w:val="nil"/>
        </w:pBdr>
        <w:spacing w:before="120" w:after="120" w:line="240" w:lineRule="auto"/>
        <w:jc w:val="both"/>
        <w:rPr>
          <w:rFonts w:cs="Arial"/>
          <w:b/>
          <w:color w:val="000000"/>
        </w:rPr>
      </w:pPr>
      <w:r>
        <w:rPr>
          <w:color w:val="000000"/>
        </w:rPr>
        <w:t xml:space="preserve">STAGE I processing period and deadline for delivery of the first stage of the Analysis: 1 February 2024 to </w:t>
      </w:r>
      <w:r>
        <w:rPr>
          <w:b/>
          <w:color w:val="000000"/>
        </w:rPr>
        <w:t>31 December 2024</w:t>
      </w:r>
    </w:p>
    <w:p w14:paraId="241CC4C8" w14:textId="5642A005" w:rsidR="00D6509D" w:rsidRDefault="00D6509D" w:rsidP="00D6509D">
      <w:pPr>
        <w:pBdr>
          <w:top w:val="nil"/>
          <w:left w:val="nil"/>
          <w:bottom w:val="nil"/>
          <w:right w:val="nil"/>
          <w:between w:val="nil"/>
        </w:pBdr>
        <w:spacing w:before="120" w:after="120" w:line="240" w:lineRule="auto"/>
        <w:jc w:val="both"/>
        <w:rPr>
          <w:rFonts w:cs="Arial"/>
          <w:color w:val="000000"/>
        </w:rPr>
      </w:pPr>
      <w:r>
        <w:rPr>
          <w:color w:val="000000"/>
        </w:rPr>
        <w:t>Submission of the draft methodology for the Analysis for the Acceptance Procedure: no later than within</w:t>
      </w:r>
      <w:sdt>
        <w:sdtPr>
          <w:rPr>
            <w:rFonts w:cs="Arial"/>
          </w:rPr>
          <w:tag w:val="goog_rdk_72"/>
          <w:id w:val="1072318194"/>
        </w:sdtPr>
        <w:sdtEndPr/>
        <w:sdtContent/>
      </w:sdt>
      <w:r>
        <w:rPr>
          <w:color w:val="000000"/>
        </w:rPr>
        <w:t xml:space="preserve"> two (2) months of the effective date of the Agreement.</w:t>
      </w:r>
    </w:p>
    <w:p w14:paraId="599A9CEF" w14:textId="77777777" w:rsidR="00D6509D" w:rsidRPr="00D6509D" w:rsidRDefault="00D6509D" w:rsidP="00D6509D">
      <w:pPr>
        <w:pBdr>
          <w:top w:val="nil"/>
          <w:left w:val="nil"/>
          <w:bottom w:val="nil"/>
          <w:right w:val="nil"/>
          <w:between w:val="nil"/>
        </w:pBdr>
        <w:spacing w:before="120" w:after="120" w:line="240" w:lineRule="auto"/>
        <w:jc w:val="both"/>
        <w:rPr>
          <w:rFonts w:cs="Arial"/>
          <w:color w:val="000000"/>
        </w:rPr>
      </w:pPr>
    </w:p>
    <w:p w14:paraId="7EB60525" w14:textId="77777777" w:rsidR="00D6509D" w:rsidRPr="00D6509D" w:rsidRDefault="00D6509D" w:rsidP="00D6509D">
      <w:pPr>
        <w:spacing w:before="120" w:after="120" w:line="240" w:lineRule="auto"/>
        <w:jc w:val="both"/>
        <w:rPr>
          <w:rFonts w:cs="Arial"/>
          <w:b/>
          <w:bCs/>
        </w:rPr>
      </w:pPr>
      <w:r>
        <w:rPr>
          <w:b/>
        </w:rPr>
        <w:t>STAGE II</w:t>
      </w:r>
    </w:p>
    <w:p w14:paraId="27F04A23" w14:textId="77777777" w:rsidR="00D6509D" w:rsidRPr="00D6509D" w:rsidRDefault="00D6509D" w:rsidP="00D6509D">
      <w:pPr>
        <w:pBdr>
          <w:top w:val="nil"/>
          <w:left w:val="nil"/>
          <w:bottom w:val="nil"/>
          <w:right w:val="nil"/>
          <w:between w:val="nil"/>
        </w:pBdr>
        <w:spacing w:before="120" w:after="120" w:line="240" w:lineRule="auto"/>
        <w:ind w:left="2041" w:hanging="794"/>
        <w:jc w:val="both"/>
        <w:rPr>
          <w:rFonts w:cs="Arial"/>
          <w:b/>
          <w:smallCaps/>
          <w:color w:val="000000"/>
        </w:rPr>
      </w:pPr>
    </w:p>
    <w:p w14:paraId="4858F78E" w14:textId="77777777" w:rsidR="00D6509D" w:rsidRPr="00D6509D" w:rsidRDefault="00D6509D" w:rsidP="00D6509D">
      <w:pPr>
        <w:pBdr>
          <w:top w:val="nil"/>
          <w:left w:val="nil"/>
          <w:bottom w:val="nil"/>
          <w:right w:val="nil"/>
          <w:between w:val="nil"/>
        </w:pBdr>
        <w:spacing w:before="120" w:after="120" w:line="240" w:lineRule="auto"/>
        <w:jc w:val="both"/>
        <w:rPr>
          <w:rFonts w:cs="Arial"/>
          <w:color w:val="000000"/>
        </w:rPr>
      </w:pPr>
      <w:r>
        <w:rPr>
          <w:color w:val="000000"/>
        </w:rPr>
        <w:t xml:space="preserve">Time allotment: 6 months </w:t>
      </w:r>
    </w:p>
    <w:p w14:paraId="4F9D90BD" w14:textId="2FC8E05A" w:rsidR="00D6509D" w:rsidRPr="00D6509D" w:rsidRDefault="00D6509D" w:rsidP="00D6509D">
      <w:pPr>
        <w:pBdr>
          <w:top w:val="nil"/>
          <w:left w:val="nil"/>
          <w:bottom w:val="nil"/>
          <w:right w:val="nil"/>
          <w:between w:val="nil"/>
        </w:pBdr>
        <w:spacing w:before="120" w:after="120" w:line="240" w:lineRule="auto"/>
        <w:jc w:val="both"/>
        <w:rPr>
          <w:rFonts w:cs="Arial"/>
          <w:color w:val="000000"/>
        </w:rPr>
      </w:pPr>
      <w:r>
        <w:rPr>
          <w:color w:val="000000"/>
        </w:rPr>
        <w:t>STAGE II processing period and deadline for delivery of the second stage of the Analysis: 1 February 2028 to 31 July 2028</w:t>
      </w:r>
    </w:p>
    <w:p w14:paraId="019B166F" w14:textId="38EC183E" w:rsidR="00F71A84" w:rsidRPr="00D6509D" w:rsidRDefault="00D6509D" w:rsidP="00D6509D">
      <w:pPr>
        <w:pBdr>
          <w:top w:val="nil"/>
          <w:left w:val="nil"/>
          <w:bottom w:val="nil"/>
          <w:right w:val="nil"/>
          <w:between w:val="nil"/>
        </w:pBdr>
        <w:spacing w:before="120" w:after="120" w:line="240" w:lineRule="auto"/>
        <w:jc w:val="both"/>
        <w:rPr>
          <w:rFonts w:cs="Arial"/>
        </w:rPr>
      </w:pPr>
      <w:r>
        <w:rPr>
          <w:color w:val="000000"/>
        </w:rPr>
        <w:t>Submission of the draft methodology for the Analysis for the Acceptance Procedure: no later than within two (2) months of the Client’s instruction to start Stage II of the Analysis</w:t>
      </w:r>
    </w:p>
    <w:sectPr w:rsidR="00F71A84" w:rsidRPr="00D6509D" w:rsidSect="00870533">
      <w:headerReference w:type="even" r:id="rId8"/>
      <w:headerReference w:type="default" r:id="rId9"/>
      <w:footerReference w:type="even" r:id="rId10"/>
      <w:footerReference w:type="default" r:id="rId11"/>
      <w:headerReference w:type="first" r:id="rId12"/>
      <w:footerReference w:type="first" r:id="rId13"/>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BF04" w14:textId="77777777" w:rsidR="00A93F5F" w:rsidRDefault="00A93F5F">
      <w:pPr>
        <w:spacing w:line="240" w:lineRule="auto"/>
      </w:pPr>
      <w:r>
        <w:separator/>
      </w:r>
    </w:p>
  </w:endnote>
  <w:endnote w:type="continuationSeparator" w:id="0">
    <w:p w14:paraId="303B1354" w14:textId="77777777" w:rsidR="00A93F5F" w:rsidRDefault="00A93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Times New Roman (Základní tex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89FF" w14:textId="77777777" w:rsidR="005A4E4D" w:rsidRDefault="005A4E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4F020" w14:textId="777D0952" w:rsidR="007F0E67" w:rsidRPr="00104F08" w:rsidRDefault="007F0E67" w:rsidP="007F0E67">
    <w:pPr>
      <w:pStyle w:val="Zpat"/>
      <w:jc w:val="right"/>
      <w:rPr>
        <w:color w:val="CE3736"/>
        <w:sz w:val="28"/>
        <w:szCs w:val="28"/>
      </w:rPr>
    </w:pPr>
    <w:r w:rsidRPr="00104F08">
      <w:rPr>
        <w:color w:val="CE3736"/>
      </w:rPr>
      <w:fldChar w:fldCharType="begin"/>
    </w:r>
    <w:r w:rsidRPr="00104F08">
      <w:rPr>
        <w:color w:val="CE3736"/>
      </w:rPr>
      <w:instrText>PAGE  \* Arabic</w:instrText>
    </w:r>
    <w:r w:rsidRPr="00104F08">
      <w:rPr>
        <w:color w:val="CE3736"/>
      </w:rPr>
      <w:fldChar w:fldCharType="separate"/>
    </w:r>
    <w:r w:rsidR="00297D8E">
      <w:rPr>
        <w:noProof/>
        <w:color w:val="CE3736"/>
      </w:rPr>
      <w:t>2</w:t>
    </w:r>
    <w:r w:rsidRPr="00104F08">
      <w:rPr>
        <w:color w:val="CE3736"/>
      </w:rPr>
      <w:fldChar w:fldCharType="end"/>
    </w:r>
    <w:r>
      <w:rPr>
        <w:color w:val="CE3736"/>
      </w:rPr>
      <w:t>/</w:t>
    </w:r>
    <w:r w:rsidRPr="00104F08">
      <w:rPr>
        <w:color w:val="CE3736"/>
      </w:rPr>
      <w:fldChar w:fldCharType="begin"/>
    </w:r>
    <w:r w:rsidRPr="00104F08">
      <w:rPr>
        <w:color w:val="CE3736"/>
      </w:rPr>
      <w:instrText xml:space="preserve"> SECTIONPAGES  \* MERGEFORMAT </w:instrText>
    </w:r>
    <w:r w:rsidRPr="00104F08">
      <w:rPr>
        <w:color w:val="CE3736"/>
      </w:rPr>
      <w:fldChar w:fldCharType="separate"/>
    </w:r>
    <w:r w:rsidR="00297D8E">
      <w:rPr>
        <w:noProof/>
        <w:color w:val="CE3736"/>
      </w:rPr>
      <w:t>8</w:t>
    </w:r>
    <w:r w:rsidRPr="00104F08">
      <w:rPr>
        <w:color w:val="CE3736"/>
      </w:rPr>
      <w:fldChar w:fldCharType="end"/>
    </w:r>
  </w:p>
  <w:p w14:paraId="039CFA7C" w14:textId="77777777" w:rsidR="00C354C2" w:rsidRDefault="00C354C2">
    <w:pPr>
      <w:pBdr>
        <w:top w:val="nil"/>
        <w:left w:val="nil"/>
        <w:bottom w:val="nil"/>
        <w:right w:val="nil"/>
        <w:between w:val="nil"/>
      </w:pBdr>
      <w:tabs>
        <w:tab w:val="left" w:pos="9617"/>
      </w:tabs>
      <w:spacing w:line="180" w:lineRule="auto"/>
      <w:ind w:left="360" w:right="574" w:hanging="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5D2B" w14:textId="77777777" w:rsidR="007F0E67" w:rsidRPr="005B0B34" w:rsidRDefault="00067095" w:rsidP="007F0E67">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noProof/>
        <w:color w:val="000000" w:themeColor="text1"/>
        <w:sz w:val="16"/>
        <w:lang w:val="cs-CZ"/>
      </w:rPr>
      <mc:AlternateContent>
        <mc:Choice Requires="wps">
          <w:drawing>
            <wp:anchor distT="0" distB="0" distL="114300" distR="114300" simplePos="0" relativeHeight="251759616" behindDoc="0" locked="0" layoutInCell="1" allowOverlap="1" wp14:anchorId="17A61906" wp14:editId="5A1AB612">
              <wp:simplePos x="0" y="0"/>
              <wp:positionH relativeFrom="column">
                <wp:posOffset>5610860</wp:posOffset>
              </wp:positionH>
              <wp:positionV relativeFrom="paragraph">
                <wp:posOffset>-112179</wp:posOffset>
              </wp:positionV>
              <wp:extent cx="672809" cy="658538"/>
              <wp:effectExtent l="0" t="0" r="635" b="1905"/>
              <wp:wrapNone/>
              <wp:docPr id="17" name="Textové pole 17"/>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0C20E8F5" w14:textId="60502D0B" w:rsidR="00067095" w:rsidRPr="00067095" w:rsidRDefault="00067095" w:rsidP="00067095">
                          <w:pPr>
                            <w:jc w:val="right"/>
                            <w:rPr>
                              <w:color w:val="CE3736"/>
                              <w:sz w:val="24"/>
                              <w:szCs w:val="24"/>
                            </w:rPr>
                          </w:pPr>
                          <w:r>
                            <w:rPr>
                              <w:color w:val="000000" w:themeColor="text1"/>
                              <w:sz w:val="16"/>
                            </w:rPr>
                            <w:t xml:space="preserve">            </w:t>
                          </w:r>
                          <w:r>
                            <w:rPr>
                              <w:color w:val="000000" w:themeColor="text1"/>
                              <w:sz w:val="16"/>
                            </w:rPr>
                            <w:tab/>
                          </w:r>
                          <w:r>
                            <w:rPr>
                              <w:color w:val="000000" w:themeColor="text1"/>
                              <w:sz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297D8E">
                            <w:rPr>
                              <w:noProof/>
                              <w:color w:val="CE3736"/>
                            </w:rPr>
                            <w:t>1</w:t>
                          </w:r>
                          <w:r w:rsidRPr="00067095">
                            <w:rPr>
                              <w:color w:val="CE3736"/>
                            </w:rPr>
                            <w:fldChar w:fldCharType="end"/>
                          </w:r>
                          <w:r>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297D8E">
                            <w:rPr>
                              <w:noProof/>
                              <w:color w:val="CE3736"/>
                            </w:rPr>
                            <w:t>8</w:t>
                          </w:r>
                          <w:r w:rsidRPr="00067095">
                            <w:rPr>
                              <w:color w:val="CE3736"/>
                            </w:rPr>
                            <w:fldChar w:fldCharType="end"/>
                          </w:r>
                        </w:p>
                        <w:p w14:paraId="6595C762" w14:textId="77777777" w:rsidR="00067095" w:rsidRPr="00067095" w:rsidRDefault="00067095" w:rsidP="0006709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61906" id="_x0000_t202" coordsize="21600,21600" o:spt="202" path="m,l,21600r21600,l21600,xe">
              <v:stroke joinstyle="miter"/>
              <v:path gradientshapeok="t" o:connecttype="rect"/>
            </v:shapetype>
            <v:shape id="Textové pole 17" o:spid="_x0000_s1026" type="#_x0000_t202" style="position:absolute;margin-left:441.8pt;margin-top:-8.85pt;width:53pt;height:5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" fillcolor="white [3201]" stroked="f" strokeweight=".5pt">
              <v:textbox>
                <w:txbxContent>
                  <w:p w14:paraId="0C20E8F5" w14:textId="60502D0B" w:rsidR="00067095" w:rsidRPr="00067095" w:rsidRDefault="00067095" w:rsidP="00067095">
                    <w:pPr>
                      <w:jc w:val="right"/>
                      <w:rPr>
                        <w:color w:val="CE3736"/>
                        <w:sz w:val="24"/>
                        <w:szCs w:val="24"/>
                      </w:rPr>
                    </w:pPr>
                    <w:r>
                      <w:rPr>
                        <w:color w:val="000000" w:themeColor="text1"/>
                        <w:sz w:val="16"/>
                      </w:rPr>
                      <w:t xml:space="preserve">            </w:t>
                    </w:r>
                    <w:r>
                      <w:rPr>
                        <w:color w:val="000000" w:themeColor="text1"/>
                        <w:sz w:val="16"/>
                      </w:rPr>
                      <w:tab/>
                    </w:r>
                    <w:r>
                      <w:rPr>
                        <w:color w:val="000000" w:themeColor="text1"/>
                        <w:sz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297D8E">
                      <w:rPr>
                        <w:noProof/>
                        <w:color w:val="CE3736"/>
                      </w:rPr>
                      <w:t>1</w:t>
                    </w:r>
                    <w:r w:rsidRPr="00067095">
                      <w:rPr>
                        <w:color w:val="CE3736"/>
                      </w:rPr>
                      <w:fldChar w:fldCharType="end"/>
                    </w:r>
                    <w:r>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297D8E">
                      <w:rPr>
                        <w:noProof/>
                        <w:color w:val="CE3736"/>
                      </w:rPr>
                      <w:t>8</w:t>
                    </w:r>
                    <w:r w:rsidRPr="00067095">
                      <w:rPr>
                        <w:color w:val="CE3736"/>
                      </w:rPr>
                      <w:fldChar w:fldCharType="end"/>
                    </w:r>
                  </w:p>
                  <w:p w14:paraId="6595C762" w14:textId="77777777" w:rsidR="00067095" w:rsidRPr="00067095" w:rsidRDefault="00067095" w:rsidP="00067095">
                    <w:pPr>
                      <w:jc w:val="right"/>
                    </w:pPr>
                  </w:p>
                </w:txbxContent>
              </v:textbox>
            </v:shape>
          </w:pict>
        </mc:Fallback>
      </mc:AlternateContent>
    </w:r>
    <w:r>
      <w:rPr>
        <w:noProof/>
        <w:color w:val="000000" w:themeColor="text1"/>
        <w:sz w:val="16"/>
        <w:lang w:val="cs-CZ"/>
      </w:rPr>
      <w:drawing>
        <wp:inline distT="0" distB="0" distL="0" distR="0" wp14:anchorId="4DC7C7E6" wp14:editId="044CA9F6">
          <wp:extent cx="3432875" cy="493242"/>
          <wp:effectExtent l="0" t="0" r="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
                  <a:stretch>
                    <a:fillRect/>
                  </a:stretch>
                </pic:blipFill>
                <pic:spPr>
                  <a:xfrm>
                    <a:off x="0" y="0"/>
                    <a:ext cx="3515618" cy="505131"/>
                  </a:xfrm>
                  <a:prstGeom prst="rect">
                    <a:avLst/>
                  </a:prstGeom>
                </pic:spPr>
              </pic:pic>
            </a:graphicData>
          </a:graphic>
        </wp:inline>
      </w:drawing>
    </w:r>
    <w:r>
      <w:rPr>
        <w:color w:val="000000" w:themeColor="text1"/>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866BE" w14:textId="77777777" w:rsidR="00A93F5F" w:rsidRDefault="00A93F5F">
      <w:pPr>
        <w:spacing w:line="240" w:lineRule="auto"/>
      </w:pPr>
      <w:r>
        <w:separator/>
      </w:r>
    </w:p>
  </w:footnote>
  <w:footnote w:type="continuationSeparator" w:id="0">
    <w:p w14:paraId="17876B6F" w14:textId="77777777" w:rsidR="00A93F5F" w:rsidRDefault="00A93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793C" w14:textId="6B85BB03" w:rsidR="00142519" w:rsidRDefault="00D6509D">
    <w:pPr>
      <w:pStyle w:val="Zhlav"/>
    </w:pPr>
    <w:r>
      <w:rPr>
        <w:noProof/>
        <w:lang w:val="cs-CZ"/>
      </w:rPr>
      <w:drawing>
        <wp:anchor distT="0" distB="0" distL="114300" distR="114300" simplePos="0" relativeHeight="251758592" behindDoc="1" locked="0" layoutInCell="0" allowOverlap="1" wp14:anchorId="06F2CAA3" wp14:editId="78623B31">
          <wp:simplePos x="0" y="0"/>
          <wp:positionH relativeFrom="margin">
            <wp:align>center</wp:align>
          </wp:positionH>
          <wp:positionV relativeFrom="margin">
            <wp:align>center</wp:align>
          </wp:positionV>
          <wp:extent cx="5939790" cy="8405495"/>
          <wp:effectExtent l="0" t="0" r="3810" b="0"/>
          <wp:wrapNone/>
          <wp:docPr id="123954754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2123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r w:rsidR="00297D8E">
      <w:pict w14:anchorId="2B548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109969" o:spid="_x0000_s1035" type="#_x0000_t75" alt="" style="position:absolute;margin-left:0;margin-top:0;width:595pt;height:842pt;z-index:-251564032;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sidR="00297D8E">
      <w:pict w14:anchorId="65F27D47">
        <v:shape id="WordPictureWatermark614018973" o:spid="_x0000_s1034" type="#_x0000_t75" alt="" style="position:absolute;margin-left:0;margin-top:0;width:357pt;height:505.2pt;z-index:-251573248;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sidR="00297D8E">
      <w:pict w14:anchorId="22BD055B">
        <v:shape id="WordPictureWatermark613800305" o:spid="_x0000_s1033" type="#_x0000_t75" alt="" style="position:absolute;margin-left:0;margin-top:0;width:595pt;height:842pt;z-index:-25157939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297D8E">
      <w:pict w14:anchorId="48833180">
        <v:shape id="WordPictureWatermark613777997" o:spid="_x0000_s1032" type="#_x0000_t75" alt="" style="position:absolute;margin-left:0;margin-top:0;width:669.35pt;height:947.25pt;z-index:-251588608;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297D8E">
      <w:pict w14:anchorId="6C0ED33D">
        <v:shape id="WordPictureWatermark613758624" o:spid="_x0000_s1031" type="#_x0000_t75" alt="" style="position:absolute;margin-left:0;margin-top:0;width:371.85pt;height:526.25pt;z-index:-25159782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297D8E">
      <w:pict w14:anchorId="0FCABFE7">
        <v:shape id="WordPictureWatermark613729749" o:spid="_x0000_s1030" type="#_x0000_t75" alt="" style="position:absolute;margin-left:0;margin-top:0;width:743.75pt;height:1052.5pt;z-index:-251607040;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297D8E">
      <w:pict w14:anchorId="7030B464">
        <v:shape id="WordPictureWatermark613700924" o:spid="_x0000_s1029" type="#_x0000_t75" alt="" style="position:absolute;margin-left:0;margin-top:0;width:743.75pt;height:1052.5pt;z-index:-25161625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297D8E">
      <w:pict w14:anchorId="1785585E">
        <v:shape id="WordPictureWatermark612789589" o:spid="_x0000_s1028" type="#_x0000_t75" alt="" style="position:absolute;margin-left:0;margin-top:0;width:1338.75pt;height:1894.5pt;z-index:-251625472;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297D8E">
      <w:pict w14:anchorId="719BC152">
        <v:shape id="WordPictureWatermark612753744" o:spid="_x0000_s1027" type="#_x0000_t75" alt="" style="position:absolute;margin-left:0;margin-top:0;width:1338.75pt;height:1894.5pt;z-index:-25163468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297D8E">
      <w:pict w14:anchorId="7F546950">
        <v:shape id="WordPictureWatermark612722345" o:spid="_x0000_s1026" type="#_x0000_t75" alt="" style="position:absolute;margin-left:0;margin-top:0;width:892.5pt;height:1263pt;z-index:-251643904;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lang w:val="cs-CZ"/>
      </w:rPr>
      <w:drawing>
        <wp:anchor distT="0" distB="0" distL="114300" distR="114300" simplePos="0" relativeHeight="251663360" behindDoc="1" locked="0" layoutInCell="0" allowOverlap="1" wp14:anchorId="64590C16" wp14:editId="75CB9E62">
          <wp:simplePos x="0" y="0"/>
          <wp:positionH relativeFrom="margin">
            <wp:align>center</wp:align>
          </wp:positionH>
          <wp:positionV relativeFrom="margin">
            <wp:align>center</wp:align>
          </wp:positionV>
          <wp:extent cx="5939790" cy="8405495"/>
          <wp:effectExtent l="0" t="0" r="3810" b="0"/>
          <wp:wrapNone/>
          <wp:docPr id="11549151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552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9E32" w14:textId="77777777" w:rsidR="00270535" w:rsidRDefault="00270535" w:rsidP="00270535"/>
  <w:p w14:paraId="3655A3B4" w14:textId="77777777" w:rsidR="00270535" w:rsidRPr="006576A8" w:rsidRDefault="00270535" w:rsidP="00270535">
    <w:pPr>
      <w:rPr>
        <w:sz w:val="13"/>
        <w:szCs w:val="13"/>
      </w:rPr>
    </w:pPr>
  </w:p>
  <w:p w14:paraId="0E760B6F" w14:textId="77777777" w:rsidR="005C6E7C" w:rsidRDefault="00270535">
    <w:pPr>
      <w:pStyle w:val="Zhlav"/>
    </w:pPr>
    <w:r>
      <w:rPr>
        <w:noProof/>
        <w:lang w:val="cs-CZ"/>
      </w:rPr>
      <w:drawing>
        <wp:inline distT="0" distB="0" distL="0" distR="0" wp14:anchorId="473182BB" wp14:editId="51711880">
          <wp:extent cx="6721242" cy="738000"/>
          <wp:effectExtent l="0" t="0" r="0" b="0"/>
          <wp:docPr id="16" name="Grafický 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721242" cy="738000"/>
                  </a:xfrm>
                  <a:prstGeom prst="rect">
                    <a:avLst/>
                  </a:prstGeom>
                </pic:spPr>
              </pic:pic>
            </a:graphicData>
          </a:graphic>
        </wp:inline>
      </w:drawing>
    </w:r>
  </w:p>
  <w:p w14:paraId="61A14909" w14:textId="77777777" w:rsidR="00142519" w:rsidRDefault="001425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A584B" w14:textId="77777777" w:rsidR="001B47DC" w:rsidRDefault="001B47DC" w:rsidP="001B47DC"/>
  <w:p w14:paraId="515A2317" w14:textId="77777777" w:rsidR="001B47DC" w:rsidRPr="006576A8" w:rsidRDefault="001B47DC" w:rsidP="001B47DC">
    <w:pPr>
      <w:rPr>
        <w:sz w:val="13"/>
        <w:szCs w:val="13"/>
      </w:rPr>
    </w:pPr>
  </w:p>
  <w:p w14:paraId="0A010E23" w14:textId="77777777" w:rsidR="00C354C2" w:rsidRDefault="007F0E67">
    <w:pPr>
      <w:pBdr>
        <w:top w:val="nil"/>
        <w:left w:val="nil"/>
        <w:bottom w:val="nil"/>
        <w:right w:val="nil"/>
        <w:between w:val="nil"/>
      </w:pBdr>
      <w:tabs>
        <w:tab w:val="center" w:pos="4153"/>
        <w:tab w:val="right" w:pos="8306"/>
      </w:tabs>
      <w:spacing w:line="360" w:lineRule="auto"/>
    </w:pPr>
    <w:r>
      <w:rPr>
        <w:noProof/>
        <w:lang w:val="cs-CZ"/>
      </w:rPr>
      <w:drawing>
        <wp:inline distT="0" distB="0" distL="0" distR="0" wp14:anchorId="7AC5B4CC" wp14:editId="0DB5EF32">
          <wp:extent cx="6728400" cy="738990"/>
          <wp:effectExtent l="0" t="0" r="0" b="0"/>
          <wp:docPr id="15" name="Grafický 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728400" cy="73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7794"/>
    <w:multiLevelType w:val="hybridMultilevel"/>
    <w:tmpl w:val="F8C8AED8"/>
    <w:lvl w:ilvl="0" w:tplc="2C9CA89C">
      <w:start w:val="1"/>
      <w:numFmt w:val="decimal"/>
      <w:lvlText w:val="2.%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00A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1E2ECB"/>
    <w:multiLevelType w:val="multilevel"/>
    <w:tmpl w:val="B8A4DDF4"/>
    <w:lvl w:ilvl="0">
      <w:start w:val="1"/>
      <w:numFmt w:val="decimal"/>
      <w:lvlText w:val="%1)"/>
      <w:lvlJc w:val="left"/>
      <w:pPr>
        <w:ind w:left="360" w:hanging="360"/>
      </w:pPr>
    </w:lvl>
    <w:lvl w:ilvl="1">
      <w:start w:val="1"/>
      <w:numFmt w:val="lowerLetter"/>
      <w:lvlText w:val="(%2)"/>
      <w:lvlJc w:val="left"/>
      <w:pPr>
        <w:ind w:left="1287"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6650E7"/>
    <w:multiLevelType w:val="hybridMultilevel"/>
    <w:tmpl w:val="065C6A26"/>
    <w:lvl w:ilvl="0" w:tplc="19C60C3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E6C1555"/>
    <w:multiLevelType w:val="multilevel"/>
    <w:tmpl w:val="0B24C802"/>
    <w:lvl w:ilvl="0">
      <w:start w:val="1"/>
      <w:numFmt w:val="decimal"/>
      <w:lvlText w:val="%1."/>
      <w:lvlJc w:val="left"/>
      <w:pPr>
        <w:ind w:left="567" w:hanging="567"/>
      </w:pPr>
      <w:rPr>
        <w:rFonts w:ascii="Arial" w:eastAsia="Times New Roman" w:hAnsi="Arial" w:cs="Times New Roman"/>
        <w:b/>
        <w:i w:val="0"/>
        <w:sz w:val="22"/>
        <w:szCs w:val="22"/>
      </w:rPr>
    </w:lvl>
    <w:lvl w:ilvl="1">
      <w:start w:val="1"/>
      <w:numFmt w:val="decimal"/>
      <w:pStyle w:val="RLTextlnkuslovan"/>
      <w:lvlText w:val="%1.%2"/>
      <w:lvlJc w:val="left"/>
      <w:pPr>
        <w:ind w:left="567" w:hanging="567"/>
      </w:pPr>
      <w:rPr>
        <w:rFonts w:ascii="Arial" w:eastAsia="Times" w:hAnsi="Arial" w:cs="Arial" w:hint="default"/>
        <w:b/>
        <w:i w:val="0"/>
        <w:sz w:val="22"/>
        <w:szCs w:val="22"/>
      </w:rPr>
    </w:lvl>
    <w:lvl w:ilvl="2">
      <w:start w:val="1"/>
      <w:numFmt w:val="lowerLetter"/>
      <w:lvlText w:val="(%3)"/>
      <w:lvlJc w:val="left"/>
      <w:pPr>
        <w:ind w:left="0" w:firstLine="0"/>
      </w:pPr>
      <w:rPr>
        <w:rFonts w:ascii="Times New Roman" w:eastAsia="Times New Roman" w:hAnsi="Times New Roman" w:cs="Times New Roman"/>
        <w:b w:val="0"/>
        <w:i w:val="0"/>
        <w:smallCaps w:val="0"/>
        <w:strike w:val="0"/>
        <w:u w:val="none"/>
        <w:vertAlign w:val="baseline"/>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33DE7A88"/>
    <w:multiLevelType w:val="hybridMultilevel"/>
    <w:tmpl w:val="E962087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7EF1C6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CB7023"/>
    <w:multiLevelType w:val="hybridMultilevel"/>
    <w:tmpl w:val="CB6EED1E"/>
    <w:lvl w:ilvl="0" w:tplc="446E8260">
      <w:start w:val="1"/>
      <w:numFmt w:val="decimal"/>
      <w:lvlText w:val="1.%1"/>
      <w:lvlJc w:val="left"/>
      <w:pPr>
        <w:ind w:left="720" w:hanging="360"/>
      </w:pPr>
      <w:rPr>
        <w:rFonts w:hint="default"/>
        <w:b/>
        <w:bCs/>
      </w:rPr>
    </w:lvl>
    <w:lvl w:ilvl="1" w:tplc="04050019">
      <w:start w:val="1"/>
      <w:numFmt w:val="lowerLetter"/>
      <w:lvlText w:val="%2."/>
      <w:lvlJc w:val="left"/>
      <w:pPr>
        <w:ind w:left="1440" w:hanging="360"/>
      </w:pPr>
    </w:lvl>
    <w:lvl w:ilvl="2" w:tplc="D8966B32">
      <w:start w:val="1"/>
      <w:numFmt w:val="lowerLetter"/>
      <w:lvlText w:val="(%3)"/>
      <w:lvlJc w:val="left"/>
      <w:pPr>
        <w:ind w:left="2832" w:hanging="852"/>
      </w:pPr>
      <w:rPr>
        <w:rFonts w:hint="default"/>
        <w:i/>
        <w:iC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9977FF"/>
    <w:multiLevelType w:val="hybridMultilevel"/>
    <w:tmpl w:val="065C6A26"/>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5DF55858"/>
    <w:multiLevelType w:val="hybridMultilevel"/>
    <w:tmpl w:val="065C6A26"/>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61572181"/>
    <w:multiLevelType w:val="multilevel"/>
    <w:tmpl w:val="17884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F71E99"/>
    <w:multiLevelType w:val="hybridMultilevel"/>
    <w:tmpl w:val="1852423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15752D"/>
    <w:multiLevelType w:val="multilevel"/>
    <w:tmpl w:val="44E68C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pStyle w:val="Sty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403D2E"/>
    <w:multiLevelType w:val="multilevel"/>
    <w:tmpl w:val="8C72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BB29AF"/>
    <w:multiLevelType w:val="multilevel"/>
    <w:tmpl w:val="B26E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0"/>
  </w:num>
  <w:num w:numId="4">
    <w:abstractNumId w:val="4"/>
  </w:num>
  <w:num w:numId="5">
    <w:abstractNumId w:val="3"/>
  </w:num>
  <w:num w:numId="6">
    <w:abstractNumId w:val="8"/>
  </w:num>
  <w:num w:numId="7">
    <w:abstractNumId w:val="9"/>
  </w:num>
  <w:num w:numId="8">
    <w:abstractNumId w:val="12"/>
  </w:num>
  <w:num w:numId="9">
    <w:abstractNumId w:val="5"/>
  </w:num>
  <w:num w:numId="10">
    <w:abstractNumId w:val="13"/>
    <w:lvlOverride w:ilvl="0">
      <w:lvl w:ilvl="0">
        <w:numFmt w:val="lowerLetter"/>
        <w:lvlText w:val="%1."/>
        <w:lvlJc w:val="left"/>
      </w:lvl>
    </w:lvlOverride>
  </w:num>
  <w:num w:numId="11">
    <w:abstractNumId w:val="10"/>
    <w:lvlOverride w:ilvl="0">
      <w:lvl w:ilvl="0">
        <w:numFmt w:val="lowerLetter"/>
        <w:lvlText w:val="%1."/>
        <w:lvlJc w:val="left"/>
      </w:lvl>
    </w:lvlOverride>
  </w:num>
  <w:num w:numId="12">
    <w:abstractNumId w:val="10"/>
  </w:num>
  <w:num w:numId="13">
    <w:abstractNumId w:val="10"/>
  </w:num>
  <w:num w:numId="14">
    <w:abstractNumId w:val="10"/>
  </w:num>
  <w:num w:numId="15">
    <w:abstractNumId w:val="6"/>
  </w:num>
  <w:num w:numId="16">
    <w:abstractNumId w:val="14"/>
    <w:lvlOverride w:ilvl="0">
      <w:lvl w:ilvl="0">
        <w:numFmt w:val="lowerLetter"/>
        <w:lvlText w:val="%1."/>
        <w:lvlJc w:val="left"/>
      </w:lvl>
    </w:lvlOverride>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cs-CZ" w:vendorID="64" w:dllVersion="4096" w:nlCheck="1" w:checkStyle="0"/>
  <w:activeWritingStyle w:appName="MSWord" w:lang="cs-CZ"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4D"/>
    <w:rsid w:val="00010051"/>
    <w:rsid w:val="00067095"/>
    <w:rsid w:val="00071D5A"/>
    <w:rsid w:val="0007352D"/>
    <w:rsid w:val="00096F37"/>
    <w:rsid w:val="000A1D6C"/>
    <w:rsid w:val="000A7CE3"/>
    <w:rsid w:val="000B056D"/>
    <w:rsid w:val="000E4D26"/>
    <w:rsid w:val="000F704C"/>
    <w:rsid w:val="00123D49"/>
    <w:rsid w:val="00142519"/>
    <w:rsid w:val="00150837"/>
    <w:rsid w:val="00156A69"/>
    <w:rsid w:val="00195AF7"/>
    <w:rsid w:val="001A64CF"/>
    <w:rsid w:val="001B47DC"/>
    <w:rsid w:val="001E2F6A"/>
    <w:rsid w:val="002020DF"/>
    <w:rsid w:val="00206A99"/>
    <w:rsid w:val="002106A2"/>
    <w:rsid w:val="00216E0C"/>
    <w:rsid w:val="00223F3D"/>
    <w:rsid w:val="00270535"/>
    <w:rsid w:val="00294047"/>
    <w:rsid w:val="00297D8E"/>
    <w:rsid w:val="002A75F1"/>
    <w:rsid w:val="00301691"/>
    <w:rsid w:val="0030773C"/>
    <w:rsid w:val="00307776"/>
    <w:rsid w:val="003531E9"/>
    <w:rsid w:val="00361086"/>
    <w:rsid w:val="003A1A6C"/>
    <w:rsid w:val="003F1ED0"/>
    <w:rsid w:val="0040682E"/>
    <w:rsid w:val="004171EF"/>
    <w:rsid w:val="004202AB"/>
    <w:rsid w:val="004244D0"/>
    <w:rsid w:val="0042652A"/>
    <w:rsid w:val="0043424D"/>
    <w:rsid w:val="00436C27"/>
    <w:rsid w:val="004374B5"/>
    <w:rsid w:val="004532AB"/>
    <w:rsid w:val="00457D50"/>
    <w:rsid w:val="0047255E"/>
    <w:rsid w:val="00490856"/>
    <w:rsid w:val="00497EA3"/>
    <w:rsid w:val="004A4429"/>
    <w:rsid w:val="004B54CA"/>
    <w:rsid w:val="004C43D0"/>
    <w:rsid w:val="004C6486"/>
    <w:rsid w:val="004C663F"/>
    <w:rsid w:val="004D15F5"/>
    <w:rsid w:val="00505278"/>
    <w:rsid w:val="005055B4"/>
    <w:rsid w:val="00513F64"/>
    <w:rsid w:val="00524E32"/>
    <w:rsid w:val="00533061"/>
    <w:rsid w:val="005470D9"/>
    <w:rsid w:val="005632FD"/>
    <w:rsid w:val="00567CD6"/>
    <w:rsid w:val="0058470F"/>
    <w:rsid w:val="005A4E4D"/>
    <w:rsid w:val="005B0B34"/>
    <w:rsid w:val="005C0E52"/>
    <w:rsid w:val="005C6E7C"/>
    <w:rsid w:val="005D17AD"/>
    <w:rsid w:val="00627574"/>
    <w:rsid w:val="00630D34"/>
    <w:rsid w:val="006315BB"/>
    <w:rsid w:val="00653481"/>
    <w:rsid w:val="00663CEA"/>
    <w:rsid w:val="006D1E11"/>
    <w:rsid w:val="006F76DD"/>
    <w:rsid w:val="006F7A76"/>
    <w:rsid w:val="007310FD"/>
    <w:rsid w:val="00757CBC"/>
    <w:rsid w:val="007664FC"/>
    <w:rsid w:val="00776047"/>
    <w:rsid w:val="007A3068"/>
    <w:rsid w:val="007D3825"/>
    <w:rsid w:val="007F0E67"/>
    <w:rsid w:val="00826B59"/>
    <w:rsid w:val="00842A97"/>
    <w:rsid w:val="00844799"/>
    <w:rsid w:val="00855E2C"/>
    <w:rsid w:val="00870533"/>
    <w:rsid w:val="00873273"/>
    <w:rsid w:val="008811EF"/>
    <w:rsid w:val="0088637D"/>
    <w:rsid w:val="00896246"/>
    <w:rsid w:val="00897D02"/>
    <w:rsid w:val="008B49A7"/>
    <w:rsid w:val="008D7FC2"/>
    <w:rsid w:val="008E4A38"/>
    <w:rsid w:val="008F1DED"/>
    <w:rsid w:val="00914C47"/>
    <w:rsid w:val="009467A2"/>
    <w:rsid w:val="00956C07"/>
    <w:rsid w:val="0097384B"/>
    <w:rsid w:val="009C178A"/>
    <w:rsid w:val="009E4155"/>
    <w:rsid w:val="009F26B1"/>
    <w:rsid w:val="009F404A"/>
    <w:rsid w:val="00A01AA8"/>
    <w:rsid w:val="00A3477F"/>
    <w:rsid w:val="00A45BDF"/>
    <w:rsid w:val="00A47B6E"/>
    <w:rsid w:val="00A749C9"/>
    <w:rsid w:val="00A76B0F"/>
    <w:rsid w:val="00A93F5F"/>
    <w:rsid w:val="00AA0AE2"/>
    <w:rsid w:val="00AA3D4F"/>
    <w:rsid w:val="00AB04D3"/>
    <w:rsid w:val="00AB7042"/>
    <w:rsid w:val="00AC0535"/>
    <w:rsid w:val="00AC1FEE"/>
    <w:rsid w:val="00AE211D"/>
    <w:rsid w:val="00B006E3"/>
    <w:rsid w:val="00B4655C"/>
    <w:rsid w:val="00B61DEC"/>
    <w:rsid w:val="00B72A56"/>
    <w:rsid w:val="00B75394"/>
    <w:rsid w:val="00BA7E1C"/>
    <w:rsid w:val="00BB22C3"/>
    <w:rsid w:val="00BB6FC1"/>
    <w:rsid w:val="00BD4D42"/>
    <w:rsid w:val="00BD5C5A"/>
    <w:rsid w:val="00BF563D"/>
    <w:rsid w:val="00C00738"/>
    <w:rsid w:val="00C235E3"/>
    <w:rsid w:val="00C2792B"/>
    <w:rsid w:val="00C354C2"/>
    <w:rsid w:val="00C4008B"/>
    <w:rsid w:val="00C64DD0"/>
    <w:rsid w:val="00C850AD"/>
    <w:rsid w:val="00CA04A0"/>
    <w:rsid w:val="00CA52CF"/>
    <w:rsid w:val="00CA77C8"/>
    <w:rsid w:val="00CB3A77"/>
    <w:rsid w:val="00CD375D"/>
    <w:rsid w:val="00CE0D89"/>
    <w:rsid w:val="00D01E03"/>
    <w:rsid w:val="00D14C8F"/>
    <w:rsid w:val="00D22CB2"/>
    <w:rsid w:val="00D22DD1"/>
    <w:rsid w:val="00D23583"/>
    <w:rsid w:val="00D45509"/>
    <w:rsid w:val="00D57D84"/>
    <w:rsid w:val="00D6509D"/>
    <w:rsid w:val="00D73805"/>
    <w:rsid w:val="00D9768E"/>
    <w:rsid w:val="00DB2FAC"/>
    <w:rsid w:val="00DF1B02"/>
    <w:rsid w:val="00E45842"/>
    <w:rsid w:val="00E517EF"/>
    <w:rsid w:val="00E60745"/>
    <w:rsid w:val="00E72515"/>
    <w:rsid w:val="00E74792"/>
    <w:rsid w:val="00E915B5"/>
    <w:rsid w:val="00ED0A65"/>
    <w:rsid w:val="00EF0CF5"/>
    <w:rsid w:val="00EF1EB1"/>
    <w:rsid w:val="00F02D72"/>
    <w:rsid w:val="00F47B3D"/>
    <w:rsid w:val="00F71A84"/>
    <w:rsid w:val="00F75DBC"/>
    <w:rsid w:val="00FA2760"/>
    <w:rsid w:val="00FE2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853A11"/>
  <w14:defaultImageDpi w14:val="32767"/>
  <w15:docId w15:val="{4F4B7837-3152-408E-8D6C-01D935F9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Open Sans" w:hAnsi="Arial" w:cs="Open Sans"/>
        <w:sz w:val="22"/>
        <w:szCs w:val="22"/>
        <w:lang w:val="en-GB"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E915B5"/>
    <w:pPr>
      <w:spacing w:line="400" w:lineRule="auto"/>
      <w:outlineLvl w:val="0"/>
    </w:pPr>
    <w:rPr>
      <w:b/>
      <w:color w:val="CE3736"/>
      <w:sz w:val="36"/>
      <w:szCs w:val="30"/>
    </w:rPr>
  </w:style>
  <w:style w:type="paragraph" w:styleId="Nadpis2">
    <w:name w:val="heading 2"/>
    <w:basedOn w:val="Normln"/>
    <w:next w:val="Normln"/>
    <w:uiPriority w:val="9"/>
    <w:unhideWhenUsed/>
    <w:qFormat/>
    <w:rsid w:val="00E915B5"/>
    <w:pPr>
      <w:outlineLvl w:val="1"/>
    </w:pPr>
    <w:rPr>
      <w:b/>
      <w:color w:val="000000" w:themeColor="text1"/>
      <w:sz w:val="32"/>
    </w:rPr>
  </w:style>
  <w:style w:type="paragraph" w:styleId="Nadpis3">
    <w:name w:val="heading 3"/>
    <w:basedOn w:val="Normln"/>
    <w:next w:val="Normln"/>
    <w:uiPriority w:val="9"/>
    <w:unhideWhenUsed/>
    <w:qFormat/>
    <w:rsid w:val="00AA3D4F"/>
    <w:pPr>
      <w:outlineLvl w:val="2"/>
    </w:pPr>
    <w:rPr>
      <w:b/>
      <w:color w:val="CE3736"/>
      <w:sz w:val="28"/>
    </w:rPr>
  </w:style>
  <w:style w:type="paragraph" w:styleId="Nadpis4">
    <w:name w:val="heading 4"/>
    <w:basedOn w:val="Normln"/>
    <w:next w:val="Normln"/>
    <w:uiPriority w:val="9"/>
    <w:unhideWhenUsed/>
    <w:qFormat/>
    <w:rsid w:val="00E915B5"/>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uiPriority w:val="10"/>
    <w:qFormat/>
    <w:rsid w:val="00E915B5"/>
    <w:pPr>
      <w:keepNext/>
      <w:keepLines/>
      <w:spacing w:before="480" w:after="120"/>
      <w:jc w:val="right"/>
    </w:pPr>
    <w:rPr>
      <w:b/>
      <w:color w:val="CE3736"/>
      <w:sz w:val="48"/>
      <w:szCs w:val="72"/>
    </w:rPr>
  </w:style>
  <w:style w:type="paragraph" w:styleId="Zhlav">
    <w:name w:val="header"/>
    <w:basedOn w:val="Normln"/>
    <w:link w:val="ZhlavChar"/>
    <w:uiPriority w:val="99"/>
    <w:unhideWhenUsed/>
    <w:rsid w:val="001A64CF"/>
    <w:pPr>
      <w:tabs>
        <w:tab w:val="center" w:pos="4536"/>
        <w:tab w:val="right" w:pos="9072"/>
      </w:tabs>
      <w:spacing w:line="240" w:lineRule="auto"/>
    </w:pPr>
  </w:style>
  <w:style w:type="character" w:customStyle="1" w:styleId="ZhlavChar">
    <w:name w:val="Záhlaví Char"/>
    <w:basedOn w:val="Standardnpsmoodstavce"/>
    <w:link w:val="Zhlav"/>
    <w:uiPriority w:val="99"/>
    <w:rsid w:val="001A64CF"/>
  </w:style>
  <w:style w:type="paragraph" w:styleId="Zpat">
    <w:name w:val="footer"/>
    <w:basedOn w:val="Normln"/>
    <w:link w:val="ZpatChar"/>
    <w:unhideWhenUsed/>
    <w:rsid w:val="001A64CF"/>
    <w:pPr>
      <w:tabs>
        <w:tab w:val="center" w:pos="4536"/>
        <w:tab w:val="right" w:pos="9072"/>
      </w:tabs>
      <w:spacing w:line="240" w:lineRule="auto"/>
    </w:pPr>
  </w:style>
  <w:style w:type="character" w:customStyle="1" w:styleId="ZpatChar">
    <w:name w:val="Zápatí Char"/>
    <w:basedOn w:val="Standardnpsmoodstavce"/>
    <w:link w:val="Zpat"/>
    <w:uiPriority w:val="99"/>
    <w:rsid w:val="001A64CF"/>
  </w:style>
  <w:style w:type="paragraph" w:styleId="Bezmezer">
    <w:name w:val="No Spacing"/>
    <w:uiPriority w:val="1"/>
    <w:rsid w:val="004C6486"/>
    <w:pPr>
      <w:spacing w:line="240" w:lineRule="auto"/>
    </w:pPr>
  </w:style>
  <w:style w:type="paragraph" w:styleId="Odstavecseseznamem">
    <w:name w:val="List Paragraph"/>
    <w:aliases w:val="Bullet Number,A-Odrážky1,Odstavec s názvem"/>
    <w:basedOn w:val="Normln"/>
    <w:link w:val="OdstavecseseznamemChar"/>
    <w:uiPriority w:val="34"/>
    <w:qFormat/>
    <w:rsid w:val="00142519"/>
    <w:pPr>
      <w:ind w:left="720"/>
      <w:contextualSpacing/>
    </w:pPr>
  </w:style>
  <w:style w:type="character" w:styleId="slostrnky">
    <w:name w:val="page number"/>
    <w:basedOn w:val="Standardnpsmoodstavce"/>
    <w:uiPriority w:val="99"/>
    <w:semiHidden/>
    <w:unhideWhenUsed/>
    <w:rsid w:val="005C6E7C"/>
  </w:style>
  <w:style w:type="paragraph" w:styleId="Podnadpis">
    <w:name w:val="Subtitle"/>
    <w:aliases w:val="Podnázev smlouvy"/>
    <w:basedOn w:val="Normln"/>
    <w:next w:val="Normln"/>
    <w:link w:val="PodnadpisChar"/>
    <w:autoRedefine/>
    <w:uiPriority w:val="11"/>
    <w:qFormat/>
    <w:rsid w:val="003F1ED0"/>
    <w:pPr>
      <w:numPr>
        <w:ilvl w:val="1"/>
      </w:numPr>
      <w:spacing w:after="160"/>
    </w:pPr>
    <w:rPr>
      <w:rFonts w:eastAsiaTheme="minorEastAsia" w:cs="Times New Roman (Základní text"/>
      <w:b/>
      <w:color w:val="000000" w:themeColor="text1"/>
      <w:sz w:val="44"/>
    </w:rPr>
  </w:style>
  <w:style w:type="character" w:styleId="Zdraznnjemn">
    <w:name w:val="Subtle Emphasis"/>
    <w:basedOn w:val="Standardnpsmoodstavce"/>
    <w:uiPriority w:val="19"/>
    <w:rsid w:val="004374B5"/>
    <w:rPr>
      <w:i/>
      <w:iCs/>
      <w:color w:val="404040" w:themeColor="text1" w:themeTint="BF"/>
    </w:rPr>
  </w:style>
  <w:style w:type="character" w:customStyle="1" w:styleId="PodnadpisChar">
    <w:name w:val="Podnadpis Char"/>
    <w:aliases w:val="Podnázev smlouvy Char"/>
    <w:basedOn w:val="Standardnpsmoodstavce"/>
    <w:link w:val="Podnadpis"/>
    <w:uiPriority w:val="11"/>
    <w:rsid w:val="003F1ED0"/>
    <w:rPr>
      <w:rFonts w:eastAsiaTheme="minorEastAsia" w:cs="Times New Roman (Základní text"/>
      <w:b/>
      <w:color w:val="000000" w:themeColor="text1"/>
      <w:sz w:val="44"/>
    </w:rPr>
  </w:style>
  <w:style w:type="paragraph" w:styleId="FormtovanvHTML">
    <w:name w:val="HTML Preformatted"/>
    <w:basedOn w:val="Normln"/>
    <w:link w:val="FormtovanvHTMLChar"/>
    <w:uiPriority w:val="99"/>
    <w:semiHidden/>
    <w:unhideWhenUsed/>
    <w:rsid w:val="008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D7FC2"/>
    <w:rPr>
      <w:rFonts w:ascii="Courier New" w:eastAsia="Times New Roman" w:hAnsi="Courier New" w:cs="Courier New"/>
      <w:sz w:val="20"/>
      <w:szCs w:val="20"/>
    </w:rPr>
  </w:style>
  <w:style w:type="character" w:customStyle="1" w:styleId="y2iqfc">
    <w:name w:val="y2iqfc"/>
    <w:basedOn w:val="Standardnpsmoodstavce"/>
    <w:rsid w:val="008D7FC2"/>
  </w:style>
  <w:style w:type="paragraph" w:customStyle="1" w:styleId="Text11">
    <w:name w:val="Text 1.1"/>
    <w:basedOn w:val="Normln"/>
    <w:qFormat/>
    <w:rsid w:val="00D6509D"/>
    <w:pPr>
      <w:keepNext/>
      <w:spacing w:before="120" w:after="120" w:line="240" w:lineRule="auto"/>
      <w:ind w:left="561"/>
      <w:jc w:val="both"/>
    </w:pPr>
    <w:rPr>
      <w:rFonts w:ascii="Times New Roman" w:eastAsia="SimSun" w:hAnsi="Times New Roman" w:cs="Times New Roman"/>
      <w:szCs w:val="20"/>
      <w:lang w:eastAsia="en-US"/>
    </w:rPr>
  </w:style>
  <w:style w:type="character" w:styleId="Odkaznakoment">
    <w:name w:val="annotation reference"/>
    <w:uiPriority w:val="99"/>
    <w:unhideWhenUsed/>
    <w:rsid w:val="00D6509D"/>
    <w:rPr>
      <w:sz w:val="16"/>
      <w:szCs w:val="16"/>
    </w:rPr>
  </w:style>
  <w:style w:type="paragraph" w:styleId="Textkomente">
    <w:name w:val="annotation text"/>
    <w:basedOn w:val="Normln"/>
    <w:link w:val="TextkomenteChar"/>
    <w:uiPriority w:val="99"/>
    <w:rsid w:val="00D6509D"/>
    <w:pPr>
      <w:spacing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D6509D"/>
    <w:rPr>
      <w:rFonts w:ascii="Times New Roman" w:eastAsia="Times New Roman" w:hAnsi="Times New Roman" w:cs="Times New Roman"/>
      <w:sz w:val="20"/>
      <w:szCs w:val="20"/>
    </w:rPr>
  </w:style>
  <w:style w:type="character" w:customStyle="1" w:styleId="OdstavecseseznamemChar">
    <w:name w:val="Odstavec se seznamem Char"/>
    <w:aliases w:val="Bullet Number Char,A-Odrážky1 Char,Odstavec s názvem Char"/>
    <w:link w:val="Odstavecseseznamem"/>
    <w:uiPriority w:val="34"/>
    <w:locked/>
    <w:rsid w:val="00D6509D"/>
  </w:style>
  <w:style w:type="paragraph" w:styleId="Zkladntext">
    <w:name w:val="Body Text"/>
    <w:basedOn w:val="Normln"/>
    <w:link w:val="ZkladntextChar"/>
    <w:rsid w:val="00D6509D"/>
    <w:pPr>
      <w:spacing w:before="120" w:after="120" w:line="240" w:lineRule="auto"/>
      <w:jc w:val="both"/>
    </w:pPr>
    <w:rPr>
      <w:rFonts w:ascii="Times New Roman" w:eastAsia="SimSun" w:hAnsi="Times New Roman" w:cs="Times New Roman"/>
      <w:szCs w:val="24"/>
      <w:lang w:eastAsia="en-US"/>
    </w:rPr>
  </w:style>
  <w:style w:type="character" w:customStyle="1" w:styleId="ZkladntextChar">
    <w:name w:val="Základní text Char"/>
    <w:basedOn w:val="Standardnpsmoodstavce"/>
    <w:link w:val="Zkladntext"/>
    <w:rsid w:val="00D6509D"/>
    <w:rPr>
      <w:rFonts w:ascii="Times New Roman" w:eastAsia="SimSun" w:hAnsi="Times New Roman" w:cs="Times New Roman"/>
      <w:szCs w:val="24"/>
      <w:lang w:eastAsia="en-US"/>
    </w:rPr>
  </w:style>
  <w:style w:type="paragraph" w:customStyle="1" w:styleId="RLTextlnkuslovan">
    <w:name w:val="RL Text článku číslovaný"/>
    <w:basedOn w:val="Normln"/>
    <w:qFormat/>
    <w:rsid w:val="00D6509D"/>
    <w:pPr>
      <w:numPr>
        <w:ilvl w:val="1"/>
        <w:numId w:val="4"/>
      </w:numPr>
      <w:spacing w:after="120" w:line="280" w:lineRule="exact"/>
      <w:jc w:val="both"/>
    </w:pPr>
    <w:rPr>
      <w:rFonts w:ascii="Calibri" w:eastAsia="Times New Roman" w:hAnsi="Calibri" w:cs="Times New Roman"/>
      <w:szCs w:val="24"/>
      <w:lang w:eastAsia="x-none"/>
    </w:rPr>
  </w:style>
  <w:style w:type="paragraph" w:customStyle="1" w:styleId="Styl3">
    <w:name w:val="Styl 3"/>
    <w:basedOn w:val="Normln"/>
    <w:qFormat/>
    <w:rsid w:val="00D6509D"/>
    <w:pPr>
      <w:numPr>
        <w:ilvl w:val="2"/>
        <w:numId w:val="8"/>
      </w:numPr>
      <w:spacing w:before="120" w:line="276" w:lineRule="auto"/>
      <w:ind w:left="1224" w:hanging="657"/>
      <w:jc w:val="both"/>
    </w:pPr>
    <w:rPr>
      <w:rFonts w:asciiTheme="minorHAnsi" w:eastAsia="Calibri" w:hAnsiTheme="minorHAnsi" w:cs="Arial"/>
      <w:lang w:eastAsia="en-US"/>
    </w:rPr>
  </w:style>
  <w:style w:type="paragraph" w:customStyle="1" w:styleId="Preambule">
    <w:name w:val="Preambule"/>
    <w:basedOn w:val="Normln"/>
    <w:qFormat/>
    <w:rsid w:val="00D6509D"/>
    <w:pPr>
      <w:widowControl w:val="0"/>
      <w:spacing w:before="120" w:after="120" w:line="240" w:lineRule="auto"/>
      <w:jc w:val="both"/>
    </w:pPr>
    <w:rPr>
      <w:rFonts w:ascii="Times New Roman" w:eastAsia="Times New Roman" w:hAnsi="Times New Roman" w:cs="Times New Roman"/>
      <w:szCs w:val="24"/>
      <w:lang w:eastAsia="en-US"/>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D6509D"/>
    <w:rPr>
      <w:b/>
      <w:color w:val="CE3736"/>
      <w:sz w:val="36"/>
      <w:szCs w:val="30"/>
    </w:rPr>
  </w:style>
  <w:style w:type="paragraph" w:styleId="Pedmtkomente">
    <w:name w:val="annotation subject"/>
    <w:basedOn w:val="Textkomente"/>
    <w:next w:val="Textkomente"/>
    <w:link w:val="PedmtkomenteChar"/>
    <w:uiPriority w:val="99"/>
    <w:semiHidden/>
    <w:unhideWhenUsed/>
    <w:rsid w:val="00C4008B"/>
    <w:rPr>
      <w:rFonts w:ascii="Arial" w:eastAsia="Open Sans" w:hAnsi="Arial" w:cs="Open Sans"/>
      <w:b/>
      <w:bCs/>
    </w:rPr>
  </w:style>
  <w:style w:type="character" w:customStyle="1" w:styleId="PedmtkomenteChar">
    <w:name w:val="Předmět komentáře Char"/>
    <w:basedOn w:val="TextkomenteChar"/>
    <w:link w:val="Pedmtkomente"/>
    <w:uiPriority w:val="99"/>
    <w:semiHidden/>
    <w:rsid w:val="00C4008B"/>
    <w:rPr>
      <w:rFonts w:ascii="Times New Roman" w:eastAsia="Times New Roman" w:hAnsi="Times New Roman" w:cs="Times New Roman"/>
      <w:b/>
      <w:bCs/>
      <w:sz w:val="20"/>
      <w:szCs w:val="20"/>
    </w:rPr>
  </w:style>
  <w:style w:type="paragraph" w:styleId="Revize">
    <w:name w:val="Revision"/>
    <w:hidden/>
    <w:uiPriority w:val="99"/>
    <w:semiHidden/>
    <w:rsid w:val="005055B4"/>
    <w:pPr>
      <w:spacing w:line="240" w:lineRule="auto"/>
    </w:pPr>
  </w:style>
  <w:style w:type="paragraph" w:customStyle="1" w:styleId="pf0">
    <w:name w:val="pf0"/>
    <w:basedOn w:val="Normln"/>
    <w:rsid w:val="00307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npsmoodstavce"/>
    <w:rsid w:val="00307776"/>
    <w:rPr>
      <w:rFonts w:ascii="Segoe UI" w:hAnsi="Segoe UI" w:cs="Segoe UI" w:hint="default"/>
      <w:sz w:val="18"/>
      <w:szCs w:val="18"/>
    </w:rPr>
  </w:style>
  <w:style w:type="paragraph" w:styleId="Normlnweb">
    <w:name w:val="Normal (Web)"/>
    <w:basedOn w:val="Normln"/>
    <w:uiPriority w:val="99"/>
    <w:unhideWhenUsed/>
    <w:rsid w:val="00CA04A0"/>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2789">
      <w:bodyDiv w:val="1"/>
      <w:marLeft w:val="0"/>
      <w:marRight w:val="0"/>
      <w:marTop w:val="0"/>
      <w:marBottom w:val="0"/>
      <w:divBdr>
        <w:top w:val="none" w:sz="0" w:space="0" w:color="auto"/>
        <w:left w:val="none" w:sz="0" w:space="0" w:color="auto"/>
        <w:bottom w:val="none" w:sz="0" w:space="0" w:color="auto"/>
        <w:right w:val="none" w:sz="0" w:space="0" w:color="auto"/>
      </w:divBdr>
    </w:div>
    <w:div w:id="439375819">
      <w:bodyDiv w:val="1"/>
      <w:marLeft w:val="0"/>
      <w:marRight w:val="0"/>
      <w:marTop w:val="0"/>
      <w:marBottom w:val="0"/>
      <w:divBdr>
        <w:top w:val="none" w:sz="0" w:space="0" w:color="auto"/>
        <w:left w:val="none" w:sz="0" w:space="0" w:color="auto"/>
        <w:bottom w:val="none" w:sz="0" w:space="0" w:color="auto"/>
        <w:right w:val="none" w:sz="0" w:space="0" w:color="auto"/>
      </w:divBdr>
    </w:div>
    <w:div w:id="556278244">
      <w:bodyDiv w:val="1"/>
      <w:marLeft w:val="0"/>
      <w:marRight w:val="0"/>
      <w:marTop w:val="0"/>
      <w:marBottom w:val="0"/>
      <w:divBdr>
        <w:top w:val="none" w:sz="0" w:space="0" w:color="auto"/>
        <w:left w:val="none" w:sz="0" w:space="0" w:color="auto"/>
        <w:bottom w:val="none" w:sz="0" w:space="0" w:color="auto"/>
        <w:right w:val="none" w:sz="0" w:space="0" w:color="auto"/>
      </w:divBdr>
    </w:div>
    <w:div w:id="696850711">
      <w:bodyDiv w:val="1"/>
      <w:marLeft w:val="0"/>
      <w:marRight w:val="0"/>
      <w:marTop w:val="0"/>
      <w:marBottom w:val="0"/>
      <w:divBdr>
        <w:top w:val="none" w:sz="0" w:space="0" w:color="auto"/>
        <w:left w:val="none" w:sz="0" w:space="0" w:color="auto"/>
        <w:bottom w:val="none" w:sz="0" w:space="0" w:color="auto"/>
        <w:right w:val="none" w:sz="0" w:space="0" w:color="auto"/>
      </w:divBdr>
    </w:div>
    <w:div w:id="744259517">
      <w:bodyDiv w:val="1"/>
      <w:marLeft w:val="0"/>
      <w:marRight w:val="0"/>
      <w:marTop w:val="0"/>
      <w:marBottom w:val="0"/>
      <w:divBdr>
        <w:top w:val="none" w:sz="0" w:space="0" w:color="auto"/>
        <w:left w:val="none" w:sz="0" w:space="0" w:color="auto"/>
        <w:bottom w:val="none" w:sz="0" w:space="0" w:color="auto"/>
        <w:right w:val="none" w:sz="0" w:space="0" w:color="auto"/>
      </w:divBdr>
    </w:div>
    <w:div w:id="873999874">
      <w:bodyDiv w:val="1"/>
      <w:marLeft w:val="0"/>
      <w:marRight w:val="0"/>
      <w:marTop w:val="0"/>
      <w:marBottom w:val="0"/>
      <w:divBdr>
        <w:top w:val="none" w:sz="0" w:space="0" w:color="auto"/>
        <w:left w:val="none" w:sz="0" w:space="0" w:color="auto"/>
        <w:bottom w:val="none" w:sz="0" w:space="0" w:color="auto"/>
        <w:right w:val="none" w:sz="0" w:space="0" w:color="auto"/>
      </w:divBdr>
    </w:div>
    <w:div w:id="894969360">
      <w:bodyDiv w:val="1"/>
      <w:marLeft w:val="0"/>
      <w:marRight w:val="0"/>
      <w:marTop w:val="0"/>
      <w:marBottom w:val="0"/>
      <w:divBdr>
        <w:top w:val="none" w:sz="0" w:space="0" w:color="auto"/>
        <w:left w:val="none" w:sz="0" w:space="0" w:color="auto"/>
        <w:bottom w:val="none" w:sz="0" w:space="0" w:color="auto"/>
        <w:right w:val="none" w:sz="0" w:space="0" w:color="auto"/>
      </w:divBdr>
    </w:div>
    <w:div w:id="1067649878">
      <w:bodyDiv w:val="1"/>
      <w:marLeft w:val="0"/>
      <w:marRight w:val="0"/>
      <w:marTop w:val="0"/>
      <w:marBottom w:val="0"/>
      <w:divBdr>
        <w:top w:val="none" w:sz="0" w:space="0" w:color="auto"/>
        <w:left w:val="none" w:sz="0" w:space="0" w:color="auto"/>
        <w:bottom w:val="none" w:sz="0" w:space="0" w:color="auto"/>
        <w:right w:val="none" w:sz="0" w:space="0" w:color="auto"/>
      </w:divBdr>
    </w:div>
    <w:div w:id="1921452148">
      <w:bodyDiv w:val="1"/>
      <w:marLeft w:val="0"/>
      <w:marRight w:val="0"/>
      <w:marTop w:val="0"/>
      <w:marBottom w:val="0"/>
      <w:divBdr>
        <w:top w:val="none" w:sz="0" w:space="0" w:color="auto"/>
        <w:left w:val="none" w:sz="0" w:space="0" w:color="auto"/>
        <w:bottom w:val="none" w:sz="0" w:space="0" w:color="auto"/>
        <w:right w:val="none" w:sz="0" w:space="0" w:color="auto"/>
      </w:divBdr>
    </w:div>
    <w:div w:id="2067872059">
      <w:bodyDiv w:val="1"/>
      <w:marLeft w:val="0"/>
      <w:marRight w:val="0"/>
      <w:marTop w:val="0"/>
      <w:marBottom w:val="0"/>
      <w:divBdr>
        <w:top w:val="none" w:sz="0" w:space="0" w:color="auto"/>
        <w:left w:val="none" w:sz="0" w:space="0" w:color="auto"/>
        <w:bottom w:val="none" w:sz="0" w:space="0" w:color="auto"/>
        <w:right w:val="none" w:sz="0" w:space="0" w:color="auto"/>
      </w:divBdr>
    </w:div>
    <w:div w:id="2095397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30E4-9DED-4BAF-9F15-FAE9D55E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2355</Words>
  <Characters>13900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Jan Bayer</cp:lastModifiedBy>
  <cp:revision>3</cp:revision>
  <cp:lastPrinted>2023-03-08T09:51:00Z</cp:lastPrinted>
  <dcterms:created xsi:type="dcterms:W3CDTF">2024-09-24T10:34:00Z</dcterms:created>
  <dcterms:modified xsi:type="dcterms:W3CDTF">2024-09-24T10:35:00Z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4b329683bad739e3385c288f7c25d20af6227f4a1a7b583e228f246940278966</vt:lpwstr>
  </property>
  <property fmtid="{D5CDD505-2E9C-101B-9397-08002B2CF9AE}" pid="3" name="MSIP_Label_f15a8442-68f3-4087-8f05-d564bed44e92_Enabled">
    <vt:lpwstr>true</vt:lpwstr>
  </property>
  <property fmtid="{D5CDD505-2E9C-101B-9397-08002B2CF9AE}" pid="4" name="MSIP_Label_f15a8442-68f3-4087-8f05-d564bed44e92_SetDate">
    <vt:lpwstr>2024-08-14T15:06:15Z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069ed6a3-90dc-4255-9aae-76a11d9afc6c</vt:lpwstr>
  </property>
  <property fmtid="{D5CDD505-2E9C-101B-9397-08002B2CF9AE}" pid="9" name="MSIP_Label_f15a8442-68f3-4087-8f05-d564bed44e92_ContentBits">
    <vt:lpwstr>0</vt:lpwstr>
  </property>
</Properties>
</file>