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DBC4" w14:textId="77777777" w:rsidR="00D6509D" w:rsidRPr="00D23583" w:rsidRDefault="00D6509D" w:rsidP="00D6509D">
      <w:pPr>
        <w:spacing w:before="120" w:after="120" w:line="240" w:lineRule="auto"/>
        <w:jc w:val="right"/>
        <w:rPr>
          <w:rFonts w:cs="Arial"/>
          <w:b/>
          <w:color w:val="CE3736"/>
          <w:sz w:val="32"/>
          <w:szCs w:val="32"/>
        </w:rPr>
      </w:pPr>
      <w:r w:rsidRPr="00D23583">
        <w:rPr>
          <w:rFonts w:cs="Arial"/>
          <w:b/>
          <w:color w:val="CE3736"/>
          <w:sz w:val="32"/>
          <w:szCs w:val="32"/>
        </w:rPr>
        <w:t xml:space="preserve">DODATEK Č. 1 </w:t>
      </w:r>
    </w:p>
    <w:p w14:paraId="2C1D011A" w14:textId="6B7FCCD6" w:rsidR="005C6E7C" w:rsidRPr="00D23583" w:rsidRDefault="00D6509D" w:rsidP="00D6509D">
      <w:pPr>
        <w:spacing w:before="120" w:after="120" w:line="240" w:lineRule="auto"/>
        <w:jc w:val="right"/>
        <w:rPr>
          <w:rFonts w:cs="Arial"/>
          <w:sz w:val="32"/>
          <w:szCs w:val="32"/>
        </w:rPr>
      </w:pPr>
      <w:r w:rsidRPr="00D23583">
        <w:rPr>
          <w:rFonts w:cs="Arial"/>
          <w:b/>
          <w:color w:val="CE3736"/>
          <w:sz w:val="32"/>
          <w:szCs w:val="32"/>
        </w:rPr>
        <w:t>KE SMLOUVĚ O PROVEDENÍ ANALÝZY</w:t>
      </w:r>
    </w:p>
    <w:p w14:paraId="6FBFFCF6" w14:textId="7889CF91" w:rsidR="00F71A84" w:rsidRDefault="00270535" w:rsidP="00D6509D">
      <w:pPr>
        <w:spacing w:before="120" w:after="120" w:line="240" w:lineRule="auto"/>
        <w:rPr>
          <w:rFonts w:cs="Arial"/>
        </w:rPr>
      </w:pPr>
      <w:r w:rsidRPr="00D6509D">
        <w:rPr>
          <w:rFonts w:cs="Arial"/>
        </w:rPr>
        <w:t xml:space="preserve"> </w:t>
      </w:r>
      <w:r w:rsidR="005055B4">
        <w:rPr>
          <w:rFonts w:cs="Arial"/>
        </w:rPr>
        <w:tab/>
      </w:r>
      <w:r w:rsidR="005055B4">
        <w:rPr>
          <w:rFonts w:cs="Arial"/>
        </w:rPr>
        <w:tab/>
      </w:r>
      <w:r w:rsidR="005055B4">
        <w:rPr>
          <w:rFonts w:cs="Arial"/>
        </w:rPr>
        <w:tab/>
      </w:r>
      <w:r w:rsidR="005055B4">
        <w:rPr>
          <w:rFonts w:cs="Arial"/>
        </w:rPr>
        <w:tab/>
      </w:r>
      <w:r w:rsidR="005055B4">
        <w:rPr>
          <w:rFonts w:cs="Arial"/>
        </w:rPr>
        <w:tab/>
      </w:r>
      <w:r w:rsidR="005055B4">
        <w:rPr>
          <w:rFonts w:cs="Arial"/>
        </w:rPr>
        <w:tab/>
      </w:r>
      <w:r w:rsidR="005055B4">
        <w:rPr>
          <w:rFonts w:cs="Arial"/>
        </w:rPr>
        <w:tab/>
      </w:r>
    </w:p>
    <w:p w14:paraId="2D161D68" w14:textId="5E6A2B5E" w:rsidR="005055B4" w:rsidRPr="00D6509D" w:rsidRDefault="005055B4" w:rsidP="00D6509D">
      <w:pPr>
        <w:spacing w:before="120"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Číslo jednací: </w:t>
      </w:r>
      <w:r w:rsidR="00EF1EB1">
        <w:rPr>
          <w:b/>
          <w:bCs/>
        </w:rPr>
        <w:t>NTK/675/2024</w:t>
      </w:r>
    </w:p>
    <w:p w14:paraId="33586440" w14:textId="77777777" w:rsidR="00F71A84" w:rsidRPr="00D6509D" w:rsidRDefault="00F71A84" w:rsidP="00D6509D">
      <w:pPr>
        <w:spacing w:before="120" w:after="120" w:line="240" w:lineRule="auto"/>
        <w:rPr>
          <w:rFonts w:cs="Arial"/>
        </w:rPr>
      </w:pPr>
    </w:p>
    <w:p w14:paraId="44F73A5F" w14:textId="77777777" w:rsidR="00D6509D" w:rsidRPr="00D6509D" w:rsidRDefault="00D6509D" w:rsidP="00D6509D">
      <w:pPr>
        <w:spacing w:before="120" w:after="120" w:line="240" w:lineRule="auto"/>
        <w:jc w:val="center"/>
        <w:rPr>
          <w:rFonts w:cs="Arial"/>
        </w:rPr>
      </w:pPr>
      <w:r w:rsidRPr="00D6509D">
        <w:rPr>
          <w:rFonts w:cs="Arial"/>
        </w:rPr>
        <w:t>uzavřený mezi</w:t>
      </w:r>
    </w:p>
    <w:p w14:paraId="5B871D8F" w14:textId="77777777" w:rsidR="00D6509D" w:rsidRPr="00D6509D" w:rsidRDefault="00D6509D" w:rsidP="00D6509D">
      <w:pPr>
        <w:spacing w:before="120" w:after="120" w:line="240" w:lineRule="auto"/>
        <w:jc w:val="center"/>
        <w:rPr>
          <w:rFonts w:cs="Arial"/>
        </w:rPr>
      </w:pPr>
    </w:p>
    <w:p w14:paraId="6985E8FD" w14:textId="77777777" w:rsidR="00D6509D" w:rsidRPr="00D6509D" w:rsidRDefault="00D6509D" w:rsidP="00D6509D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cs="Arial"/>
          <w:b/>
          <w:szCs w:val="20"/>
        </w:rPr>
      </w:pPr>
      <w:r w:rsidRPr="00D6509D">
        <w:rPr>
          <w:rFonts w:cs="Arial"/>
          <w:b/>
          <w:szCs w:val="20"/>
        </w:rPr>
        <w:t>Národní technická knihovna</w:t>
      </w:r>
    </w:p>
    <w:p w14:paraId="51481D48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státní příspěvková organizace zřízená Ministerstvem školství, mládeže a tělovýchovy</w:t>
      </w:r>
    </w:p>
    <w:p w14:paraId="56983829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se sídlem Technická 6/2710, 160 80 Praha 6</w:t>
      </w:r>
    </w:p>
    <w:p w14:paraId="28AF510A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IČO: 61387142</w:t>
      </w:r>
    </w:p>
    <w:p w14:paraId="68C4C5CC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DIČ: CZ61387142</w:t>
      </w:r>
    </w:p>
    <w:p w14:paraId="5FE502CB" w14:textId="052ED0D1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 xml:space="preserve">Zastoupená: </w:t>
      </w:r>
      <w:r w:rsidR="0030396D">
        <w:rPr>
          <w:rFonts w:cs="Arial"/>
          <w:i/>
          <w:color w:val="000000"/>
          <w:szCs w:val="20"/>
        </w:rPr>
        <w:t>redigováno</w:t>
      </w:r>
    </w:p>
    <w:p w14:paraId="6FA8FDDC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ID DS: syd69w9</w:t>
      </w:r>
    </w:p>
    <w:p w14:paraId="411FD224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</w:p>
    <w:p w14:paraId="7CCD743C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(„</w:t>
      </w:r>
      <w:r w:rsidRPr="00D6509D">
        <w:rPr>
          <w:rFonts w:cs="Arial"/>
          <w:b/>
          <w:color w:val="000000"/>
          <w:szCs w:val="20"/>
        </w:rPr>
        <w:t>Objednatel</w:t>
      </w:r>
      <w:r w:rsidRPr="00D6509D">
        <w:rPr>
          <w:rFonts w:cs="Arial"/>
          <w:color w:val="000000"/>
          <w:szCs w:val="20"/>
        </w:rPr>
        <w:t>“)</w:t>
      </w:r>
    </w:p>
    <w:p w14:paraId="70F114BC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color w:val="000000"/>
          <w:szCs w:val="20"/>
        </w:rPr>
        <w:t>a</w:t>
      </w:r>
    </w:p>
    <w:p w14:paraId="6BB562B6" w14:textId="77777777" w:rsidR="00D6509D" w:rsidRPr="00D6509D" w:rsidRDefault="00D6509D" w:rsidP="00D6509D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cs="Arial"/>
          <w:b/>
          <w:szCs w:val="20"/>
        </w:rPr>
      </w:pPr>
      <w:bookmarkStart w:id="0" w:name="_Hlk158800176"/>
      <w:proofErr w:type="spellStart"/>
      <w:r w:rsidRPr="00D6509D">
        <w:rPr>
          <w:rFonts w:eastAsia="Arial" w:cs="Arial"/>
          <w:b/>
        </w:rPr>
        <w:t>MoreBrains</w:t>
      </w:r>
      <w:proofErr w:type="spellEnd"/>
      <w:r w:rsidRPr="00D6509D">
        <w:rPr>
          <w:rFonts w:eastAsia="Arial" w:cs="Arial"/>
          <w:b/>
        </w:rPr>
        <w:t xml:space="preserve"> </w:t>
      </w:r>
      <w:proofErr w:type="spellStart"/>
      <w:r w:rsidRPr="00D6509D">
        <w:rPr>
          <w:rFonts w:eastAsia="Arial" w:cs="Arial"/>
          <w:b/>
        </w:rPr>
        <w:t>Cooperative</w:t>
      </w:r>
      <w:proofErr w:type="spellEnd"/>
      <w:r w:rsidRPr="00D6509D">
        <w:rPr>
          <w:rFonts w:eastAsia="Arial" w:cs="Arial"/>
          <w:b/>
        </w:rPr>
        <w:t xml:space="preserve"> Ltd</w:t>
      </w:r>
      <w:bookmarkEnd w:id="0"/>
    </w:p>
    <w:p w14:paraId="2898C80B" w14:textId="77777777" w:rsidR="00D6509D" w:rsidRPr="003E6033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3E6033">
        <w:rPr>
          <w:rFonts w:cs="Arial"/>
          <w:color w:val="000000"/>
          <w:szCs w:val="20"/>
        </w:rPr>
        <w:t>společnost založená podle práva Anglie a Walesu</w:t>
      </w:r>
    </w:p>
    <w:p w14:paraId="083F2571" w14:textId="77777777" w:rsidR="00D6509D" w:rsidRPr="003E6033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3E6033">
        <w:rPr>
          <w:rFonts w:cs="Arial"/>
          <w:color w:val="000000"/>
          <w:szCs w:val="20"/>
        </w:rPr>
        <w:t xml:space="preserve">se sídlem na adrese </w:t>
      </w:r>
      <w:bookmarkStart w:id="1" w:name="_Hlk158801287"/>
      <w:bookmarkStart w:id="2" w:name="_Hlk158800211"/>
      <w:proofErr w:type="spellStart"/>
      <w:r w:rsidRPr="003E6033">
        <w:rPr>
          <w:rFonts w:eastAsia="Arial" w:cs="Arial"/>
        </w:rPr>
        <w:t>Appledram</w:t>
      </w:r>
      <w:proofErr w:type="spellEnd"/>
      <w:r w:rsidRPr="003E6033">
        <w:rPr>
          <w:rFonts w:eastAsia="Arial" w:cs="Arial"/>
        </w:rPr>
        <w:t xml:space="preserve"> </w:t>
      </w:r>
      <w:proofErr w:type="spellStart"/>
      <w:r w:rsidRPr="003E6033">
        <w:rPr>
          <w:rFonts w:eastAsia="Arial" w:cs="Arial"/>
        </w:rPr>
        <w:t>Barns</w:t>
      </w:r>
      <w:proofErr w:type="spellEnd"/>
      <w:r w:rsidRPr="003E6033">
        <w:rPr>
          <w:rFonts w:eastAsia="Arial" w:cs="Arial"/>
        </w:rPr>
        <w:t xml:space="preserve">, </w:t>
      </w:r>
      <w:proofErr w:type="spellStart"/>
      <w:r w:rsidRPr="003E6033">
        <w:rPr>
          <w:rFonts w:eastAsia="Arial" w:cs="Arial"/>
        </w:rPr>
        <w:t>Birdham</w:t>
      </w:r>
      <w:proofErr w:type="spellEnd"/>
      <w:r w:rsidRPr="003E6033">
        <w:rPr>
          <w:rFonts w:eastAsia="Arial" w:cs="Arial"/>
        </w:rPr>
        <w:t xml:space="preserve"> </w:t>
      </w:r>
      <w:proofErr w:type="spellStart"/>
      <w:r w:rsidRPr="003E6033">
        <w:rPr>
          <w:rFonts w:eastAsia="Arial" w:cs="Arial"/>
        </w:rPr>
        <w:t>Road</w:t>
      </w:r>
      <w:proofErr w:type="spellEnd"/>
      <w:r w:rsidRPr="003E6033">
        <w:rPr>
          <w:rFonts w:eastAsia="Arial" w:cs="Arial"/>
        </w:rPr>
        <w:t xml:space="preserve">, </w:t>
      </w:r>
      <w:proofErr w:type="spellStart"/>
      <w:r w:rsidRPr="003E6033">
        <w:rPr>
          <w:rFonts w:eastAsia="Arial" w:cs="Arial"/>
        </w:rPr>
        <w:t>Chichester</w:t>
      </w:r>
      <w:bookmarkEnd w:id="1"/>
      <w:proofErr w:type="spellEnd"/>
      <w:r w:rsidRPr="003E6033">
        <w:rPr>
          <w:rFonts w:eastAsia="Arial" w:cs="Arial"/>
        </w:rPr>
        <w:t>, Anglie, PO20 7EQ, Spojené království</w:t>
      </w:r>
      <w:bookmarkEnd w:id="2"/>
    </w:p>
    <w:p w14:paraId="3AD46C54" w14:textId="77777777" w:rsidR="007811F7" w:rsidRPr="003E6033" w:rsidRDefault="00D6509D" w:rsidP="007811F7">
      <w:pPr>
        <w:pStyle w:val="Normlnweb"/>
        <w:spacing w:before="120" w:beforeAutospacing="0" w:after="120" w:afterAutospacing="0"/>
        <w:ind w:left="567"/>
        <w:rPr>
          <w:rFonts w:ascii="Arial" w:hAnsi="Arial" w:cs="Arial"/>
          <w:sz w:val="22"/>
          <w:szCs w:val="22"/>
        </w:rPr>
      </w:pPr>
      <w:r w:rsidRPr="003E6033">
        <w:rPr>
          <w:rFonts w:ascii="Arial" w:hAnsi="Arial" w:cs="Arial"/>
          <w:color w:val="000000"/>
          <w:sz w:val="22"/>
          <w:szCs w:val="22"/>
        </w:rPr>
        <w:t>IČO:</w:t>
      </w:r>
      <w:r w:rsidR="007811F7" w:rsidRPr="003E6033">
        <w:rPr>
          <w:rFonts w:ascii="Arial" w:hAnsi="Arial" w:cs="Arial"/>
          <w:color w:val="000000"/>
          <w:sz w:val="22"/>
          <w:szCs w:val="22"/>
        </w:rPr>
        <w:t xml:space="preserve"> 12929631</w:t>
      </w:r>
    </w:p>
    <w:p w14:paraId="0DB09566" w14:textId="77777777" w:rsidR="00D6509D" w:rsidRPr="003E6033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3E6033">
        <w:rPr>
          <w:rFonts w:cs="Arial"/>
          <w:color w:val="000000"/>
          <w:szCs w:val="20"/>
        </w:rPr>
        <w:t>zapsaná v obchodním rejstříku</w:t>
      </w:r>
      <w:r w:rsidRPr="003E6033">
        <w:rPr>
          <w:rFonts w:cs="Arial"/>
          <w:i/>
          <w:color w:val="000000"/>
          <w:szCs w:val="20"/>
        </w:rPr>
        <w:t xml:space="preserve"> </w:t>
      </w:r>
      <w:r w:rsidRPr="003E6033">
        <w:rPr>
          <w:rFonts w:cs="Arial"/>
          <w:color w:val="000000"/>
          <w:szCs w:val="20"/>
        </w:rPr>
        <w:t>vedeném</w:t>
      </w:r>
      <w:r w:rsidRPr="003E6033">
        <w:rPr>
          <w:rFonts w:cs="Arial"/>
          <w:i/>
          <w:color w:val="000000"/>
          <w:szCs w:val="20"/>
        </w:rPr>
        <w:t xml:space="preserve"> </w:t>
      </w:r>
      <w:r w:rsidRPr="003E6033">
        <w:rPr>
          <w:rFonts w:cs="Arial"/>
          <w:color w:val="000000"/>
          <w:szCs w:val="20"/>
        </w:rPr>
        <w:t xml:space="preserve">u </w:t>
      </w:r>
      <w:proofErr w:type="spellStart"/>
      <w:r w:rsidRPr="003E6033">
        <w:rPr>
          <w:rFonts w:cs="Arial"/>
          <w:color w:val="000000"/>
          <w:szCs w:val="20"/>
        </w:rPr>
        <w:t>Companies</w:t>
      </w:r>
      <w:proofErr w:type="spellEnd"/>
      <w:r w:rsidRPr="003E6033">
        <w:rPr>
          <w:rFonts w:cs="Arial"/>
          <w:color w:val="000000"/>
          <w:szCs w:val="20"/>
        </w:rPr>
        <w:t xml:space="preserve"> House</w:t>
      </w:r>
      <w:r w:rsidRPr="003E6033">
        <w:rPr>
          <w:rFonts w:eastAsia="Arial" w:cs="Arial"/>
        </w:rPr>
        <w:t xml:space="preserve">, </w:t>
      </w:r>
      <w:proofErr w:type="spellStart"/>
      <w:r w:rsidRPr="003E6033">
        <w:rPr>
          <w:rFonts w:eastAsia="Arial" w:cs="Arial"/>
        </w:rPr>
        <w:t>Cardiff</w:t>
      </w:r>
      <w:proofErr w:type="spellEnd"/>
      <w:r w:rsidRPr="003E6033">
        <w:rPr>
          <w:rFonts w:eastAsia="Arial" w:cs="Arial"/>
        </w:rPr>
        <w:t>, Wales dne 5. 10. 2020</w:t>
      </w:r>
    </w:p>
    <w:p w14:paraId="4A602C5E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eastAsia="Arial" w:cs="Arial"/>
        </w:rPr>
      </w:pPr>
      <w:r w:rsidRPr="003E6033">
        <w:rPr>
          <w:rFonts w:cs="Arial"/>
          <w:smallCaps/>
          <w:color w:val="000000"/>
          <w:szCs w:val="20"/>
        </w:rPr>
        <w:t xml:space="preserve">DIČ: </w:t>
      </w:r>
      <w:r w:rsidRPr="003E6033">
        <w:rPr>
          <w:rFonts w:eastAsia="Arial" w:cs="Arial"/>
        </w:rPr>
        <w:t>GB382 7370</w:t>
      </w:r>
      <w:r w:rsidRPr="00D6509D">
        <w:rPr>
          <w:rFonts w:eastAsia="Arial" w:cs="Arial"/>
        </w:rPr>
        <w:t xml:space="preserve"> 76</w:t>
      </w:r>
    </w:p>
    <w:p w14:paraId="6692E278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eastAsia="Arial" w:cs="Arial"/>
        </w:rPr>
      </w:pPr>
    </w:p>
    <w:p w14:paraId="2C070B02" w14:textId="77777777" w:rsidR="00D6509D" w:rsidRPr="00D6509D" w:rsidRDefault="00D6509D" w:rsidP="00D650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cs="Arial"/>
          <w:color w:val="000000"/>
          <w:szCs w:val="20"/>
        </w:rPr>
      </w:pPr>
      <w:r w:rsidRPr="00D6509D">
        <w:rPr>
          <w:rFonts w:cs="Arial"/>
          <w:szCs w:val="20"/>
        </w:rPr>
        <w:t>(„</w:t>
      </w:r>
      <w:r w:rsidRPr="00D6509D">
        <w:rPr>
          <w:rFonts w:cs="Arial"/>
          <w:b/>
          <w:szCs w:val="20"/>
        </w:rPr>
        <w:t>Poskytovatel</w:t>
      </w:r>
      <w:r w:rsidRPr="00D6509D">
        <w:rPr>
          <w:rFonts w:cs="Arial"/>
          <w:szCs w:val="20"/>
        </w:rPr>
        <w:t>“)</w:t>
      </w:r>
    </w:p>
    <w:p w14:paraId="294F730D" w14:textId="77777777" w:rsidR="00D6509D" w:rsidRDefault="00D6509D" w:rsidP="00D6509D">
      <w:pPr>
        <w:pStyle w:val="Zkladntext"/>
        <w:rPr>
          <w:rFonts w:ascii="Arial" w:hAnsi="Arial" w:cs="Arial"/>
          <w:szCs w:val="22"/>
        </w:rPr>
      </w:pPr>
      <w:r w:rsidRPr="00D6509D">
        <w:rPr>
          <w:rFonts w:ascii="Arial" w:hAnsi="Arial" w:cs="Arial"/>
          <w:szCs w:val="22"/>
        </w:rPr>
        <w:t>(Objednatel a Poskytovatel dále společně označováni jen jako „</w:t>
      </w:r>
      <w:r w:rsidRPr="00D6509D">
        <w:rPr>
          <w:rFonts w:ascii="Arial" w:hAnsi="Arial" w:cs="Arial"/>
          <w:b/>
          <w:szCs w:val="22"/>
        </w:rPr>
        <w:t>Strany</w:t>
      </w:r>
      <w:r w:rsidRPr="00D6509D">
        <w:rPr>
          <w:rFonts w:ascii="Arial" w:hAnsi="Arial" w:cs="Arial"/>
          <w:szCs w:val="22"/>
        </w:rPr>
        <w:t>“, a každý jednotlivě jako „</w:t>
      </w:r>
      <w:r w:rsidRPr="00D6509D">
        <w:rPr>
          <w:rFonts w:ascii="Arial" w:hAnsi="Arial" w:cs="Arial"/>
          <w:b/>
          <w:szCs w:val="22"/>
        </w:rPr>
        <w:t>Strana</w:t>
      </w:r>
      <w:r w:rsidRPr="00D6509D">
        <w:rPr>
          <w:rFonts w:ascii="Arial" w:hAnsi="Arial" w:cs="Arial"/>
          <w:szCs w:val="22"/>
        </w:rPr>
        <w:t>")</w:t>
      </w:r>
    </w:p>
    <w:p w14:paraId="4CF9D7AB" w14:textId="77777777" w:rsidR="00D6509D" w:rsidRDefault="00D6509D" w:rsidP="00D6509D">
      <w:pPr>
        <w:pStyle w:val="Zkladntext"/>
        <w:rPr>
          <w:rFonts w:ascii="Arial" w:hAnsi="Arial" w:cs="Arial"/>
          <w:szCs w:val="22"/>
        </w:rPr>
      </w:pPr>
    </w:p>
    <w:p w14:paraId="5A14B5CA" w14:textId="5D77836D" w:rsidR="00D6509D" w:rsidRDefault="00D6509D" w:rsidP="00D6509D">
      <w:pPr>
        <w:pStyle w:val="Zkladntext"/>
        <w:rPr>
          <w:rFonts w:ascii="Arial" w:hAnsi="Arial" w:cs="Arial"/>
          <w:b/>
          <w:bCs/>
          <w:szCs w:val="22"/>
        </w:rPr>
      </w:pPr>
      <w:r w:rsidRPr="00D6509D">
        <w:rPr>
          <w:rFonts w:ascii="Arial" w:hAnsi="Arial" w:cs="Arial"/>
          <w:b/>
          <w:bCs/>
          <w:szCs w:val="22"/>
        </w:rPr>
        <w:t>PREAMBULE</w:t>
      </w:r>
    </w:p>
    <w:p w14:paraId="6A0FC0B7" w14:textId="77777777" w:rsidR="005470D9" w:rsidRPr="00D6509D" w:rsidRDefault="005470D9" w:rsidP="00D6509D">
      <w:pPr>
        <w:pStyle w:val="Zkladntext"/>
        <w:rPr>
          <w:rFonts w:ascii="Arial" w:hAnsi="Arial" w:cs="Arial"/>
          <w:b/>
          <w:bCs/>
          <w:szCs w:val="22"/>
        </w:rPr>
      </w:pPr>
    </w:p>
    <w:p w14:paraId="44E5F984" w14:textId="77777777" w:rsidR="00D6509D" w:rsidRPr="00D6509D" w:rsidRDefault="00D6509D" w:rsidP="00D6509D">
      <w:pPr>
        <w:pStyle w:val="Preambule"/>
        <w:widowControl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</w:rPr>
      </w:pPr>
      <w:r w:rsidRPr="00D6509D">
        <w:rPr>
          <w:rFonts w:ascii="Arial" w:hAnsi="Arial" w:cs="Arial"/>
        </w:rPr>
        <w:t xml:space="preserve">Strany uzavřely dne 20. 2. 2024 smlouvu na zpracování </w:t>
      </w:r>
      <w:proofErr w:type="spellStart"/>
      <w:r w:rsidRPr="00D6509D">
        <w:rPr>
          <w:rFonts w:ascii="Arial" w:hAnsi="Arial" w:cs="Arial"/>
        </w:rPr>
        <w:t>cost</w:t>
      </w:r>
      <w:proofErr w:type="spellEnd"/>
      <w:r w:rsidRPr="00D6509D">
        <w:rPr>
          <w:rFonts w:ascii="Arial" w:hAnsi="Arial" w:cs="Arial"/>
        </w:rPr>
        <w:t>-benefit analýzy týkající se vybraných perzistentních identifikátorů („</w:t>
      </w:r>
      <w:r w:rsidRPr="00D6509D">
        <w:rPr>
          <w:rFonts w:ascii="Arial" w:hAnsi="Arial" w:cs="Arial"/>
          <w:b/>
          <w:bCs/>
        </w:rPr>
        <w:t>PIDs</w:t>
      </w:r>
      <w:r w:rsidRPr="00D6509D">
        <w:rPr>
          <w:rFonts w:ascii="Arial" w:hAnsi="Arial" w:cs="Arial"/>
        </w:rPr>
        <w:t>“) v systémech výzkumných institucí a vysokých škol v České republice v rámci projektu CARDS („</w:t>
      </w:r>
      <w:r w:rsidRPr="00D6509D">
        <w:rPr>
          <w:rFonts w:ascii="Arial" w:hAnsi="Arial" w:cs="Arial"/>
          <w:b/>
          <w:bCs/>
        </w:rPr>
        <w:t>Smlouva</w:t>
      </w:r>
      <w:r w:rsidRPr="00D6509D">
        <w:rPr>
          <w:rFonts w:ascii="Arial" w:hAnsi="Arial" w:cs="Arial"/>
        </w:rPr>
        <w:t>“). Poskytovatel se Smlouvou zavázal provést analýzu, která bude vyhodnocovat potenciál PIDs, jejich implementaci a dalšího použití v prostředí VaVaI („</w:t>
      </w:r>
      <w:r w:rsidRPr="00D6509D">
        <w:rPr>
          <w:rFonts w:ascii="Arial" w:hAnsi="Arial" w:cs="Arial"/>
          <w:b/>
          <w:bCs/>
        </w:rPr>
        <w:t>Analýza</w:t>
      </w:r>
      <w:r w:rsidRPr="00D6509D">
        <w:rPr>
          <w:rFonts w:ascii="Arial" w:hAnsi="Arial" w:cs="Arial"/>
        </w:rPr>
        <w:t xml:space="preserve">”). Analýza má být provedena v souladu s harmonogramem dle Přílohy č. 2 Smlouvy a na základě požadavků Objednatele </w:t>
      </w:r>
      <w:r w:rsidRPr="00D6509D">
        <w:rPr>
          <w:rFonts w:ascii="Arial" w:hAnsi="Arial" w:cs="Arial"/>
        </w:rPr>
        <w:lastRenderedPageBreak/>
        <w:t>dle Přílohy č. 1 Smlouvy. Analýzu bude tvořit více dokumentů, jeden z nich je mj. i metodologie provedení Analýzy.</w:t>
      </w:r>
    </w:p>
    <w:p w14:paraId="40F80AB0" w14:textId="05812C57" w:rsidR="00DF1B02" w:rsidRDefault="00D6509D" w:rsidP="00D6509D">
      <w:pPr>
        <w:pStyle w:val="Preambule"/>
        <w:widowControl/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</w:rPr>
      </w:pPr>
      <w:r w:rsidRPr="00D6509D">
        <w:rPr>
          <w:rFonts w:ascii="Arial" w:hAnsi="Arial" w:cs="Arial"/>
        </w:rPr>
        <w:t xml:space="preserve">V rámci </w:t>
      </w:r>
      <w:r w:rsidR="00653481">
        <w:rPr>
          <w:rFonts w:ascii="Arial" w:hAnsi="Arial" w:cs="Arial"/>
        </w:rPr>
        <w:t>přípravy</w:t>
      </w:r>
      <w:r w:rsidR="00653481" w:rsidRPr="00D6509D">
        <w:rPr>
          <w:rFonts w:ascii="Arial" w:hAnsi="Arial" w:cs="Arial"/>
        </w:rPr>
        <w:t xml:space="preserve"> </w:t>
      </w:r>
      <w:r w:rsidRPr="00D6509D">
        <w:rPr>
          <w:rFonts w:ascii="Arial" w:hAnsi="Arial" w:cs="Arial"/>
        </w:rPr>
        <w:t xml:space="preserve">metodologie </w:t>
      </w:r>
      <w:r w:rsidR="00D22DD1">
        <w:rPr>
          <w:rFonts w:ascii="Arial" w:hAnsi="Arial" w:cs="Arial"/>
        </w:rPr>
        <w:t xml:space="preserve">Analýzy </w:t>
      </w:r>
      <w:r w:rsidRPr="00D6509D">
        <w:rPr>
          <w:rFonts w:ascii="Arial" w:hAnsi="Arial" w:cs="Arial"/>
        </w:rPr>
        <w:t xml:space="preserve">vyvstaly nové </w:t>
      </w:r>
      <w:r w:rsidR="00C2792B">
        <w:rPr>
          <w:rFonts w:ascii="Arial" w:hAnsi="Arial" w:cs="Arial"/>
        </w:rPr>
        <w:t>okolnosti</w:t>
      </w:r>
      <w:r w:rsidR="00307776">
        <w:rPr>
          <w:rFonts w:ascii="Arial" w:hAnsi="Arial" w:cs="Arial"/>
        </w:rPr>
        <w:t>,</w:t>
      </w:r>
      <w:r w:rsidR="00497EA3">
        <w:rPr>
          <w:rFonts w:ascii="Arial" w:hAnsi="Arial" w:cs="Arial"/>
        </w:rPr>
        <w:t xml:space="preserve"> </w:t>
      </w:r>
      <w:r w:rsidR="00307776">
        <w:rPr>
          <w:rFonts w:ascii="Arial" w:hAnsi="Arial" w:cs="Arial"/>
        </w:rPr>
        <w:t>zejména</w:t>
      </w:r>
      <w:r w:rsidRPr="00D6509D">
        <w:rPr>
          <w:rFonts w:ascii="Arial" w:hAnsi="Arial" w:cs="Arial"/>
        </w:rPr>
        <w:t xml:space="preserve"> ohledně </w:t>
      </w:r>
      <w:r w:rsidR="00653481">
        <w:rPr>
          <w:rFonts w:ascii="Arial" w:hAnsi="Arial" w:cs="Arial"/>
        </w:rPr>
        <w:t xml:space="preserve">dat </w:t>
      </w:r>
      <w:r w:rsidRPr="00D6509D">
        <w:rPr>
          <w:rFonts w:ascii="Arial" w:hAnsi="Arial" w:cs="Arial"/>
        </w:rPr>
        <w:t>evidovaných v</w:t>
      </w:r>
      <w:r w:rsidR="00653481">
        <w:rPr>
          <w:rFonts w:ascii="Arial" w:hAnsi="Arial" w:cs="Arial"/>
        </w:rPr>
        <w:t xml:space="preserve"> českých </w:t>
      </w:r>
      <w:r w:rsidRPr="00D6509D">
        <w:rPr>
          <w:rFonts w:ascii="Arial" w:hAnsi="Arial" w:cs="Arial"/>
        </w:rPr>
        <w:t>informačních systémech VaVa</w:t>
      </w:r>
      <w:r w:rsidR="00307776">
        <w:rPr>
          <w:rFonts w:ascii="Arial" w:hAnsi="Arial" w:cs="Arial"/>
        </w:rPr>
        <w:t>I</w:t>
      </w:r>
      <w:r w:rsidR="00653481">
        <w:rPr>
          <w:rFonts w:ascii="Arial" w:hAnsi="Arial" w:cs="Arial"/>
        </w:rPr>
        <w:t xml:space="preserve">, </w:t>
      </w:r>
      <w:r w:rsidR="003A1A6C">
        <w:rPr>
          <w:rFonts w:ascii="Arial" w:hAnsi="Arial" w:cs="Arial"/>
        </w:rPr>
        <w:t xml:space="preserve">a další aktivity podmiňující úspěšné provedení obou fází Analýzy, </w:t>
      </w:r>
      <w:r w:rsidRPr="00D6509D">
        <w:rPr>
          <w:rFonts w:ascii="Arial" w:hAnsi="Arial" w:cs="Arial"/>
        </w:rPr>
        <w:t>které Objednatel nemohl předpokládat</w:t>
      </w:r>
      <w:r w:rsidR="00B006E3">
        <w:rPr>
          <w:rFonts w:ascii="Arial" w:hAnsi="Arial" w:cs="Arial"/>
        </w:rPr>
        <w:t>,</w:t>
      </w:r>
      <w:r w:rsidRPr="00D6509D">
        <w:rPr>
          <w:rFonts w:ascii="Arial" w:hAnsi="Arial" w:cs="Arial"/>
        </w:rPr>
        <w:t xml:space="preserve"> a tedy zohlednit již v zadávacích podmínkách </w:t>
      </w:r>
      <w:r w:rsidR="000A1D6C">
        <w:rPr>
          <w:rFonts w:ascii="Arial" w:hAnsi="Arial" w:cs="Arial"/>
        </w:rPr>
        <w:t>výběrového</w:t>
      </w:r>
      <w:r w:rsidR="000A1D6C" w:rsidRPr="00D6509D">
        <w:rPr>
          <w:rFonts w:ascii="Arial" w:hAnsi="Arial" w:cs="Arial"/>
        </w:rPr>
        <w:t xml:space="preserve"> </w:t>
      </w:r>
      <w:r w:rsidRPr="00D6509D">
        <w:rPr>
          <w:rFonts w:ascii="Arial" w:hAnsi="Arial" w:cs="Arial"/>
        </w:rPr>
        <w:t xml:space="preserve">řízení na veřejnou zakázku, které předcházelo uzavření Smlouvy. </w:t>
      </w:r>
    </w:p>
    <w:p w14:paraId="308881CA" w14:textId="3F263E12" w:rsidR="00DF1B02" w:rsidRDefault="00DF1B02" w:rsidP="00DF1B02">
      <w:pPr>
        <w:pStyle w:val="Preambule"/>
        <w:widowControl/>
        <w:ind w:left="567"/>
        <w:rPr>
          <w:rFonts w:ascii="Arial" w:hAnsi="Arial" w:cs="Arial"/>
        </w:rPr>
      </w:pPr>
      <w:r>
        <w:rPr>
          <w:rFonts w:ascii="Arial" w:hAnsi="Arial" w:cs="Arial"/>
        </w:rPr>
        <w:t>Jedná se zejména o</w:t>
      </w:r>
      <w:r w:rsidR="00C2792B">
        <w:rPr>
          <w:rFonts w:ascii="Arial" w:hAnsi="Arial" w:cs="Arial"/>
        </w:rPr>
        <w:t xml:space="preserve"> zohlednění následujících nových okolností/skutečností</w:t>
      </w:r>
      <w:r w:rsidR="00914C47">
        <w:rPr>
          <w:rFonts w:ascii="Arial" w:hAnsi="Arial" w:cs="Arial"/>
        </w:rPr>
        <w:t>:</w:t>
      </w:r>
    </w:p>
    <w:p w14:paraId="31D0A112" w14:textId="30E28CC4" w:rsidR="00307776" w:rsidRPr="00307776" w:rsidRDefault="00307776" w:rsidP="00AC0535">
      <w:pPr>
        <w:pStyle w:val="pf0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07776">
        <w:rPr>
          <w:rStyle w:val="cf01"/>
          <w:rFonts w:ascii="Arial" w:hAnsi="Arial" w:cs="Arial"/>
          <w:b/>
          <w:bCs/>
          <w:sz w:val="22"/>
          <w:szCs w:val="22"/>
        </w:rPr>
        <w:t xml:space="preserve">Po identifikaci </w:t>
      </w:r>
      <w:proofErr w:type="spellStart"/>
      <w:r w:rsidRPr="00307776">
        <w:rPr>
          <w:rStyle w:val="cf01"/>
          <w:rFonts w:ascii="Arial" w:hAnsi="Arial" w:cs="Arial"/>
          <w:b/>
          <w:bCs/>
          <w:sz w:val="22"/>
          <w:szCs w:val="22"/>
        </w:rPr>
        <w:t>IS</w:t>
      </w:r>
      <w:proofErr w:type="spellEnd"/>
      <w:r w:rsidRPr="00307776">
        <w:rPr>
          <w:rStyle w:val="cf01"/>
          <w:rFonts w:ascii="Arial" w:hAnsi="Arial" w:cs="Arial"/>
          <w:b/>
          <w:bCs/>
          <w:sz w:val="22"/>
          <w:szCs w:val="22"/>
        </w:rPr>
        <w:t xml:space="preserve"> VaVaI jako klíčového zdroje dat pro Analýzu byl nezbytný podrobný rozbor dat</w:t>
      </w:r>
      <w:r w:rsidR="00C2792B">
        <w:rPr>
          <w:rStyle w:val="cf01"/>
          <w:rFonts w:ascii="Arial" w:hAnsi="Arial" w:cs="Arial"/>
          <w:b/>
          <w:bCs/>
          <w:sz w:val="22"/>
          <w:szCs w:val="22"/>
        </w:rPr>
        <w:t>, jejich porovnání se zdroji dostupnými v zahraničí</w:t>
      </w:r>
      <w:r w:rsidRPr="00307776">
        <w:rPr>
          <w:rStyle w:val="cf01"/>
          <w:rFonts w:ascii="Arial" w:hAnsi="Arial" w:cs="Arial"/>
          <w:b/>
          <w:bCs/>
          <w:sz w:val="22"/>
          <w:szCs w:val="22"/>
        </w:rPr>
        <w:t xml:space="preserve"> a ověření, že j</w:t>
      </w:r>
      <w:r w:rsidR="00C2792B">
        <w:rPr>
          <w:rStyle w:val="cf01"/>
          <w:rFonts w:ascii="Arial" w:hAnsi="Arial" w:cs="Arial"/>
          <w:b/>
          <w:bCs/>
          <w:sz w:val="22"/>
          <w:szCs w:val="22"/>
        </w:rPr>
        <w:t>s</w:t>
      </w:r>
      <w:r w:rsidRPr="00307776">
        <w:rPr>
          <w:rStyle w:val="cf01"/>
          <w:rFonts w:ascii="Arial" w:hAnsi="Arial" w:cs="Arial"/>
          <w:b/>
          <w:bCs/>
          <w:sz w:val="22"/>
          <w:szCs w:val="22"/>
        </w:rPr>
        <w:t>ou pro Analýzu plně dostačující a srozumitelná.</w:t>
      </w:r>
    </w:p>
    <w:p w14:paraId="79F35400" w14:textId="30A74112" w:rsidR="00A76B0F" w:rsidRPr="00A76B0F" w:rsidRDefault="00A76B0F" w:rsidP="00AC0535">
      <w:pPr>
        <w:pStyle w:val="pf0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A76B0F">
        <w:rPr>
          <w:rStyle w:val="cf01"/>
          <w:rFonts w:ascii="Arial" w:hAnsi="Arial" w:cs="Arial"/>
          <w:b/>
          <w:bCs/>
          <w:sz w:val="22"/>
          <w:szCs w:val="22"/>
        </w:rPr>
        <w:t xml:space="preserve">Pro úspěšné provedení </w:t>
      </w:r>
      <w:r>
        <w:rPr>
          <w:rStyle w:val="cf01"/>
          <w:rFonts w:ascii="Arial" w:hAnsi="Arial" w:cs="Arial"/>
          <w:b/>
          <w:bCs/>
          <w:sz w:val="22"/>
          <w:szCs w:val="22"/>
        </w:rPr>
        <w:t>F</w:t>
      </w:r>
      <w:r w:rsidRPr="00A76B0F">
        <w:rPr>
          <w:rStyle w:val="cf01"/>
          <w:rFonts w:ascii="Arial" w:hAnsi="Arial" w:cs="Arial"/>
          <w:b/>
          <w:bCs/>
          <w:sz w:val="22"/>
          <w:szCs w:val="22"/>
        </w:rPr>
        <w:t>áze</w:t>
      </w:r>
      <w:r>
        <w:rPr>
          <w:rStyle w:val="cf01"/>
          <w:rFonts w:ascii="Arial" w:hAnsi="Arial" w:cs="Arial"/>
          <w:b/>
          <w:bCs/>
          <w:sz w:val="22"/>
          <w:szCs w:val="22"/>
        </w:rPr>
        <w:t xml:space="preserve"> II</w:t>
      </w:r>
      <w:r w:rsidRPr="00A76B0F">
        <w:rPr>
          <w:rStyle w:val="cf01"/>
          <w:rFonts w:ascii="Arial" w:hAnsi="Arial" w:cs="Arial"/>
          <w:b/>
          <w:bCs/>
          <w:sz w:val="22"/>
          <w:szCs w:val="22"/>
        </w:rPr>
        <w:t xml:space="preserve"> Analýzy je nutné kvantifikovat aktuální stav implementace PIDs v ČR prostřednictvím průzkumu, který musí být proveden po </w:t>
      </w:r>
      <w:r>
        <w:rPr>
          <w:rStyle w:val="cf01"/>
          <w:rFonts w:ascii="Arial" w:hAnsi="Arial" w:cs="Arial"/>
          <w:b/>
          <w:bCs/>
          <w:sz w:val="22"/>
          <w:szCs w:val="22"/>
        </w:rPr>
        <w:t>F</w:t>
      </w:r>
      <w:r w:rsidRPr="00A76B0F">
        <w:rPr>
          <w:rStyle w:val="cf01"/>
          <w:rFonts w:ascii="Arial" w:hAnsi="Arial" w:cs="Arial"/>
          <w:b/>
          <w:bCs/>
          <w:sz w:val="22"/>
          <w:szCs w:val="22"/>
        </w:rPr>
        <w:t xml:space="preserve">ázi </w:t>
      </w:r>
      <w:r>
        <w:rPr>
          <w:rStyle w:val="cf01"/>
          <w:rFonts w:ascii="Arial" w:hAnsi="Arial" w:cs="Arial"/>
          <w:b/>
          <w:bCs/>
          <w:sz w:val="22"/>
          <w:szCs w:val="22"/>
        </w:rPr>
        <w:t xml:space="preserve">I </w:t>
      </w:r>
      <w:r w:rsidRPr="00A76B0F">
        <w:rPr>
          <w:rStyle w:val="cf01"/>
          <w:rFonts w:ascii="Arial" w:hAnsi="Arial" w:cs="Arial"/>
          <w:b/>
          <w:bCs/>
          <w:sz w:val="22"/>
          <w:szCs w:val="22"/>
        </w:rPr>
        <w:t xml:space="preserve">Analýzy a poté nejméně jednou před </w:t>
      </w:r>
      <w:r>
        <w:rPr>
          <w:rStyle w:val="cf01"/>
          <w:rFonts w:ascii="Arial" w:hAnsi="Arial" w:cs="Arial"/>
          <w:b/>
          <w:bCs/>
          <w:sz w:val="22"/>
          <w:szCs w:val="22"/>
        </w:rPr>
        <w:t xml:space="preserve">Fází </w:t>
      </w:r>
      <w:r w:rsidRPr="00A76B0F">
        <w:rPr>
          <w:rStyle w:val="cf01"/>
          <w:rFonts w:ascii="Arial" w:hAnsi="Arial" w:cs="Arial"/>
          <w:b/>
          <w:bCs/>
          <w:sz w:val="22"/>
          <w:szCs w:val="22"/>
        </w:rPr>
        <w:t>II. Poskytovatel konzultuje s Objednatelem obsah průzkumu tak, aby byl v souladu s nastavením metodologie Analýzy, a bude na něm spolupracovat mezi Fázi I a Fází II Analýzy.</w:t>
      </w:r>
    </w:p>
    <w:p w14:paraId="01963849" w14:textId="4AAB70D8" w:rsidR="003A1A6C" w:rsidRDefault="003A1A6C" w:rsidP="000A1D6C">
      <w:pPr>
        <w:pStyle w:val="Odstavecseseznamem"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  <w:lang w:eastAsia="en-US"/>
        </w:rPr>
        <w:t xml:space="preserve">Poskytovatel bude s Dodavatelem </w:t>
      </w:r>
      <w:r w:rsidR="00C2792B">
        <w:rPr>
          <w:rFonts w:cs="Arial"/>
          <w:b/>
          <w:bCs/>
          <w:color w:val="000000"/>
          <w:lang w:eastAsia="en-US"/>
        </w:rPr>
        <w:t xml:space="preserve">mezi Fázemi konzultovat </w:t>
      </w:r>
      <w:r>
        <w:rPr>
          <w:rFonts w:cs="Arial"/>
          <w:b/>
          <w:bCs/>
          <w:color w:val="000000"/>
          <w:lang w:eastAsia="en-US"/>
        </w:rPr>
        <w:t>strategii komunikace výsledků Analýzy, resp. její hlavní sdělení a srozumitelnost pro hlavní stakeholdery Objednatele</w:t>
      </w:r>
      <w:r w:rsidR="000A1D6C">
        <w:rPr>
          <w:rFonts w:cs="Arial"/>
          <w:b/>
          <w:bCs/>
          <w:color w:val="000000"/>
          <w:lang w:eastAsia="en-US"/>
        </w:rPr>
        <w:t xml:space="preserve">, včetně </w:t>
      </w:r>
      <w:r w:rsidR="00C2792B">
        <w:rPr>
          <w:rFonts w:cs="Arial"/>
          <w:b/>
          <w:bCs/>
          <w:color w:val="000000"/>
          <w:lang w:eastAsia="en-US"/>
        </w:rPr>
        <w:t xml:space="preserve">případných revizí textů, které shrnují a prezentují výsledky </w:t>
      </w:r>
      <w:r w:rsidR="000A1D6C">
        <w:rPr>
          <w:rFonts w:cs="Arial"/>
          <w:b/>
          <w:bCs/>
          <w:color w:val="000000"/>
          <w:lang w:eastAsia="en-US"/>
        </w:rPr>
        <w:t>Analýzy</w:t>
      </w:r>
      <w:r w:rsidR="00C2792B">
        <w:rPr>
          <w:rFonts w:cs="Arial"/>
          <w:b/>
          <w:bCs/>
          <w:color w:val="000000"/>
          <w:lang w:eastAsia="en-US"/>
        </w:rPr>
        <w:t>.</w:t>
      </w:r>
    </w:p>
    <w:p w14:paraId="70E9091B" w14:textId="2F74156B" w:rsidR="00D6509D" w:rsidRPr="00D6509D" w:rsidRDefault="00D6509D" w:rsidP="00490856">
      <w:pPr>
        <w:pStyle w:val="Preambule"/>
        <w:widowControl/>
        <w:ind w:left="567"/>
        <w:rPr>
          <w:rFonts w:ascii="Arial" w:hAnsi="Arial" w:cs="Arial"/>
        </w:rPr>
      </w:pPr>
      <w:r w:rsidRPr="00D6509D">
        <w:rPr>
          <w:rFonts w:ascii="Arial" w:hAnsi="Arial" w:cs="Arial"/>
        </w:rPr>
        <w:t xml:space="preserve">Tyto </w:t>
      </w:r>
      <w:r w:rsidR="00294047">
        <w:rPr>
          <w:rFonts w:ascii="Arial" w:hAnsi="Arial" w:cs="Arial"/>
        </w:rPr>
        <w:t>nové skutečnosti</w:t>
      </w:r>
      <w:r w:rsidR="00294047" w:rsidRPr="00D6509D">
        <w:rPr>
          <w:rFonts w:ascii="Arial" w:hAnsi="Arial" w:cs="Arial"/>
        </w:rPr>
        <w:t xml:space="preserve"> </w:t>
      </w:r>
      <w:r w:rsidRPr="00D6509D">
        <w:rPr>
          <w:rFonts w:ascii="Arial" w:hAnsi="Arial" w:cs="Arial"/>
        </w:rPr>
        <w:t xml:space="preserve">mají zásadní vliv na realizaci celého projektu a vyžadují další konzultace s Poskytovatelem, které budou mít vliv jak na cenu plnění ze Smlouvy, tak </w:t>
      </w:r>
      <w:r w:rsidR="000A1D6C">
        <w:rPr>
          <w:rFonts w:ascii="Arial" w:hAnsi="Arial" w:cs="Arial"/>
        </w:rPr>
        <w:t xml:space="preserve">na </w:t>
      </w:r>
      <w:r w:rsidRPr="00D6509D">
        <w:rPr>
          <w:rFonts w:ascii="Arial" w:hAnsi="Arial" w:cs="Arial"/>
        </w:rPr>
        <w:t xml:space="preserve">harmonogram I. Fáze Analýzy. </w:t>
      </w:r>
      <w:r w:rsidR="00DF1B02">
        <w:rPr>
          <w:rFonts w:ascii="Arial" w:hAnsi="Arial" w:cs="Arial"/>
        </w:rPr>
        <w:t>I. Fáze analýzy, resp. její plnění bylo</w:t>
      </w:r>
      <w:r w:rsidR="00897D02">
        <w:rPr>
          <w:rFonts w:ascii="Arial" w:hAnsi="Arial" w:cs="Arial"/>
        </w:rPr>
        <w:t xml:space="preserve"> částečně zpožděno ze strany NTK z důvodu realizace akce s názvem: PIDfest 11. – 13. června 2024, resp.</w:t>
      </w:r>
      <w:r w:rsidR="00914C47">
        <w:rPr>
          <w:rFonts w:ascii="Arial" w:hAnsi="Arial" w:cs="Arial"/>
        </w:rPr>
        <w:t xml:space="preserve"> alokování kapacit na</w:t>
      </w:r>
      <w:r w:rsidR="00897D02">
        <w:rPr>
          <w:rFonts w:ascii="Arial" w:hAnsi="Arial" w:cs="Arial"/>
        </w:rPr>
        <w:t xml:space="preserve"> přípravn</w:t>
      </w:r>
      <w:r w:rsidR="00914C47">
        <w:rPr>
          <w:rFonts w:ascii="Arial" w:hAnsi="Arial" w:cs="Arial"/>
        </w:rPr>
        <w:t>é práce</w:t>
      </w:r>
      <w:r w:rsidR="00897D02">
        <w:rPr>
          <w:rFonts w:ascii="Arial" w:hAnsi="Arial" w:cs="Arial"/>
        </w:rPr>
        <w:t xml:space="preserve"> </w:t>
      </w:r>
      <w:r w:rsidR="00914C47">
        <w:rPr>
          <w:rFonts w:ascii="Arial" w:hAnsi="Arial" w:cs="Arial"/>
        </w:rPr>
        <w:t xml:space="preserve">konference. </w:t>
      </w:r>
    </w:p>
    <w:p w14:paraId="370F5056" w14:textId="33DFE435" w:rsidR="00D6509D" w:rsidRPr="00490856" w:rsidRDefault="00D6509D" w:rsidP="00D6509D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490856">
        <w:rPr>
          <w:rFonts w:cs="Arial"/>
        </w:rPr>
        <w:t>Z tohoto důvodu se Strany rozhodly uzavřít tento dodatek č. 1 („</w:t>
      </w:r>
      <w:r w:rsidRPr="00490856">
        <w:rPr>
          <w:rFonts w:cs="Arial"/>
          <w:b/>
          <w:bCs/>
        </w:rPr>
        <w:t>Dodatek</w:t>
      </w:r>
      <w:r w:rsidRPr="00490856">
        <w:rPr>
          <w:rFonts w:cs="Arial"/>
        </w:rPr>
        <w:t xml:space="preserve">“), prostřednictvím kterého v souladu s čl. 15.1. Smlouvy mění některá smluvní ustanovení. Tyto změny jsou v souladu s čl. 5.8 pravidel pro zadávání a kontrolu veřejných zakázek financovaných z Operačního programu Jan Amos Komenský. Změna Smlouvy je </w:t>
      </w:r>
      <w:r w:rsidR="000A1D6C">
        <w:rPr>
          <w:rFonts w:cs="Arial"/>
        </w:rPr>
        <w:t>zároveň</w:t>
      </w:r>
      <w:r w:rsidR="000A1D6C" w:rsidRPr="00490856">
        <w:rPr>
          <w:rFonts w:cs="Arial"/>
        </w:rPr>
        <w:t xml:space="preserve"> </w:t>
      </w:r>
      <w:r w:rsidRPr="00490856">
        <w:rPr>
          <w:rFonts w:cs="Arial"/>
        </w:rPr>
        <w:t>v souladu s ustanovení</w:t>
      </w:r>
      <w:r w:rsidR="000A1D6C">
        <w:rPr>
          <w:rFonts w:cs="Arial"/>
        </w:rPr>
        <w:t>m</w:t>
      </w:r>
      <w:r w:rsidRPr="00490856">
        <w:rPr>
          <w:rFonts w:cs="Arial"/>
        </w:rPr>
        <w:t xml:space="preserve"> § 222 zákona č. 134/2016 Sb., o zadávání veřejných zakázek, ve znění pozdějších předpisů. Předmětné změny jsou v původním textu Smlouvy vyznačeny </w:t>
      </w:r>
      <w:r w:rsidRPr="00490856">
        <w:rPr>
          <w:rFonts w:cs="Arial"/>
          <w:b/>
          <w:bCs/>
        </w:rPr>
        <w:t>tučně</w:t>
      </w:r>
      <w:r w:rsidRPr="00490856">
        <w:rPr>
          <w:rFonts w:cs="Arial"/>
        </w:rPr>
        <w:t>.</w:t>
      </w:r>
    </w:p>
    <w:p w14:paraId="7F7365F3" w14:textId="4A3261B1" w:rsidR="00D6509D" w:rsidRPr="00D6509D" w:rsidRDefault="00D6509D" w:rsidP="00D6509D">
      <w:pPr>
        <w:pStyle w:val="Nadpis1"/>
        <w:keepNext/>
        <w:numPr>
          <w:ilvl w:val="3"/>
          <w:numId w:val="8"/>
        </w:numPr>
        <w:spacing w:before="240" w:line="240" w:lineRule="auto"/>
        <w:ind w:left="567" w:hanging="567"/>
        <w:jc w:val="both"/>
        <w:rPr>
          <w:rFonts w:eastAsia="Times New Roman" w:cs="Arial"/>
          <w:bCs/>
          <w:caps/>
          <w:color w:val="auto"/>
          <w:kern w:val="32"/>
          <w:sz w:val="22"/>
          <w:szCs w:val="32"/>
          <w:lang w:eastAsia="en-US"/>
        </w:rPr>
      </w:pPr>
      <w:r w:rsidRPr="00D6509D">
        <w:rPr>
          <w:rFonts w:eastAsia="Times New Roman" w:cs="Arial"/>
          <w:bCs/>
          <w:caps/>
          <w:color w:val="auto"/>
          <w:kern w:val="32"/>
          <w:sz w:val="22"/>
          <w:szCs w:val="32"/>
          <w:lang w:eastAsia="en-US"/>
        </w:rPr>
        <w:t>PŘEDMĚT DODATKU</w:t>
      </w:r>
    </w:p>
    <w:p w14:paraId="091B2A9E" w14:textId="77777777" w:rsidR="00D6509D" w:rsidRPr="00D6509D" w:rsidRDefault="00D6509D" w:rsidP="00D6509D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>Strany mění dosavadní znění čl. 3.1 Smlouvy následujícím způsobem:</w:t>
      </w:r>
    </w:p>
    <w:p w14:paraId="723EB54E" w14:textId="77777777" w:rsidR="00D6509D" w:rsidRPr="00D6509D" w:rsidRDefault="00D6509D" w:rsidP="00D6509D">
      <w:pPr>
        <w:pStyle w:val="Text11"/>
        <w:keepNext w:val="0"/>
        <w:rPr>
          <w:rFonts w:ascii="Arial" w:hAnsi="Arial" w:cs="Arial"/>
          <w:i/>
          <w:iCs/>
          <w:szCs w:val="22"/>
        </w:rPr>
      </w:pPr>
      <w:r w:rsidRPr="00D6509D">
        <w:rPr>
          <w:rFonts w:ascii="Arial" w:hAnsi="Arial" w:cs="Arial"/>
          <w:szCs w:val="22"/>
        </w:rPr>
        <w:t>„</w:t>
      </w:r>
      <w:bookmarkStart w:id="3" w:name="_Hlk167286616"/>
      <w:r w:rsidRPr="00D6509D">
        <w:rPr>
          <w:rFonts w:ascii="Arial" w:hAnsi="Arial" w:cs="Arial"/>
          <w:i/>
          <w:iCs/>
          <w:szCs w:val="22"/>
        </w:rPr>
        <w:t xml:space="preserve">Objednatel se zavazuje zaplatit Poskytovateli za řádně provedené Plnění cenu ve výši </w:t>
      </w:r>
      <w:r w:rsidRPr="00D6509D">
        <w:rPr>
          <w:rFonts w:ascii="Arial" w:hAnsi="Arial" w:cs="Arial"/>
          <w:b/>
          <w:bCs/>
          <w:i/>
          <w:iCs/>
          <w:szCs w:val="22"/>
        </w:rPr>
        <w:t>70 000 EUR</w:t>
      </w:r>
      <w:r w:rsidRPr="00D6509D">
        <w:rPr>
          <w:rFonts w:ascii="Arial" w:hAnsi="Arial" w:cs="Arial"/>
          <w:i/>
          <w:iCs/>
          <w:szCs w:val="22"/>
        </w:rPr>
        <w:t xml:space="preserve"> </w:t>
      </w:r>
      <w:r w:rsidRPr="00D6509D">
        <w:rPr>
          <w:rFonts w:ascii="Arial" w:hAnsi="Arial" w:cs="Arial"/>
          <w:b/>
          <w:bCs/>
          <w:i/>
          <w:iCs/>
          <w:szCs w:val="22"/>
        </w:rPr>
        <w:t>(slovy: sedmdesát tisíc eur)</w:t>
      </w:r>
      <w:r w:rsidRPr="00D6509D">
        <w:rPr>
          <w:rFonts w:ascii="Arial" w:hAnsi="Arial" w:cs="Arial"/>
          <w:i/>
          <w:iCs/>
          <w:szCs w:val="22"/>
        </w:rPr>
        <w:t xml:space="preserve"> bez DPH („Cena“).“</w:t>
      </w:r>
    </w:p>
    <w:bookmarkEnd w:id="3"/>
    <w:p w14:paraId="6ABE5D3B" w14:textId="77777777" w:rsidR="00D6509D" w:rsidRPr="00D6509D" w:rsidRDefault="00D6509D" w:rsidP="00D6509D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eastAsia="Calibri" w:cs="Arial"/>
        </w:rPr>
      </w:pPr>
      <w:r w:rsidRPr="00D6509D">
        <w:rPr>
          <w:rFonts w:cs="Arial"/>
        </w:rPr>
        <w:t>Strany mění dosavadní znění čl. 3.3 Smlouvy následujícím způsobem:</w:t>
      </w:r>
    </w:p>
    <w:p w14:paraId="240B8FDB" w14:textId="77777777" w:rsidR="00D6509D" w:rsidRPr="00D6509D" w:rsidRDefault="00D6509D" w:rsidP="00D6509D">
      <w:pPr>
        <w:pStyle w:val="Odstavecseseznamem"/>
        <w:spacing w:before="120" w:after="120" w:line="240" w:lineRule="auto"/>
        <w:ind w:left="567"/>
        <w:jc w:val="both"/>
        <w:rPr>
          <w:rFonts w:eastAsia="Calibri" w:cs="Arial"/>
          <w:i/>
          <w:iCs/>
        </w:rPr>
      </w:pPr>
      <w:r w:rsidRPr="00D6509D">
        <w:rPr>
          <w:rFonts w:eastAsia="Calibri" w:cs="Arial"/>
        </w:rPr>
        <w:t>„</w:t>
      </w:r>
      <w:r w:rsidRPr="00D6509D">
        <w:rPr>
          <w:rFonts w:eastAsia="Calibri" w:cs="Arial"/>
          <w:i/>
          <w:iCs/>
        </w:rPr>
        <w:t>Cena bude placena ve čtyřech (4) splátkách, a to:</w:t>
      </w:r>
    </w:p>
    <w:p w14:paraId="6A9A7BDA" w14:textId="4ACC9672" w:rsidR="00D6509D" w:rsidRPr="00D6509D" w:rsidRDefault="00D6509D" w:rsidP="00D6509D">
      <w:pPr>
        <w:pStyle w:val="Odstavecseseznamem"/>
        <w:numPr>
          <w:ilvl w:val="2"/>
          <w:numId w:val="2"/>
        </w:numPr>
        <w:spacing w:before="120" w:after="120" w:line="240" w:lineRule="auto"/>
        <w:ind w:left="1418" w:hanging="851"/>
        <w:contextualSpacing w:val="0"/>
        <w:jc w:val="both"/>
        <w:rPr>
          <w:rFonts w:eastAsia="Calibri" w:cs="Arial"/>
          <w:i/>
          <w:iCs/>
        </w:rPr>
      </w:pPr>
      <w:r w:rsidRPr="00D6509D">
        <w:rPr>
          <w:rFonts w:eastAsia="Calibri" w:cs="Arial"/>
          <w:i/>
          <w:iCs/>
        </w:rPr>
        <w:t xml:space="preserve">zálohovou platbou ve výši 13 000, MAX 20 % CZK/EUR (slovy: třináct tisíc eur) celkové Ceny bez DPH, přičemž nárok na tuto zálohovou platbu, a tedy vystavení příslušné zálohové Faktury Poskytovateli vzniká po podpisu Akceptačního protokolu návrhu metodologie Analýzy v rámci fáze I provádění Analýzy; </w:t>
      </w:r>
    </w:p>
    <w:p w14:paraId="438E5C59" w14:textId="77777777" w:rsidR="00D6509D" w:rsidRPr="00D6509D" w:rsidRDefault="00D6509D" w:rsidP="00D6509D">
      <w:pPr>
        <w:pStyle w:val="Odstavecseseznamem"/>
        <w:numPr>
          <w:ilvl w:val="2"/>
          <w:numId w:val="2"/>
        </w:numPr>
        <w:spacing w:before="120" w:after="120" w:line="240" w:lineRule="auto"/>
        <w:ind w:left="1418" w:hanging="851"/>
        <w:contextualSpacing w:val="0"/>
        <w:jc w:val="both"/>
        <w:rPr>
          <w:rFonts w:eastAsia="Calibri" w:cs="Arial"/>
          <w:i/>
          <w:iCs/>
        </w:rPr>
      </w:pPr>
      <w:r w:rsidRPr="00D6509D">
        <w:rPr>
          <w:rFonts w:eastAsia="Calibri" w:cs="Arial"/>
          <w:i/>
          <w:iCs/>
        </w:rPr>
        <w:t xml:space="preserve">platbou ve výši </w:t>
      </w:r>
      <w:r w:rsidRPr="00D6509D">
        <w:rPr>
          <w:rFonts w:eastAsia="Calibri" w:cs="Arial"/>
          <w:b/>
          <w:bCs/>
          <w:i/>
          <w:iCs/>
        </w:rPr>
        <w:t>24 500, MAX 35 % EUR</w:t>
      </w:r>
      <w:r w:rsidRPr="00D6509D">
        <w:rPr>
          <w:rFonts w:eastAsia="Calibri" w:cs="Arial"/>
          <w:i/>
          <w:iCs/>
        </w:rPr>
        <w:t xml:space="preserve"> (slovy: </w:t>
      </w:r>
      <w:r w:rsidRPr="00D6509D">
        <w:rPr>
          <w:rFonts w:eastAsia="Calibri" w:cs="Arial"/>
          <w:b/>
          <w:bCs/>
          <w:i/>
          <w:iCs/>
        </w:rPr>
        <w:t xml:space="preserve">dvacet čtyři </w:t>
      </w:r>
      <w:r w:rsidRPr="00D6509D">
        <w:rPr>
          <w:rFonts w:eastAsia="Calibri" w:cs="Arial"/>
          <w:i/>
          <w:iCs/>
        </w:rPr>
        <w:t xml:space="preserve">tisíc pět set eur) celkové Ceny bez DPH, přičemž nárok na tuto platbu, a tedy vystavení příslušné Faktury Poskytovateli vzniká po podpisu Akceptačního protokolu konečných výstupů Analýzy na konci fáze I provádění Analýzy; </w:t>
      </w:r>
    </w:p>
    <w:p w14:paraId="4779895D" w14:textId="598D138D" w:rsidR="00D6509D" w:rsidRPr="00D6509D" w:rsidRDefault="00D6509D" w:rsidP="00D6509D">
      <w:pPr>
        <w:pStyle w:val="Odstavecseseznamem"/>
        <w:numPr>
          <w:ilvl w:val="2"/>
          <w:numId w:val="2"/>
        </w:numPr>
        <w:spacing w:before="120" w:after="120" w:line="240" w:lineRule="auto"/>
        <w:ind w:left="1418" w:hanging="851"/>
        <w:contextualSpacing w:val="0"/>
        <w:jc w:val="both"/>
        <w:rPr>
          <w:rFonts w:eastAsia="Calibri" w:cs="Arial"/>
          <w:i/>
          <w:iCs/>
        </w:rPr>
      </w:pPr>
      <w:r w:rsidRPr="00D6509D">
        <w:rPr>
          <w:rFonts w:eastAsia="Calibri" w:cs="Arial"/>
          <w:i/>
          <w:iCs/>
        </w:rPr>
        <w:lastRenderedPageBreak/>
        <w:t xml:space="preserve">zálohovou platbou ve výši 13 000, MAX 20 % CZK/EUR (slovy: třináct tisíc eur) celkové Ceny bez DPH, přičemž nárok na tuto zálohovou platbu, a tedy vystavení příslušné zálohové Faktury Poskytovateli vzniká po podpisu Akceptačního protokolu návrhu metodologie Analýzy v rámci fáze II provádění Analýzy; </w:t>
      </w:r>
    </w:p>
    <w:p w14:paraId="1C97961F" w14:textId="77777777" w:rsidR="00D6509D" w:rsidRPr="00D6509D" w:rsidRDefault="00D6509D" w:rsidP="00D6509D">
      <w:pPr>
        <w:pStyle w:val="Odstavecseseznamem"/>
        <w:numPr>
          <w:ilvl w:val="2"/>
          <w:numId w:val="2"/>
        </w:numPr>
        <w:spacing w:before="120" w:after="120" w:line="240" w:lineRule="auto"/>
        <w:ind w:left="1418" w:hanging="851"/>
        <w:contextualSpacing w:val="0"/>
        <w:jc w:val="both"/>
        <w:rPr>
          <w:rFonts w:eastAsia="Calibri" w:cs="Arial"/>
        </w:rPr>
      </w:pPr>
      <w:r w:rsidRPr="00D6509D">
        <w:rPr>
          <w:rFonts w:eastAsia="Calibri" w:cs="Arial"/>
          <w:i/>
          <w:iCs/>
        </w:rPr>
        <w:t>platbou ve výši 19 500, MAX 30% EUR (slovy: devatenáct tisíc pět set eur) celkové Ceny bez DPH, přičemž nárok na tuto platbu, a tedy vystavení příslušné Faktury Poskytovateli vzniká po podpisu Akceptačního protokolu konečných výstupů Analýzy na konci fáze II provádění Analýzy</w:t>
      </w:r>
      <w:r w:rsidRPr="00D6509D">
        <w:rPr>
          <w:rFonts w:eastAsia="Calibri" w:cs="Arial"/>
        </w:rPr>
        <w:t>.“</w:t>
      </w:r>
    </w:p>
    <w:p w14:paraId="7E66D4DC" w14:textId="16B0C3B7" w:rsidR="00D6509D" w:rsidRPr="00D6509D" w:rsidRDefault="00D6509D" w:rsidP="00D6509D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eastAsia="Calibri" w:cs="Arial"/>
        </w:rPr>
      </w:pPr>
      <w:r w:rsidRPr="00D6509D">
        <w:rPr>
          <w:rFonts w:cs="Arial"/>
        </w:rPr>
        <w:t xml:space="preserve">Strany mění dosavadní přílohu č. 1 Smlouvy – Požadavky na </w:t>
      </w:r>
      <w:r w:rsidR="00776047">
        <w:rPr>
          <w:rFonts w:cs="Arial"/>
        </w:rPr>
        <w:t>A</w:t>
      </w:r>
      <w:r w:rsidR="00776047" w:rsidRPr="00D6509D">
        <w:rPr>
          <w:rFonts w:cs="Arial"/>
        </w:rPr>
        <w:t>nalýzu</w:t>
      </w:r>
      <w:r w:rsidRPr="00D6509D">
        <w:rPr>
          <w:rFonts w:cs="Arial"/>
        </w:rPr>
        <w:t xml:space="preserve">, a to novými, Aktualizovanými požadavky na </w:t>
      </w:r>
      <w:r w:rsidR="00776047">
        <w:rPr>
          <w:rFonts w:cs="Arial"/>
        </w:rPr>
        <w:t>A</w:t>
      </w:r>
      <w:r w:rsidR="00776047" w:rsidRPr="00D6509D">
        <w:rPr>
          <w:rFonts w:cs="Arial"/>
        </w:rPr>
        <w:t>nalýzu</w:t>
      </w:r>
      <w:r w:rsidRPr="00D6509D">
        <w:rPr>
          <w:rFonts w:cs="Arial"/>
        </w:rPr>
        <w:t xml:space="preserve">, které jsou přílohou č. 1 tohoto Dodatku. Poskytovatel bere na vědomí, že z hlediska dalšího plnění závazků dle Smlouvy jsou nadále závazné nové Aktualizované Požadavky na </w:t>
      </w:r>
      <w:r w:rsidR="000A1D6C">
        <w:rPr>
          <w:rFonts w:cs="Arial"/>
        </w:rPr>
        <w:t>A</w:t>
      </w:r>
      <w:r w:rsidR="000A1D6C" w:rsidRPr="00D6509D">
        <w:rPr>
          <w:rFonts w:cs="Arial"/>
        </w:rPr>
        <w:t xml:space="preserve">nalýzu </w:t>
      </w:r>
      <w:r w:rsidRPr="00D6509D">
        <w:rPr>
          <w:rFonts w:cs="Arial"/>
        </w:rPr>
        <w:t>dle přílohy č. 1 Dodatku.</w:t>
      </w:r>
    </w:p>
    <w:p w14:paraId="2A56C088" w14:textId="77777777" w:rsidR="00D6509D" w:rsidRPr="00D6509D" w:rsidRDefault="00D6509D" w:rsidP="00D6509D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eastAsia="Calibri" w:cs="Arial"/>
        </w:rPr>
      </w:pPr>
      <w:r w:rsidRPr="00D6509D">
        <w:rPr>
          <w:rFonts w:cs="Arial"/>
        </w:rPr>
        <w:t xml:space="preserve">Strany mění dosavadní přílohu č. 2 Smlouvy – Harmonogram, a to novým, Aktualizovaným harmonogramem plnění, který je přílohou č. 2 tohoto Dodatku. Poskytovatel bere na vědomí, že z hlediska dalšího plnění závazků dle Smlouvy je nadále závazný nový Aktualizovaný harmonogram plnění dle přílohy č. 2 Dodatku. </w:t>
      </w:r>
    </w:p>
    <w:p w14:paraId="1BD2FFA7" w14:textId="77777777" w:rsidR="00D6509D" w:rsidRDefault="00D6509D" w:rsidP="00D6509D">
      <w:pPr>
        <w:spacing w:before="120" w:after="120" w:line="240" w:lineRule="auto"/>
        <w:jc w:val="both"/>
        <w:rPr>
          <w:rFonts w:cs="Arial"/>
        </w:rPr>
      </w:pPr>
    </w:p>
    <w:p w14:paraId="243F5914" w14:textId="32665B8D" w:rsidR="00D6509D" w:rsidRPr="00D6509D" w:rsidRDefault="00D6509D" w:rsidP="00D6509D">
      <w:pPr>
        <w:spacing w:before="120" w:after="120" w:line="240" w:lineRule="auto"/>
        <w:jc w:val="both"/>
        <w:rPr>
          <w:rFonts w:eastAsia="Calibri" w:cs="Arial"/>
        </w:rPr>
      </w:pPr>
      <w:r w:rsidRPr="00D6509D">
        <w:rPr>
          <w:rFonts w:cs="Arial"/>
        </w:rPr>
        <w:t xml:space="preserve"> </w:t>
      </w:r>
    </w:p>
    <w:p w14:paraId="2D492018" w14:textId="77777777" w:rsidR="00D6509D" w:rsidRDefault="00D6509D" w:rsidP="00D6509D">
      <w:pPr>
        <w:pStyle w:val="Nadpis1"/>
        <w:keepNext/>
        <w:numPr>
          <w:ilvl w:val="3"/>
          <w:numId w:val="8"/>
        </w:numPr>
        <w:spacing w:before="240" w:line="240" w:lineRule="auto"/>
        <w:ind w:left="567" w:hanging="567"/>
        <w:jc w:val="both"/>
        <w:rPr>
          <w:rFonts w:eastAsia="Times New Roman" w:cs="Arial"/>
          <w:bCs/>
          <w:caps/>
          <w:color w:val="auto"/>
          <w:kern w:val="32"/>
          <w:sz w:val="22"/>
          <w:szCs w:val="32"/>
          <w:lang w:eastAsia="en-US"/>
        </w:rPr>
      </w:pPr>
      <w:r w:rsidRPr="00D6509D">
        <w:rPr>
          <w:rFonts w:eastAsia="Times New Roman" w:cs="Arial"/>
          <w:bCs/>
          <w:caps/>
          <w:color w:val="auto"/>
          <w:kern w:val="32"/>
          <w:sz w:val="22"/>
          <w:szCs w:val="32"/>
          <w:lang w:eastAsia="en-US"/>
        </w:rPr>
        <w:t>ZÁVĚREČNÁ USTANOVENÍ</w:t>
      </w:r>
    </w:p>
    <w:p w14:paraId="10F36BE7" w14:textId="77777777" w:rsidR="00D6509D" w:rsidRPr="00D6509D" w:rsidRDefault="00D6509D" w:rsidP="00D6509D">
      <w:pPr>
        <w:rPr>
          <w:lang w:eastAsia="en-US"/>
        </w:rPr>
      </w:pPr>
    </w:p>
    <w:p w14:paraId="69610BAA" w14:textId="77777777" w:rsidR="00D6509D" w:rsidRPr="00D6509D" w:rsidRDefault="00D6509D" w:rsidP="00D6509D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>Tento Dodatek bude podepsán pouze v elektronické podobě, a to v českém a anglickém jazyce. V případě rozporů mezi jazykovými verzemi má přednost verze česká.</w:t>
      </w:r>
    </w:p>
    <w:p w14:paraId="4B095585" w14:textId="77777777" w:rsidR="00D6509D" w:rsidRPr="00D6509D" w:rsidRDefault="00D6509D" w:rsidP="00D6509D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 xml:space="preserve">Tento Dodatek nabývá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předpisů, přičemž Strany za tímto účelem prohlašují, že Dodatek neobsahuje obchodní tajemství žádné ze Stran a Strany s takovým uveřejněním souhlasí. Strany se dále dohodly, že uveřejnění Dodatku v registru smluv provede Objednatel. </w:t>
      </w:r>
    </w:p>
    <w:p w14:paraId="4022A436" w14:textId="77777777" w:rsidR="00D6509D" w:rsidRPr="00D6509D" w:rsidRDefault="00D6509D" w:rsidP="00D6509D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>Tento Dodatek se stává nedílnou součástí Smlouvy. Ustanovení Smlouvy a její přílohy, které nejsou dotčeny tímto Dodatkem, zůstávají nezměněny. Pojmy s velkými písmeny, jež nejsou definovány v tomto Dodatku, mají význam uvedený ve Smlouvě.</w:t>
      </w:r>
    </w:p>
    <w:p w14:paraId="0C027DBE" w14:textId="77777777" w:rsidR="00D6509D" w:rsidRPr="00D6509D" w:rsidRDefault="00D6509D" w:rsidP="00D6509D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 xml:space="preserve">Strany prohlašují, že si tento Dodatek před jeho podpisem řádně přečetly, seznámily se s jeho obsahem a se všemi podklady, které jsou v tomto Dodatku uvedeny, a souhlasí s jeho obsahem, na důkaz čehož připojují své podpisy. </w:t>
      </w:r>
    </w:p>
    <w:p w14:paraId="569E987F" w14:textId="77777777" w:rsidR="00D6509D" w:rsidRPr="00D6509D" w:rsidRDefault="00D6509D" w:rsidP="00D6509D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cs="Arial"/>
        </w:rPr>
      </w:pPr>
      <w:r w:rsidRPr="00D6509D">
        <w:rPr>
          <w:rFonts w:cs="Arial"/>
        </w:rPr>
        <w:t>Nedílnou součástí tohoto Dodatku je Příloha č. 1 – Aktualizované požadavky na Analýzu a Příloha č. 2 – Aktualizovaný harmonogram plnění.</w:t>
      </w:r>
    </w:p>
    <w:p w14:paraId="1D4D1C00" w14:textId="77777777" w:rsidR="00D6509D" w:rsidRPr="00D6509D" w:rsidRDefault="00D6509D" w:rsidP="00D6509D">
      <w:pPr>
        <w:spacing w:before="120" w:after="120" w:line="240" w:lineRule="auto"/>
        <w:jc w:val="both"/>
        <w:rPr>
          <w:rFonts w:cs="Arial"/>
        </w:rPr>
      </w:pPr>
    </w:p>
    <w:tbl>
      <w:tblPr>
        <w:tblW w:w="9178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D6509D" w:rsidRPr="00D6509D" w14:paraId="70F0D0C2" w14:textId="77777777" w:rsidTr="00E8083C">
        <w:trPr>
          <w:jc w:val="center"/>
        </w:trPr>
        <w:tc>
          <w:tcPr>
            <w:tcW w:w="4589" w:type="dxa"/>
          </w:tcPr>
          <w:p w14:paraId="3237FA00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  <w:b/>
              </w:rPr>
            </w:pPr>
            <w:r w:rsidRPr="00D6509D">
              <w:rPr>
                <w:rFonts w:cs="Arial"/>
                <w:b/>
              </w:rPr>
              <w:t>za Národní technickou knihovnu</w:t>
            </w:r>
          </w:p>
          <w:p w14:paraId="287EAF36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  <w:b/>
              </w:rPr>
            </w:pPr>
          </w:p>
        </w:tc>
        <w:tc>
          <w:tcPr>
            <w:tcW w:w="4589" w:type="dxa"/>
          </w:tcPr>
          <w:p w14:paraId="1F1482F6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  <w:b/>
              </w:rPr>
            </w:pPr>
            <w:r w:rsidRPr="00D6509D">
              <w:rPr>
                <w:rFonts w:cs="Arial"/>
                <w:b/>
              </w:rPr>
              <w:t>za</w:t>
            </w:r>
            <w:r w:rsidRPr="00D6509D">
              <w:rPr>
                <w:rFonts w:eastAsia="Arial" w:cs="Arial"/>
                <w:b/>
                <w:smallCaps/>
              </w:rPr>
              <w:t xml:space="preserve"> </w:t>
            </w:r>
            <w:proofErr w:type="spellStart"/>
            <w:r w:rsidRPr="00D6509D">
              <w:rPr>
                <w:rFonts w:eastAsia="Arial" w:cs="Arial"/>
                <w:b/>
              </w:rPr>
              <w:t>MoreBrains</w:t>
            </w:r>
            <w:proofErr w:type="spellEnd"/>
            <w:r w:rsidRPr="00D6509D">
              <w:rPr>
                <w:rFonts w:eastAsia="Arial" w:cs="Arial"/>
                <w:b/>
              </w:rPr>
              <w:t xml:space="preserve"> </w:t>
            </w:r>
            <w:proofErr w:type="spellStart"/>
            <w:r w:rsidRPr="00D6509D">
              <w:rPr>
                <w:rFonts w:eastAsia="Arial" w:cs="Arial"/>
                <w:b/>
              </w:rPr>
              <w:t>Cooperative</w:t>
            </w:r>
            <w:proofErr w:type="spellEnd"/>
            <w:r w:rsidRPr="00D6509D">
              <w:rPr>
                <w:rFonts w:eastAsia="Arial" w:cs="Arial"/>
                <w:b/>
              </w:rPr>
              <w:t xml:space="preserve"> Ltd</w:t>
            </w:r>
          </w:p>
        </w:tc>
      </w:tr>
      <w:tr w:rsidR="00D6509D" w:rsidRPr="00D6509D" w14:paraId="50CC82D9" w14:textId="77777777" w:rsidTr="00E8083C">
        <w:trPr>
          <w:jc w:val="center"/>
        </w:trPr>
        <w:tc>
          <w:tcPr>
            <w:tcW w:w="4589" w:type="dxa"/>
          </w:tcPr>
          <w:p w14:paraId="6185A7EC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>Místo: Praha, Česká republika</w:t>
            </w:r>
          </w:p>
          <w:p w14:paraId="5F87F5E7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>Datum: dle elektronického podpisu</w:t>
            </w:r>
          </w:p>
        </w:tc>
        <w:tc>
          <w:tcPr>
            <w:tcW w:w="4589" w:type="dxa"/>
          </w:tcPr>
          <w:p w14:paraId="7DF191B4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 xml:space="preserve">Místo: </w:t>
            </w:r>
            <w:proofErr w:type="spellStart"/>
            <w:r w:rsidRPr="00D6509D">
              <w:rPr>
                <w:rFonts w:eastAsia="Arial" w:cs="Arial"/>
              </w:rPr>
              <w:t>Chichester</w:t>
            </w:r>
            <w:proofErr w:type="spellEnd"/>
            <w:r w:rsidRPr="00D6509D">
              <w:rPr>
                <w:rFonts w:eastAsia="Arial" w:cs="Arial"/>
              </w:rPr>
              <w:t>, Spojené království</w:t>
            </w:r>
          </w:p>
          <w:p w14:paraId="376FB115" w14:textId="77777777" w:rsidR="00D6509D" w:rsidRPr="00D6509D" w:rsidRDefault="00D6509D" w:rsidP="00D6509D">
            <w:pPr>
              <w:spacing w:before="120" w:after="120" w:line="240" w:lineRule="auto"/>
              <w:rPr>
                <w:rFonts w:eastAsia="Arial" w:cs="Arial"/>
              </w:rPr>
            </w:pPr>
            <w:r w:rsidRPr="00D6509D">
              <w:rPr>
                <w:rFonts w:cs="Arial"/>
              </w:rPr>
              <w:t>Datum: dle elektronického podpisu</w:t>
            </w:r>
          </w:p>
          <w:p w14:paraId="52E954DC" w14:textId="77777777" w:rsidR="00D6509D" w:rsidRPr="00D6509D" w:rsidRDefault="00D6509D" w:rsidP="00D6509D">
            <w:pPr>
              <w:spacing w:before="120" w:after="120" w:line="240" w:lineRule="auto"/>
              <w:rPr>
                <w:rFonts w:eastAsia="Arial" w:cs="Arial"/>
              </w:rPr>
            </w:pPr>
          </w:p>
          <w:p w14:paraId="5C695AC8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  <w:b/>
              </w:rPr>
            </w:pPr>
          </w:p>
        </w:tc>
      </w:tr>
      <w:tr w:rsidR="00D6509D" w:rsidRPr="00D6509D" w14:paraId="708822A2" w14:textId="77777777" w:rsidTr="00E8083C">
        <w:trPr>
          <w:jc w:val="center"/>
        </w:trPr>
        <w:tc>
          <w:tcPr>
            <w:tcW w:w="4589" w:type="dxa"/>
          </w:tcPr>
          <w:p w14:paraId="50C490A7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</w:p>
          <w:p w14:paraId="1FEE3DFF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>________________________________</w:t>
            </w:r>
          </w:p>
        </w:tc>
        <w:tc>
          <w:tcPr>
            <w:tcW w:w="4589" w:type="dxa"/>
          </w:tcPr>
          <w:p w14:paraId="11CD259F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</w:p>
          <w:p w14:paraId="06291144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>________________________________</w:t>
            </w:r>
          </w:p>
        </w:tc>
      </w:tr>
      <w:tr w:rsidR="00D6509D" w:rsidRPr="00D6509D" w14:paraId="3B94D9FF" w14:textId="77777777" w:rsidTr="00E8083C">
        <w:trPr>
          <w:jc w:val="center"/>
        </w:trPr>
        <w:tc>
          <w:tcPr>
            <w:tcW w:w="4589" w:type="dxa"/>
          </w:tcPr>
          <w:p w14:paraId="31A5A540" w14:textId="1EDFA84C" w:rsidR="00D6509D" w:rsidRPr="0030396D" w:rsidRDefault="00D6509D" w:rsidP="00D6509D">
            <w:pPr>
              <w:spacing w:before="120" w:after="120" w:line="240" w:lineRule="auto"/>
              <w:rPr>
                <w:rFonts w:cs="Arial"/>
                <w:i/>
              </w:rPr>
            </w:pPr>
            <w:r w:rsidRPr="00D6509D">
              <w:rPr>
                <w:rFonts w:cs="Arial"/>
              </w:rPr>
              <w:t xml:space="preserve">Jméno: </w:t>
            </w:r>
            <w:r w:rsidR="0030396D">
              <w:rPr>
                <w:rFonts w:cs="Arial"/>
                <w:i/>
              </w:rPr>
              <w:t>redigováno</w:t>
            </w:r>
          </w:p>
          <w:p w14:paraId="3AC16097" w14:textId="5EB42F2E" w:rsidR="00D6509D" w:rsidRPr="00D6509D" w:rsidRDefault="00D6509D" w:rsidP="0030396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 xml:space="preserve">Funkce: </w:t>
            </w:r>
            <w:r w:rsidR="0030396D">
              <w:rPr>
                <w:rFonts w:cs="Arial"/>
                <w:i/>
              </w:rPr>
              <w:t>redigováno</w:t>
            </w:r>
            <w:bookmarkStart w:id="4" w:name="_GoBack"/>
            <w:bookmarkEnd w:id="4"/>
          </w:p>
        </w:tc>
        <w:tc>
          <w:tcPr>
            <w:tcW w:w="4589" w:type="dxa"/>
          </w:tcPr>
          <w:p w14:paraId="27A3609E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 xml:space="preserve">Jméno: </w:t>
            </w:r>
          </w:p>
          <w:p w14:paraId="41BE461F" w14:textId="77777777" w:rsidR="00D6509D" w:rsidRPr="00D6509D" w:rsidRDefault="00D6509D" w:rsidP="00D6509D">
            <w:pPr>
              <w:spacing w:before="120" w:after="120" w:line="240" w:lineRule="auto"/>
              <w:rPr>
                <w:rFonts w:cs="Arial"/>
              </w:rPr>
            </w:pPr>
            <w:r w:rsidRPr="00D6509D">
              <w:rPr>
                <w:rFonts w:cs="Arial"/>
              </w:rPr>
              <w:t xml:space="preserve">Funkce: </w:t>
            </w:r>
          </w:p>
        </w:tc>
      </w:tr>
    </w:tbl>
    <w:p w14:paraId="587BD118" w14:textId="77777777" w:rsidR="00D6509D" w:rsidRPr="00D6509D" w:rsidRDefault="00D6509D" w:rsidP="00D6509D">
      <w:p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</w:rPr>
        <w:t xml:space="preserve"> </w:t>
      </w:r>
    </w:p>
    <w:p w14:paraId="21116E2C" w14:textId="77777777" w:rsidR="00D6509D" w:rsidRPr="00D6509D" w:rsidRDefault="00D6509D" w:rsidP="00D6509D">
      <w:pPr>
        <w:spacing w:before="120" w:after="120" w:line="240" w:lineRule="auto"/>
        <w:jc w:val="center"/>
        <w:rPr>
          <w:rFonts w:cs="Arial"/>
          <w:b/>
        </w:rPr>
      </w:pPr>
      <w:r w:rsidRPr="00D6509D">
        <w:rPr>
          <w:rFonts w:cs="Arial"/>
        </w:rPr>
        <w:br w:type="page"/>
      </w:r>
      <w:bookmarkStart w:id="5" w:name="_Toc153532395"/>
      <w:r w:rsidRPr="00D6509D">
        <w:rPr>
          <w:rFonts w:cs="Arial"/>
          <w:b/>
        </w:rPr>
        <w:lastRenderedPageBreak/>
        <w:t>PŘÍLOHA Č. 1</w:t>
      </w:r>
      <w:bookmarkEnd w:id="5"/>
      <w:r w:rsidRPr="00D6509D">
        <w:rPr>
          <w:rFonts w:cs="Arial"/>
          <w:b/>
        </w:rPr>
        <w:t xml:space="preserve"> DODATKU</w:t>
      </w:r>
    </w:p>
    <w:p w14:paraId="34BC4967" w14:textId="77777777" w:rsidR="00D6509D" w:rsidRPr="00D6509D" w:rsidRDefault="00D6509D" w:rsidP="00D6509D">
      <w:pPr>
        <w:spacing w:before="120" w:after="120" w:line="240" w:lineRule="auto"/>
        <w:jc w:val="center"/>
        <w:rPr>
          <w:rFonts w:cs="Arial"/>
          <w:b/>
          <w:bCs/>
        </w:rPr>
      </w:pPr>
      <w:r w:rsidRPr="00D6509D">
        <w:rPr>
          <w:rFonts w:cs="Arial"/>
          <w:b/>
        </w:rPr>
        <w:t>PŘÍLOHA Č. 1 SMLOUVY</w:t>
      </w:r>
    </w:p>
    <w:p w14:paraId="3658CFD5" w14:textId="77777777" w:rsidR="00D6509D" w:rsidRPr="00D6509D" w:rsidRDefault="00D6509D" w:rsidP="00D6509D">
      <w:pPr>
        <w:spacing w:before="120" w:after="120" w:line="240" w:lineRule="auto"/>
        <w:jc w:val="center"/>
        <w:rPr>
          <w:rFonts w:cs="Arial"/>
          <w:b/>
        </w:rPr>
      </w:pPr>
      <w:r w:rsidRPr="00D6509D">
        <w:rPr>
          <w:rFonts w:cs="Arial"/>
          <w:b/>
        </w:rPr>
        <w:t>AKTUALIZOVANÉ POŽADAVKY NA ANALÝZU</w:t>
      </w:r>
    </w:p>
    <w:p w14:paraId="0829E8F0" w14:textId="77777777" w:rsidR="00D6509D" w:rsidRPr="00D6509D" w:rsidRDefault="00D6509D" w:rsidP="00D6509D">
      <w:pPr>
        <w:numPr>
          <w:ilvl w:val="0"/>
          <w:numId w:val="4"/>
        </w:numPr>
        <w:spacing w:before="120" w:after="120" w:line="240" w:lineRule="auto"/>
        <w:jc w:val="both"/>
        <w:rPr>
          <w:rFonts w:cs="Arial"/>
          <w:lang w:val="x-none"/>
        </w:rPr>
      </w:pPr>
      <w:bookmarkStart w:id="6" w:name="_Ref151625513"/>
      <w:bookmarkStart w:id="7" w:name="_Ref151625521"/>
      <w:bookmarkStart w:id="8" w:name="_Ref151625556"/>
      <w:bookmarkStart w:id="9" w:name="_Ref151625567"/>
      <w:bookmarkStart w:id="10" w:name="_Ref151625598"/>
      <w:bookmarkStart w:id="11" w:name="_Ref151625605"/>
      <w:bookmarkStart w:id="12" w:name="_Ref151625651"/>
      <w:bookmarkStart w:id="13" w:name="_Ref151625672"/>
      <w:r w:rsidRPr="00D6509D">
        <w:rPr>
          <w:rFonts w:cs="Arial"/>
          <w:b/>
          <w:bCs/>
          <w:lang w:val="x-none"/>
        </w:rPr>
        <w:t>Požadavky na analýzu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AD9E866" w14:textId="4C696206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</w:rPr>
        <w:t>V rámci vypracování Analýzy musí dojít ke zpracování činností a výstupů, uvedené níže v této Příloze. Analýza a od ní odvozená doporučení musí být podložena hodnověrným sběrem / průzkumem dat v souladu s postupy „</w:t>
      </w:r>
      <w:proofErr w:type="spellStart"/>
      <w:r w:rsidRPr="00D6509D">
        <w:rPr>
          <w:rFonts w:cs="Arial"/>
          <w:i/>
        </w:rPr>
        <w:t>best</w:t>
      </w:r>
      <w:proofErr w:type="spellEnd"/>
      <w:r w:rsidRPr="00D6509D">
        <w:rPr>
          <w:rFonts w:cs="Arial"/>
          <w:i/>
        </w:rPr>
        <w:t xml:space="preserve"> </w:t>
      </w:r>
      <w:proofErr w:type="spellStart"/>
      <w:r w:rsidRPr="00D6509D">
        <w:rPr>
          <w:rFonts w:cs="Arial"/>
          <w:i/>
        </w:rPr>
        <w:t>practice</w:t>
      </w:r>
      <w:proofErr w:type="spellEnd"/>
      <w:r w:rsidRPr="00D6509D">
        <w:rPr>
          <w:rFonts w:cs="Arial"/>
        </w:rPr>
        <w:t xml:space="preserve">“ a pravidelně na základě dohody Smluvních stran, minimálně však jednou za dva týdny, pokud se Smluvní </w:t>
      </w:r>
      <w:r w:rsidR="00776047">
        <w:rPr>
          <w:rFonts w:cs="Arial"/>
        </w:rPr>
        <w:t xml:space="preserve">strany </w:t>
      </w:r>
      <w:r w:rsidRPr="00D6509D">
        <w:rPr>
          <w:rFonts w:cs="Arial"/>
        </w:rPr>
        <w:t>nedohodnou jinak, konzultována s příslušnými Kontaktními osobami Objednatele v souladu s touto Smlouvou.</w:t>
      </w:r>
    </w:p>
    <w:p w14:paraId="24B56726" w14:textId="77777777" w:rsidR="00D6509D" w:rsidRPr="00D6509D" w:rsidRDefault="00D6509D" w:rsidP="00D6509D">
      <w:pPr>
        <w:numPr>
          <w:ilvl w:val="0"/>
          <w:numId w:val="4"/>
        </w:numPr>
        <w:spacing w:before="120" w:after="120" w:line="240" w:lineRule="auto"/>
        <w:jc w:val="both"/>
        <w:rPr>
          <w:rFonts w:cs="Arial"/>
          <w:lang w:val="x-none"/>
        </w:rPr>
      </w:pPr>
      <w:r w:rsidRPr="00D6509D">
        <w:rPr>
          <w:rFonts w:cs="Arial"/>
          <w:b/>
          <w:bCs/>
          <w:lang w:val="x-none"/>
        </w:rPr>
        <w:t>Fáze I</w:t>
      </w:r>
    </w:p>
    <w:p w14:paraId="5E42EB54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  <w:u w:val="single"/>
        </w:rPr>
      </w:pPr>
      <w:r w:rsidRPr="00D6509D">
        <w:rPr>
          <w:rFonts w:cs="Arial"/>
          <w:u w:val="single"/>
        </w:rPr>
        <w:t xml:space="preserve">Cíl. </w:t>
      </w:r>
      <w:r w:rsidRPr="00D6509D">
        <w:rPr>
          <w:rFonts w:cs="Arial"/>
        </w:rPr>
        <w:t>Zmapování počátečního stavu využití PIDs v českém prostředí VaVaI na začátku projektu CARDS včetně kvantifikace potenciálu, kam až by bylo možné tento výchozí stav posunout při efektivním využívání PIDs a jejich rozsáhlejší implementaci v systémech předmětných institucí.</w:t>
      </w:r>
    </w:p>
    <w:p w14:paraId="484ADD24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  <w:u w:val="single"/>
        </w:rPr>
        <w:t>Požadovaný primární výsledek</w:t>
      </w:r>
      <w:r w:rsidRPr="00D6509D">
        <w:rPr>
          <w:rFonts w:cs="Arial"/>
        </w:rPr>
        <w:t>. Primárním výsledkem první fáze Analýzy bude zmapování úrovně implementace vybraných PIDs v prostředí VaVaI v České republice, konkrétně na výzkumných institucích a vysokých školách. Analýza zároveň poskytne doporučení pro další podporu PIDs po skončení projektu CARDS.</w:t>
      </w:r>
    </w:p>
    <w:p w14:paraId="7B128FEE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  <w:u w:val="single"/>
        </w:rPr>
        <w:t>Závěry první fáze Analýzy</w:t>
      </w:r>
      <w:r w:rsidRPr="00D6509D">
        <w:rPr>
          <w:rFonts w:cs="Arial"/>
        </w:rPr>
        <w:t>. Závěry první fáze Analýzy budou kvantifikovat potenciál efektivní implementace PIDs. Tyto závěry zohlední Objednatel při realizaci klíčové aktivity 3 projektu CARDS a uplatní ve spolupráci s jednotlivými českými výzkumnými a akademickými institucemi.</w:t>
      </w:r>
    </w:p>
    <w:p w14:paraId="1228A635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</w:rPr>
        <w:t>Poskytovatel provede v rámci vypracování první fáze Analýzy následující dílčí činnosti a výstupy:</w:t>
      </w:r>
    </w:p>
    <w:p w14:paraId="3C7D05C3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mapování českého prostředí VaVaI (instituce, projekty, výstupy českého výzkumu, systémy VaVaI);</w:t>
      </w:r>
    </w:p>
    <w:p w14:paraId="2352E0C2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úvodní definice otázek analýzy, návrh a nastavení metodiky, parametrů a oblasti sběru dat;</w:t>
      </w:r>
    </w:p>
    <w:p w14:paraId="3D8540ED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sběr dat o definovaných parametrech českého prostředí VaVaI a o úrovni implementace PIDs v systémech a výzkumných institucích;</w:t>
      </w:r>
    </w:p>
    <w:p w14:paraId="3C18A4C1" w14:textId="77777777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 xml:space="preserve">výpočet/analýza potenciálních úspor pro české </w:t>
      </w:r>
      <w:r w:rsidRPr="003E6033">
        <w:rPr>
          <w:rFonts w:cs="Arial"/>
          <w:color w:val="000000"/>
          <w:lang w:eastAsia="en-US"/>
        </w:rPr>
        <w:t>prostředí VaVaI - finančních i časových při významnějším rozšířením jednotlivých PIDs a vyšším stupni implementace;</w:t>
      </w:r>
    </w:p>
    <w:p w14:paraId="18756618" w14:textId="4190D1DF" w:rsidR="00D6509D" w:rsidRPr="00CE5E8B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b/>
          <w:bCs/>
          <w:color w:val="000000"/>
          <w:lang w:eastAsia="en-US"/>
        </w:rPr>
      </w:pPr>
      <w:r w:rsidRPr="003E6033">
        <w:rPr>
          <w:rFonts w:cs="Arial"/>
          <w:color w:val="000000"/>
          <w:lang w:eastAsia="en-US"/>
        </w:rPr>
        <w:t>analýza dosavadních nákladů a kvalifikovaný odhad finančních nákladů na podporu práce s PIDs pro české prostředí VaVaI v dlouhodobém horizontu;</w:t>
      </w:r>
      <w:r w:rsidR="0031427C" w:rsidRPr="003E6033">
        <w:rPr>
          <w:rFonts w:cs="Arial"/>
          <w:color w:val="000000"/>
          <w:lang w:eastAsia="en-US"/>
        </w:rPr>
        <w:t xml:space="preserve"> </w:t>
      </w:r>
      <w:r w:rsidR="00432FCE" w:rsidRPr="00CE5E8B">
        <w:rPr>
          <w:rFonts w:cs="Arial"/>
          <w:b/>
          <w:bCs/>
          <w:color w:val="000000"/>
          <w:lang w:eastAsia="en-US"/>
        </w:rPr>
        <w:t>a</w:t>
      </w:r>
      <w:r w:rsidR="0031427C" w:rsidRPr="00CE5E8B">
        <w:rPr>
          <w:rFonts w:cs="Arial"/>
          <w:b/>
          <w:bCs/>
          <w:color w:val="000000"/>
          <w:lang w:eastAsia="en-US"/>
        </w:rPr>
        <w:t xml:space="preserve">nalyzovanými náklady budou mzdové náklady a přímé náklady </w:t>
      </w:r>
      <w:r w:rsidR="00432FCE" w:rsidRPr="00CE5E8B">
        <w:rPr>
          <w:rFonts w:cs="Arial"/>
          <w:b/>
          <w:bCs/>
          <w:color w:val="000000"/>
          <w:lang w:eastAsia="en-US"/>
        </w:rPr>
        <w:t>vynaložené v</w:t>
      </w:r>
      <w:r w:rsidR="0031427C" w:rsidRPr="00CE5E8B">
        <w:rPr>
          <w:rFonts w:cs="Arial"/>
          <w:b/>
          <w:bCs/>
          <w:color w:val="000000"/>
          <w:lang w:eastAsia="en-US"/>
        </w:rPr>
        <w:t xml:space="preserve"> </w:t>
      </w:r>
      <w:r w:rsidR="00432FCE" w:rsidRPr="00CE5E8B">
        <w:rPr>
          <w:rFonts w:cs="Arial"/>
          <w:b/>
          <w:bCs/>
          <w:color w:val="000000"/>
          <w:lang w:eastAsia="en-US"/>
        </w:rPr>
        <w:t>aktuálním</w:t>
      </w:r>
      <w:r w:rsidR="0031427C" w:rsidRPr="00CE5E8B">
        <w:rPr>
          <w:rFonts w:cs="Arial"/>
          <w:b/>
          <w:bCs/>
          <w:color w:val="000000"/>
          <w:lang w:eastAsia="en-US"/>
        </w:rPr>
        <w:t xml:space="preserve"> program</w:t>
      </w:r>
      <w:r w:rsidR="00432FCE" w:rsidRPr="00CE5E8B">
        <w:rPr>
          <w:rFonts w:cs="Arial"/>
          <w:b/>
          <w:bCs/>
          <w:color w:val="000000"/>
          <w:lang w:eastAsia="en-US"/>
        </w:rPr>
        <w:t xml:space="preserve">u </w:t>
      </w:r>
      <w:proofErr w:type="spellStart"/>
      <w:r w:rsidR="00432FCE" w:rsidRPr="00CE5E8B">
        <w:rPr>
          <w:rFonts w:cs="Arial"/>
          <w:b/>
          <w:bCs/>
          <w:color w:val="000000"/>
          <w:lang w:eastAsia="en-US"/>
        </w:rPr>
        <w:t>porpody</w:t>
      </w:r>
      <w:proofErr w:type="spellEnd"/>
      <w:r w:rsidR="0031427C" w:rsidRPr="00CE5E8B">
        <w:rPr>
          <w:rFonts w:cs="Arial"/>
          <w:b/>
          <w:bCs/>
          <w:color w:val="000000"/>
          <w:lang w:eastAsia="en-US"/>
        </w:rPr>
        <w:t xml:space="preserve"> PID</w:t>
      </w:r>
      <w:r w:rsidR="00432FCE" w:rsidRPr="00CE5E8B">
        <w:rPr>
          <w:rFonts w:cs="Arial"/>
          <w:b/>
          <w:bCs/>
          <w:color w:val="000000"/>
          <w:lang w:eastAsia="en-US"/>
        </w:rPr>
        <w:t>s</w:t>
      </w:r>
      <w:r w:rsidR="0031427C" w:rsidRPr="00CE5E8B">
        <w:rPr>
          <w:rFonts w:cs="Arial"/>
          <w:b/>
          <w:bCs/>
          <w:color w:val="000000"/>
          <w:lang w:eastAsia="en-US"/>
        </w:rPr>
        <w:t xml:space="preserve"> </w:t>
      </w:r>
      <w:r w:rsidR="00432FCE" w:rsidRPr="00CE5E8B">
        <w:rPr>
          <w:rFonts w:cs="Arial"/>
          <w:b/>
          <w:bCs/>
          <w:color w:val="000000"/>
          <w:lang w:eastAsia="en-US"/>
        </w:rPr>
        <w:t>Objednatele</w:t>
      </w:r>
      <w:r w:rsidR="0031427C" w:rsidRPr="00CE5E8B">
        <w:rPr>
          <w:rFonts w:cs="Arial"/>
          <w:b/>
          <w:bCs/>
          <w:color w:val="000000"/>
          <w:lang w:eastAsia="en-US"/>
        </w:rPr>
        <w:t xml:space="preserve">, a to v závislosti na dostupnosti údajů, které dodá </w:t>
      </w:r>
      <w:r w:rsidR="00432FCE" w:rsidRPr="00CE5E8B">
        <w:rPr>
          <w:rFonts w:cs="Arial"/>
          <w:b/>
          <w:bCs/>
          <w:color w:val="000000"/>
          <w:lang w:eastAsia="en-US"/>
        </w:rPr>
        <w:t>Objednatel</w:t>
      </w:r>
      <w:r w:rsidR="0031427C" w:rsidRPr="00CE5E8B">
        <w:rPr>
          <w:rFonts w:cs="Arial"/>
          <w:b/>
          <w:bCs/>
          <w:color w:val="000000"/>
          <w:lang w:eastAsia="en-US"/>
        </w:rPr>
        <w:t>;</w:t>
      </w:r>
    </w:p>
    <w:p w14:paraId="6ADA625C" w14:textId="77777777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3E6033">
        <w:rPr>
          <w:rFonts w:cs="Arial"/>
          <w:color w:val="000000"/>
          <w:lang w:eastAsia="en-US"/>
        </w:rPr>
        <w:t xml:space="preserve">porovnání zjištěných nákladů a potenciálních úspor v prostředí VaVaI; </w:t>
      </w:r>
    </w:p>
    <w:p w14:paraId="56FC53BD" w14:textId="45632F39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3E6033">
        <w:rPr>
          <w:rFonts w:cs="Arial"/>
          <w:color w:val="000000"/>
          <w:lang w:eastAsia="en-US"/>
        </w:rPr>
        <w:t>kontrola/revize naměřených a zjištěných dat</w:t>
      </w:r>
      <w:r w:rsidR="00432FCE" w:rsidRPr="003E6033">
        <w:rPr>
          <w:rFonts w:cs="Arial"/>
          <w:color w:val="000000"/>
          <w:lang w:eastAsia="en-US"/>
        </w:rPr>
        <w:t xml:space="preserve"> </w:t>
      </w:r>
      <w:r w:rsidR="00432FCE" w:rsidRPr="00CE5E8B">
        <w:rPr>
          <w:rFonts w:cs="Arial"/>
          <w:b/>
          <w:bCs/>
          <w:color w:val="000000"/>
          <w:lang w:eastAsia="en-US"/>
        </w:rPr>
        <w:t xml:space="preserve">s cílem potvrdit, že struktura </w:t>
      </w:r>
      <w:r w:rsidR="0068070B" w:rsidRPr="00CE5E8B">
        <w:rPr>
          <w:rFonts w:cs="Arial"/>
          <w:b/>
          <w:bCs/>
          <w:color w:val="000000"/>
          <w:lang w:eastAsia="en-US"/>
        </w:rPr>
        <w:t>dat</w:t>
      </w:r>
      <w:r w:rsidR="00432FCE" w:rsidRPr="00CE5E8B">
        <w:rPr>
          <w:rFonts w:cs="Arial"/>
          <w:b/>
          <w:bCs/>
          <w:color w:val="000000"/>
          <w:lang w:eastAsia="en-US"/>
        </w:rPr>
        <w:t xml:space="preserve"> je vhodná pro vypracování analýzy. Objednatel bere na vědomí, že Poskytovatel nemůže zaručit věcnou správnost údajů ze systému </w:t>
      </w:r>
      <w:proofErr w:type="spellStart"/>
      <w:r w:rsidR="00432FCE" w:rsidRPr="00CE5E8B">
        <w:rPr>
          <w:rFonts w:cs="Arial"/>
          <w:b/>
          <w:bCs/>
          <w:color w:val="000000"/>
          <w:lang w:eastAsia="en-US"/>
        </w:rPr>
        <w:t>IS</w:t>
      </w:r>
      <w:proofErr w:type="spellEnd"/>
      <w:r w:rsidR="00432FCE" w:rsidRPr="00CE5E8B">
        <w:rPr>
          <w:rFonts w:cs="Arial"/>
          <w:b/>
          <w:bCs/>
          <w:color w:val="000000"/>
          <w:lang w:eastAsia="en-US"/>
        </w:rPr>
        <w:t xml:space="preserve"> VaVaI</w:t>
      </w:r>
      <w:r w:rsidRPr="00CE5E8B">
        <w:rPr>
          <w:rFonts w:cs="Arial"/>
          <w:b/>
          <w:bCs/>
          <w:color w:val="000000"/>
          <w:lang w:eastAsia="en-US"/>
        </w:rPr>
        <w:t>;</w:t>
      </w:r>
    </w:p>
    <w:p w14:paraId="29255E4A" w14:textId="77777777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3E6033">
        <w:rPr>
          <w:rFonts w:cs="Arial"/>
          <w:color w:val="000000"/>
          <w:lang w:eastAsia="en-US"/>
        </w:rPr>
        <w:t xml:space="preserve">pravidelné konzultace s Objednatelem; </w:t>
      </w:r>
    </w:p>
    <w:p w14:paraId="199F148D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formulace výsledků, závěrů, rizik a doporučení.</w:t>
      </w:r>
    </w:p>
    <w:p w14:paraId="06E42CA2" w14:textId="77777777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b/>
          <w:bCs/>
          <w:color w:val="000000"/>
          <w:lang w:eastAsia="en-US"/>
        </w:rPr>
      </w:pPr>
      <w:bookmarkStart w:id="14" w:name="_Hlk174097514"/>
      <w:r w:rsidRPr="00D6509D">
        <w:rPr>
          <w:rFonts w:cs="Arial"/>
          <w:b/>
          <w:bCs/>
          <w:color w:val="000000"/>
          <w:lang w:eastAsia="en-US"/>
        </w:rPr>
        <w:lastRenderedPageBreak/>
        <w:t xml:space="preserve">podrobný rozbor a seznámení se s </w:t>
      </w:r>
      <w:proofErr w:type="spellStart"/>
      <w:r w:rsidRPr="00D6509D">
        <w:rPr>
          <w:rFonts w:cs="Arial"/>
          <w:b/>
          <w:bCs/>
          <w:color w:val="000000"/>
          <w:lang w:eastAsia="en-US"/>
        </w:rPr>
        <w:t>IS</w:t>
      </w:r>
      <w:proofErr w:type="spellEnd"/>
      <w:r w:rsidRPr="00D6509D">
        <w:rPr>
          <w:rFonts w:cs="Arial"/>
          <w:b/>
          <w:bCs/>
          <w:color w:val="000000"/>
          <w:lang w:eastAsia="en-US"/>
        </w:rPr>
        <w:t xml:space="preserve"> VaVaI, klíčovým zdrojem dat pro celou Analýzu, vyhodnocení, zda jsou data pro </w:t>
      </w:r>
      <w:r w:rsidRPr="003E6033">
        <w:rPr>
          <w:rFonts w:cs="Arial"/>
          <w:b/>
          <w:bCs/>
          <w:color w:val="000000"/>
          <w:lang w:eastAsia="en-US"/>
        </w:rPr>
        <w:t>vytvoření Analýzy dostačující;</w:t>
      </w:r>
    </w:p>
    <w:p w14:paraId="0E2A0AB1" w14:textId="1F93C272" w:rsidR="0068070B" w:rsidRPr="003E6033" w:rsidRDefault="00D6509D" w:rsidP="0068070B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b/>
          <w:bCs/>
          <w:color w:val="000000"/>
        </w:rPr>
      </w:pPr>
      <w:r w:rsidRPr="003E6033">
        <w:rPr>
          <w:rFonts w:cs="Arial"/>
          <w:b/>
          <w:bCs/>
          <w:color w:val="000000"/>
          <w:lang w:eastAsia="en-US"/>
        </w:rPr>
        <w:t xml:space="preserve">konzultace a doporučení ke komunikaci výsledků Analýzy; </w:t>
      </w:r>
      <w:r w:rsidR="0068070B" w:rsidRPr="003E6033">
        <w:rPr>
          <w:rFonts w:cs="Arial"/>
          <w:b/>
          <w:bCs/>
          <w:color w:val="000000"/>
        </w:rPr>
        <w:t>tyto činnosti budou navázány na časový harmonogram celého projektu a úloha poskytovatele bude spočívat v:</w:t>
      </w:r>
    </w:p>
    <w:p w14:paraId="7DE8D062" w14:textId="5B2ADB70" w:rsidR="0068070B" w:rsidRPr="003E6033" w:rsidRDefault="0068070B" w:rsidP="0068070B">
      <w:pPr>
        <w:pStyle w:val="Normlnweb"/>
        <w:numPr>
          <w:ilvl w:val="4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3E6033">
        <w:rPr>
          <w:rFonts w:ascii="Arial" w:hAnsi="Arial" w:cs="Arial"/>
          <w:b/>
          <w:bCs/>
          <w:color w:val="000000"/>
          <w:sz w:val="22"/>
          <w:szCs w:val="22"/>
        </w:rPr>
        <w:t>poradenství Objednateli ohledně komunikačního plánu zahrnujícího výsledky první fáze analýzy a průběžné zdůvodnění a postup průzkumů a druhé fáze analýzy v roce 2028,</w:t>
      </w:r>
    </w:p>
    <w:p w14:paraId="0DC3EA07" w14:textId="77777777" w:rsidR="00382C07" w:rsidRPr="003E6033" w:rsidRDefault="00382C07" w:rsidP="00382C07">
      <w:pPr>
        <w:pStyle w:val="Normlnweb"/>
        <w:numPr>
          <w:ilvl w:val="4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3E6033">
        <w:rPr>
          <w:rFonts w:ascii="Arial" w:hAnsi="Arial" w:cs="Arial"/>
          <w:b/>
          <w:bCs/>
          <w:color w:val="000000"/>
          <w:sz w:val="22"/>
          <w:szCs w:val="22"/>
        </w:rPr>
        <w:t>přispění ke komunikační činnosti Objednatele propagující výsledky analýzy prostřednictvím dvou webinářů a dvou příspěvků na blogu</w:t>
      </w:r>
      <w:r w:rsidR="0068070B" w:rsidRPr="003E6033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7A90FA4C" w14:textId="7CE19F65" w:rsidR="00D6509D" w:rsidRPr="003E6033" w:rsidRDefault="00382C07" w:rsidP="00382C07">
      <w:pPr>
        <w:pStyle w:val="Normlnweb"/>
        <w:numPr>
          <w:ilvl w:val="4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3E6033">
        <w:rPr>
          <w:rFonts w:ascii="Arial" w:hAnsi="Arial" w:cs="Arial"/>
          <w:b/>
          <w:bCs/>
          <w:color w:val="000000"/>
          <w:sz w:val="22"/>
          <w:szCs w:val="22"/>
        </w:rPr>
        <w:t>poradenství Objednateli v oblasti komunikace týkající se průzkumů;</w:t>
      </w:r>
    </w:p>
    <w:p w14:paraId="26DF1F56" w14:textId="77777777" w:rsidR="00D6509D" w:rsidRPr="003E6033" w:rsidRDefault="00D6509D" w:rsidP="00D6509D">
      <w:pPr>
        <w:pStyle w:val="Odstavecseseznamem"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b/>
          <w:bCs/>
          <w:color w:val="000000"/>
          <w:lang w:eastAsia="en-US"/>
        </w:rPr>
      </w:pPr>
      <w:r w:rsidRPr="003E6033">
        <w:rPr>
          <w:rFonts w:cs="Arial"/>
          <w:b/>
          <w:bCs/>
          <w:color w:val="000000"/>
          <w:lang w:eastAsia="en-US"/>
        </w:rPr>
        <w:t>konzultace a doporučení k průzkumu prostředí VaVaI, který se ukázal jako nutný předpoklad k provedení Fáze II Analýzy. Proběhne zde součinnost i v období mezi oběma fázemi.</w:t>
      </w:r>
    </w:p>
    <w:p w14:paraId="58C1E51B" w14:textId="77777777" w:rsidR="00D6509D" w:rsidRPr="003E6033" w:rsidRDefault="00D6509D" w:rsidP="00D6509D">
      <w:pPr>
        <w:numPr>
          <w:ilvl w:val="0"/>
          <w:numId w:val="4"/>
        </w:numPr>
        <w:spacing w:before="120" w:after="120" w:line="240" w:lineRule="auto"/>
        <w:jc w:val="both"/>
        <w:rPr>
          <w:rFonts w:cs="Arial"/>
          <w:lang w:val="x-none"/>
        </w:rPr>
      </w:pPr>
      <w:bookmarkStart w:id="15" w:name="_Ref151626366"/>
      <w:bookmarkEnd w:id="14"/>
      <w:r w:rsidRPr="003E6033">
        <w:rPr>
          <w:rFonts w:cs="Arial"/>
          <w:b/>
          <w:lang w:val="x-none"/>
        </w:rPr>
        <w:t>Fáze II</w:t>
      </w:r>
      <w:bookmarkEnd w:id="15"/>
    </w:p>
    <w:p w14:paraId="217F25DC" w14:textId="77777777" w:rsidR="00D6509D" w:rsidRPr="003E6033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3E6033">
        <w:rPr>
          <w:rFonts w:cs="Arial"/>
          <w:u w:val="single"/>
        </w:rPr>
        <w:t>Cíl</w:t>
      </w:r>
      <w:r w:rsidRPr="003E6033">
        <w:rPr>
          <w:rFonts w:cs="Arial"/>
        </w:rPr>
        <w:t>. Vyhodnocení posunu v užívání PIDs v českém prostředí VaVaI a přínos aktivit centrální podpory práce s PIDs v rámci projektu CARDS.</w:t>
      </w:r>
    </w:p>
    <w:p w14:paraId="25DC35BA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  <w:u w:val="single"/>
        </w:rPr>
        <w:t>Požadovaný primární výsledek</w:t>
      </w:r>
      <w:r w:rsidRPr="00D6509D">
        <w:rPr>
          <w:rFonts w:cs="Arial"/>
        </w:rPr>
        <w:t xml:space="preserve">. Primárním výsledkem druhé fáze Analýzy bude vyhodnocení stavu užívání a implementace PIDs na konci projektu CARDS a kvantifikace přínosu podpory implementace PIDs. Výstupy tak budou definovat reálný přínos implementace PIDs v českém prostředí VaVaI a výsledky dosavadního působení centra PID </w:t>
      </w:r>
      <w:sdt>
        <w:sdtPr>
          <w:rPr>
            <w:rFonts w:cs="Arial"/>
          </w:rPr>
          <w:tag w:val="goog_rdk_60"/>
          <w:id w:val="-1894111280"/>
        </w:sdtPr>
        <w:sdtEndPr/>
        <w:sdtContent>
          <w:r w:rsidRPr="00D6509D">
            <w:rPr>
              <w:rFonts w:cs="Arial"/>
            </w:rPr>
            <w:t>a zároveň poskytnou doporučení pro další podporu PIDs</w:t>
          </w:r>
        </w:sdtContent>
      </w:sdt>
      <w:sdt>
        <w:sdtPr>
          <w:rPr>
            <w:rFonts w:cs="Arial"/>
          </w:rPr>
          <w:tag w:val="goog_rdk_61"/>
          <w:id w:val="-1693906884"/>
        </w:sdtPr>
        <w:sdtEndPr/>
        <w:sdtContent>
          <w:sdt>
            <w:sdtPr>
              <w:rPr>
                <w:rFonts w:cs="Arial"/>
              </w:rPr>
              <w:tag w:val="goog_rdk_62"/>
              <w:id w:val="1050804205"/>
            </w:sdtPr>
            <w:sdtEndPr/>
            <w:sdtContent/>
          </w:sdt>
        </w:sdtContent>
      </w:sdt>
      <w:r w:rsidRPr="00D6509D">
        <w:rPr>
          <w:rFonts w:cs="Arial"/>
        </w:rPr>
        <w:t>.</w:t>
      </w:r>
    </w:p>
    <w:p w14:paraId="0C05DB05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</w:rPr>
        <w:t>Poskytovatel provede v rámci vypracování druhé fáze Analýzy následující dílčí činnosti a výstupy:</w:t>
      </w:r>
    </w:p>
    <w:p w14:paraId="57AFF601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revize rozsahu sledovaných parametrů; případná úprava a zařazení dalších proměnných, avšak s ohledem na způsobilost porovnání výsledků obou měření;</w:t>
      </w:r>
    </w:p>
    <w:p w14:paraId="147D5E21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sběr dat o definovaných parametrech českého prostředí VaVaI a o úrovni implementace PIDs v systémech a institucích;</w:t>
      </w:r>
    </w:p>
    <w:p w14:paraId="2890E2B2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zhodnocení přínosu nákladů vynaložených v rámci projektu CARDS v průběhu 2023 - 2027 s ohledem na finanční i časové úspory, které investice do PIDs přinesla;</w:t>
      </w:r>
    </w:p>
    <w:p w14:paraId="59557DCF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opakování analýzy potenciálních úspor pro české prostředí VaVaI na další léta - finančních i časových při další metodické podpoře jednotlivých PIDs Centrem PID a vyšším stupni implementace;</w:t>
      </w:r>
    </w:p>
    <w:p w14:paraId="3FC8626A" w14:textId="77777777" w:rsidR="00D6509D" w:rsidRPr="00D6509D" w:rsidRDefault="0030396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sdt>
        <w:sdtPr>
          <w:rPr>
            <w:rFonts w:cs="Arial"/>
            <w:color w:val="000000"/>
            <w:lang w:eastAsia="en-US"/>
          </w:rPr>
          <w:tag w:val="goog_rdk_65"/>
          <w:id w:val="-1717652270"/>
        </w:sdtPr>
        <w:sdtEndPr/>
        <w:sdtContent>
          <w:r w:rsidR="00D6509D" w:rsidRPr="00D6509D">
            <w:rPr>
              <w:rFonts w:cs="Arial"/>
              <w:color w:val="000000"/>
              <w:lang w:eastAsia="en-US"/>
            </w:rPr>
            <w:t>opakování analýzy předpokládaných nákladů na podporu implementace v době měření zpoplatněných PIDs do všech českých výzkumných organizací, včetně predikce nákladů po letech s ohledem na dosavadní růst institucí využívající služby Centra PID</w:t>
          </w:r>
        </w:sdtContent>
      </w:sdt>
    </w:p>
    <w:p w14:paraId="05744BC9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pravidelné konzultace s Objednatelem;</w:t>
      </w:r>
    </w:p>
    <w:p w14:paraId="598C183D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soupis výsledků s důrazem na rozdíl mezi výchozím a současným stavem;</w:t>
      </w:r>
    </w:p>
    <w:p w14:paraId="6E8ABB2B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formulace závěrů, dalších doporučení pro další rozvoj podpory PIDs na národní úrovni.</w:t>
      </w:r>
    </w:p>
    <w:p w14:paraId="5B3B46BF" w14:textId="77777777" w:rsidR="00D6509D" w:rsidRPr="00D6509D" w:rsidRDefault="00D6509D" w:rsidP="00D6509D">
      <w:pPr>
        <w:numPr>
          <w:ilvl w:val="0"/>
          <w:numId w:val="4"/>
        </w:numPr>
        <w:spacing w:before="120" w:after="120" w:line="240" w:lineRule="auto"/>
        <w:jc w:val="both"/>
        <w:rPr>
          <w:rFonts w:cs="Arial"/>
          <w:lang w:val="x-none"/>
        </w:rPr>
      </w:pPr>
      <w:r w:rsidRPr="00D6509D">
        <w:rPr>
          <w:rFonts w:cs="Arial"/>
          <w:b/>
          <w:lang w:val="x-none"/>
        </w:rPr>
        <w:t>Využití Analýzy</w:t>
      </w:r>
    </w:p>
    <w:p w14:paraId="0C15FD68" w14:textId="77777777" w:rsidR="00D6509D" w:rsidRPr="00D6509D" w:rsidRDefault="00D6509D" w:rsidP="00D6509D">
      <w:pPr>
        <w:numPr>
          <w:ilvl w:val="1"/>
          <w:numId w:val="4"/>
        </w:numP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</w:rPr>
        <w:t>Poskytovatel provede Analýzu v souladu s požadavky Objednatele na využití Analýzy, tj., Analýza bude sloužit pro:</w:t>
      </w:r>
    </w:p>
    <w:p w14:paraId="42A74776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zmapování počátečního stavu využití PIDs v českém prostředí VaVaI na začátku projektu CARDS;</w:t>
      </w:r>
    </w:p>
    <w:p w14:paraId="266D5B0D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lastRenderedPageBreak/>
        <w:t>vyhodnocení výsledků a dopadu centralizované finanční, administrativní a metodologické podpory PIDs v průběhu projektu CARDS na české prostředí VaVaI;</w:t>
      </w:r>
    </w:p>
    <w:p w14:paraId="4C4ACBC0" w14:textId="77777777" w:rsidR="00D6509D" w:rsidRPr="00D6509D" w:rsidRDefault="00D6509D" w:rsidP="00D6509D">
      <w:pPr>
        <w:pStyle w:val="Odstavecseseznamem"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426"/>
        <w:contextualSpacing w:val="0"/>
        <w:jc w:val="both"/>
        <w:rPr>
          <w:rFonts w:cs="Arial"/>
          <w:color w:val="000000"/>
          <w:lang w:eastAsia="en-US"/>
        </w:rPr>
      </w:pPr>
      <w:r w:rsidRPr="00D6509D">
        <w:rPr>
          <w:rFonts w:cs="Arial"/>
          <w:color w:val="000000"/>
          <w:lang w:eastAsia="en-US"/>
        </w:rPr>
        <w:t>formulaci dalších plánů a strategií ohledně podpory PIDs po skončení projektu CARDS.</w:t>
      </w:r>
    </w:p>
    <w:p w14:paraId="6C777045" w14:textId="4ED5C44C" w:rsidR="00D6509D" w:rsidRDefault="00D6509D">
      <w:pPr>
        <w:rPr>
          <w:rFonts w:cs="Arial"/>
        </w:rPr>
      </w:pPr>
      <w:r>
        <w:rPr>
          <w:rFonts w:cs="Arial"/>
        </w:rPr>
        <w:br w:type="page"/>
      </w:r>
    </w:p>
    <w:p w14:paraId="79D873D8" w14:textId="77777777" w:rsidR="00D6509D" w:rsidRPr="00D6509D" w:rsidRDefault="00D6509D" w:rsidP="00D6509D">
      <w:pPr>
        <w:spacing w:before="120" w:after="120" w:line="240" w:lineRule="auto"/>
        <w:rPr>
          <w:rFonts w:cs="Arial"/>
        </w:rPr>
      </w:pPr>
    </w:p>
    <w:p w14:paraId="4EF5EAC7" w14:textId="6976506D" w:rsidR="00D6509D" w:rsidRPr="00D6509D" w:rsidRDefault="00D6509D" w:rsidP="00D6509D">
      <w:pPr>
        <w:pStyle w:val="Zpat"/>
        <w:keepLines/>
        <w:spacing w:before="120" w:after="120"/>
        <w:ind w:left="709" w:firstLine="11"/>
        <w:jc w:val="center"/>
        <w:rPr>
          <w:rFonts w:cs="Arial"/>
          <w:b/>
          <w:bCs/>
          <w:caps/>
          <w:kern w:val="28"/>
        </w:rPr>
      </w:pPr>
      <w:r w:rsidRPr="00D6509D">
        <w:rPr>
          <w:rFonts w:cs="Arial"/>
          <w:b/>
          <w:bCs/>
          <w:caps/>
          <w:kern w:val="28"/>
        </w:rPr>
        <w:t xml:space="preserve">Příloha č. 2 Dodatku </w:t>
      </w:r>
    </w:p>
    <w:p w14:paraId="740AA7D6" w14:textId="4AE1294A" w:rsidR="00D6509D" w:rsidRPr="00D6509D" w:rsidRDefault="00D6509D" w:rsidP="00D6509D">
      <w:pPr>
        <w:pStyle w:val="Zpat"/>
        <w:keepLines/>
        <w:spacing w:before="120" w:after="120"/>
        <w:ind w:left="709" w:firstLine="11"/>
        <w:jc w:val="center"/>
        <w:rPr>
          <w:rFonts w:cs="Arial"/>
          <w:b/>
          <w:bCs/>
          <w:caps/>
          <w:kern w:val="28"/>
        </w:rPr>
      </w:pPr>
      <w:r w:rsidRPr="00D6509D">
        <w:rPr>
          <w:rFonts w:cs="Arial"/>
          <w:b/>
          <w:bCs/>
          <w:caps/>
          <w:kern w:val="28"/>
        </w:rPr>
        <w:t xml:space="preserve">Příloha č. 2 Smlouvy </w:t>
      </w:r>
    </w:p>
    <w:p w14:paraId="57D5B91F" w14:textId="77777777" w:rsidR="00D6509D" w:rsidRPr="00D6509D" w:rsidRDefault="00D6509D" w:rsidP="00D6509D">
      <w:pPr>
        <w:pStyle w:val="Zpat"/>
        <w:keepLines/>
        <w:spacing w:before="120" w:after="120"/>
        <w:ind w:left="709" w:firstLine="11"/>
        <w:jc w:val="center"/>
        <w:rPr>
          <w:rFonts w:cs="Arial"/>
          <w:b/>
          <w:bCs/>
          <w:caps/>
          <w:kern w:val="28"/>
        </w:rPr>
      </w:pPr>
      <w:r w:rsidRPr="00D6509D">
        <w:rPr>
          <w:rFonts w:cs="Arial"/>
          <w:b/>
          <w:bCs/>
          <w:caps/>
          <w:kern w:val="28"/>
        </w:rPr>
        <w:t>AKTUALIZOVANÝ Harmonogram plnění</w:t>
      </w:r>
    </w:p>
    <w:p w14:paraId="3D2BC82F" w14:textId="77777777" w:rsidR="00D6509D" w:rsidRPr="00D6509D" w:rsidRDefault="00D6509D" w:rsidP="00D6509D">
      <w:pPr>
        <w:pStyle w:val="Zpat"/>
        <w:keepLines/>
        <w:spacing w:before="120" w:after="120"/>
        <w:ind w:left="709" w:firstLine="11"/>
        <w:jc w:val="center"/>
        <w:rPr>
          <w:rFonts w:cs="Arial"/>
          <w:b/>
          <w:bCs/>
          <w:caps/>
          <w:kern w:val="28"/>
        </w:rPr>
      </w:pPr>
    </w:p>
    <w:p w14:paraId="53AB7875" w14:textId="77777777" w:rsidR="00D6509D" w:rsidRPr="00D6509D" w:rsidRDefault="00D6509D" w:rsidP="00D6509D">
      <w:pPr>
        <w:spacing w:before="120" w:after="120" w:line="240" w:lineRule="auto"/>
        <w:rPr>
          <w:rFonts w:cs="Arial"/>
        </w:rPr>
      </w:pPr>
    </w:p>
    <w:p w14:paraId="743901FC" w14:textId="77777777" w:rsidR="00D6509D" w:rsidRPr="00D6509D" w:rsidRDefault="00D6509D" w:rsidP="00D6509D">
      <w:pPr>
        <w:spacing w:before="120" w:after="120" w:line="240" w:lineRule="auto"/>
        <w:jc w:val="both"/>
        <w:rPr>
          <w:rFonts w:cs="Arial"/>
          <w:b/>
          <w:bCs/>
        </w:rPr>
      </w:pPr>
      <w:r w:rsidRPr="00D6509D">
        <w:rPr>
          <w:rFonts w:cs="Arial"/>
          <w:b/>
          <w:bCs/>
        </w:rPr>
        <w:t>FÁZE I</w:t>
      </w:r>
    </w:p>
    <w:p w14:paraId="4A0E0673" w14:textId="77777777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41" w:hanging="794"/>
        <w:jc w:val="both"/>
        <w:rPr>
          <w:rFonts w:cs="Arial"/>
          <w:b/>
          <w:smallCaps/>
          <w:color w:val="000000"/>
        </w:rPr>
      </w:pPr>
    </w:p>
    <w:p w14:paraId="171A44D1" w14:textId="77777777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color w:val="000000"/>
        </w:rPr>
      </w:pPr>
      <w:r w:rsidRPr="00D6509D">
        <w:rPr>
          <w:rFonts w:cs="Arial"/>
          <w:color w:val="000000"/>
        </w:rPr>
        <w:t xml:space="preserve">Časová dotace: </w:t>
      </w:r>
      <w:r w:rsidRPr="00D6509D">
        <w:rPr>
          <w:rFonts w:cs="Arial"/>
          <w:b/>
          <w:color w:val="000000"/>
        </w:rPr>
        <w:t>11 měsíců</w:t>
      </w:r>
      <w:r w:rsidRPr="00D6509D">
        <w:rPr>
          <w:rFonts w:cs="Arial"/>
          <w:color w:val="000000"/>
        </w:rPr>
        <w:t xml:space="preserve"> </w:t>
      </w:r>
    </w:p>
    <w:p w14:paraId="4AA7E82E" w14:textId="300436BC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b/>
          <w:color w:val="000000"/>
        </w:rPr>
      </w:pPr>
      <w:r w:rsidRPr="00D6509D">
        <w:rPr>
          <w:rFonts w:cs="Arial"/>
          <w:color w:val="000000"/>
        </w:rPr>
        <w:t>Období zpracování FÁZE I a lhůta pro dodání první fáze Analýzy: 1. únor 2024 až</w:t>
      </w:r>
      <w:r w:rsidRPr="00D6509D">
        <w:rPr>
          <w:rFonts w:cs="Arial"/>
          <w:b/>
          <w:color w:val="000000"/>
        </w:rPr>
        <w:t xml:space="preserve"> 31. prosince 202</w:t>
      </w:r>
      <w:r>
        <w:rPr>
          <w:rFonts w:cs="Arial"/>
          <w:b/>
          <w:color w:val="000000"/>
        </w:rPr>
        <w:t>4</w:t>
      </w:r>
    </w:p>
    <w:p w14:paraId="241CC4C8" w14:textId="5642A005" w:rsid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color w:val="000000"/>
        </w:rPr>
      </w:pPr>
      <w:r w:rsidRPr="00D6509D">
        <w:rPr>
          <w:rFonts w:cs="Arial"/>
          <w:color w:val="000000"/>
        </w:rPr>
        <w:t>Předání návrhu metodologie provedení Analýzy k Akceptačnímu řízení: nejpozději do</w:t>
      </w:r>
      <w:sdt>
        <w:sdtPr>
          <w:rPr>
            <w:rFonts w:cs="Arial"/>
          </w:rPr>
          <w:tag w:val="goog_rdk_72"/>
          <w:id w:val="1072318194"/>
        </w:sdtPr>
        <w:sdtEndPr/>
        <w:sdtContent/>
      </w:sdt>
      <w:r w:rsidRPr="00D6509D">
        <w:rPr>
          <w:rFonts w:cs="Arial"/>
          <w:color w:val="000000"/>
        </w:rPr>
        <w:t xml:space="preserve"> dvou (2) měsíců od účinnosti Smlouvy</w:t>
      </w:r>
    </w:p>
    <w:p w14:paraId="599A9CEF" w14:textId="77777777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color w:val="000000"/>
        </w:rPr>
      </w:pPr>
    </w:p>
    <w:p w14:paraId="7EB60525" w14:textId="77777777" w:rsidR="00D6509D" w:rsidRPr="00D6509D" w:rsidRDefault="00D6509D" w:rsidP="00D6509D">
      <w:pPr>
        <w:spacing w:before="120" w:after="120" w:line="240" w:lineRule="auto"/>
        <w:jc w:val="both"/>
        <w:rPr>
          <w:rFonts w:cs="Arial"/>
          <w:b/>
          <w:bCs/>
        </w:rPr>
      </w:pPr>
      <w:r w:rsidRPr="00D6509D">
        <w:rPr>
          <w:rFonts w:cs="Arial"/>
          <w:b/>
          <w:bCs/>
        </w:rPr>
        <w:t>FÁZE II</w:t>
      </w:r>
    </w:p>
    <w:p w14:paraId="27F04A23" w14:textId="77777777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41" w:hanging="794"/>
        <w:jc w:val="both"/>
        <w:rPr>
          <w:rFonts w:cs="Arial"/>
          <w:b/>
          <w:smallCaps/>
          <w:color w:val="000000"/>
        </w:rPr>
      </w:pPr>
    </w:p>
    <w:p w14:paraId="4858F78E" w14:textId="77777777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color w:val="000000"/>
        </w:rPr>
      </w:pPr>
      <w:r w:rsidRPr="00D6509D">
        <w:rPr>
          <w:rFonts w:cs="Arial"/>
          <w:color w:val="000000"/>
        </w:rPr>
        <w:t xml:space="preserve">Časová dotace: 6 měsíců </w:t>
      </w:r>
    </w:p>
    <w:p w14:paraId="4F9D90BD" w14:textId="2FC8E05A" w:rsidR="00D6509D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  <w:color w:val="000000"/>
        </w:rPr>
      </w:pPr>
      <w:r w:rsidRPr="00D6509D">
        <w:rPr>
          <w:rFonts w:cs="Arial"/>
          <w:color w:val="000000"/>
        </w:rPr>
        <w:t>Období zpracování FÁZE II a lhůta pro dodání druhé fáze Analýzy: 1. únor 2028 až 31. červenec 2028</w:t>
      </w:r>
    </w:p>
    <w:p w14:paraId="019B166F" w14:textId="38EC183E" w:rsidR="00F71A84" w:rsidRPr="00D6509D" w:rsidRDefault="00D6509D" w:rsidP="00D65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Arial"/>
        </w:rPr>
      </w:pPr>
      <w:r w:rsidRPr="00D6509D">
        <w:rPr>
          <w:rFonts w:cs="Arial"/>
          <w:color w:val="000000"/>
        </w:rPr>
        <w:t>Předání návrhu metodologie provedení Analýzy k Akceptačnímu řízení: nejpozději do dvou (2) měsíců od pokynu Objednatele k zahájení Fáze II Analýzy</w:t>
      </w:r>
    </w:p>
    <w:sectPr w:rsidR="00F71A84" w:rsidRPr="00D6509D" w:rsidSect="00870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0F5E" w14:textId="77777777" w:rsidR="00156A69" w:rsidRDefault="00156A69">
      <w:pPr>
        <w:spacing w:line="240" w:lineRule="auto"/>
      </w:pPr>
      <w:r>
        <w:separator/>
      </w:r>
    </w:p>
  </w:endnote>
  <w:endnote w:type="continuationSeparator" w:id="0">
    <w:p w14:paraId="70428C95" w14:textId="77777777" w:rsidR="00156A69" w:rsidRDefault="00156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89FF" w14:textId="77777777" w:rsidR="005A4E4D" w:rsidRDefault="005A4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F020" w14:textId="018B5645" w:rsidR="007F0E67" w:rsidRPr="00104F08" w:rsidRDefault="007F0E67" w:rsidP="007F0E67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30396D">
      <w:rPr>
        <w:noProof/>
        <w:color w:val="CE3736"/>
      </w:rPr>
      <w:t>8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30396D">
      <w:rPr>
        <w:noProof/>
        <w:color w:val="CE3736"/>
      </w:rPr>
      <w:t>8</w:t>
    </w:r>
    <w:r w:rsidRPr="00104F08">
      <w:rPr>
        <w:color w:val="CE3736"/>
      </w:rPr>
      <w:fldChar w:fldCharType="end"/>
    </w:r>
  </w:p>
  <w:p w14:paraId="039CFA7C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5D2B" w14:textId="77777777" w:rsidR="007F0E67" w:rsidRPr="005B0B34" w:rsidRDefault="00067095" w:rsidP="007F0E6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17A61906" wp14:editId="5A1AB612">
              <wp:simplePos x="0" y="0"/>
              <wp:positionH relativeFrom="column">
                <wp:posOffset>5610860</wp:posOffset>
              </wp:positionH>
              <wp:positionV relativeFrom="paragraph">
                <wp:posOffset>-112179</wp:posOffset>
              </wp:positionV>
              <wp:extent cx="672809" cy="658538"/>
              <wp:effectExtent l="0" t="0" r="635" b="19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20E8F5" w14:textId="35014892" w:rsidR="00067095" w:rsidRPr="00067095" w:rsidRDefault="00067095" w:rsidP="00067095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30396D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Pr="00067095">
                            <w:rPr>
                              <w:color w:val="CE3736"/>
                            </w:rPr>
                            <w:t>/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30396D">
                            <w:rPr>
                              <w:noProof/>
                              <w:color w:val="CE3736"/>
                            </w:rPr>
                            <w:t>8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6595C762" w14:textId="77777777" w:rsidR="00067095" w:rsidRPr="00067095" w:rsidRDefault="00067095" w:rsidP="000670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61906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441.8pt;margin-top:-8.85pt;width:53pt;height:51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" fillcolor="white [3201]" stroked="f" strokeweight=".5pt">
              <v:textbox>
                <w:txbxContent>
                  <w:p w14:paraId="0C20E8F5" w14:textId="35014892" w:rsidR="00067095" w:rsidRPr="00067095" w:rsidRDefault="00067095" w:rsidP="00067095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>PAGE  \* Arabic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30396D">
                      <w:rPr>
                        <w:noProof/>
                        <w:color w:val="CE3736"/>
                      </w:rPr>
                      <w:t>1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  <w:r w:rsidRPr="00067095">
                      <w:rPr>
                        <w:color w:val="CE3736"/>
                      </w:rPr>
                      <w:t>/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30396D">
                      <w:rPr>
                        <w:noProof/>
                        <w:color w:val="CE3736"/>
                      </w:rPr>
                      <w:t>8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</w:p>
                  <w:p w14:paraId="6595C762" w14:textId="77777777" w:rsidR="00067095" w:rsidRPr="00067095" w:rsidRDefault="00067095" w:rsidP="0006709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4DC7C7E6" wp14:editId="044CA9F6">
          <wp:extent cx="3432875" cy="493242"/>
          <wp:effectExtent l="0" t="0" r="0" b="254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663F"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3C57" w14:textId="77777777" w:rsidR="00156A69" w:rsidRDefault="00156A69">
      <w:pPr>
        <w:spacing w:line="240" w:lineRule="auto"/>
      </w:pPr>
      <w:r>
        <w:separator/>
      </w:r>
    </w:p>
  </w:footnote>
  <w:footnote w:type="continuationSeparator" w:id="0">
    <w:p w14:paraId="3724A78E" w14:textId="77777777" w:rsidR="00156A69" w:rsidRDefault="00156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793C" w14:textId="6B85BB03" w:rsidR="00142519" w:rsidRDefault="00D6509D">
    <w:pPr>
      <w:pStyle w:val="Zhlav"/>
    </w:pPr>
    <w:r>
      <w:rPr>
        <w:noProof/>
      </w:rPr>
      <w:drawing>
        <wp:anchor distT="0" distB="0" distL="114300" distR="114300" simplePos="0" relativeHeight="251758592" behindDoc="1" locked="0" layoutInCell="0" allowOverlap="1" wp14:anchorId="06F2CAA3" wp14:editId="78623B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8405495"/>
          <wp:effectExtent l="0" t="0" r="3810" b="0"/>
          <wp:wrapNone/>
          <wp:docPr id="123954754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2123996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40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96D">
      <w:rPr>
        <w:noProof/>
      </w:rPr>
      <w:pict w14:anchorId="2B548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1035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30396D">
      <w:rPr>
        <w:noProof/>
      </w:rPr>
      <w:pict w14:anchorId="65F27D47">
        <v:shape id="WordPictureWatermark614018973" o:spid="_x0000_s1034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30396D">
      <w:rPr>
        <w:noProof/>
      </w:rPr>
      <w:pict w14:anchorId="22BD055B">
        <v:shape id="WordPictureWatermark613800305" o:spid="_x0000_s1033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30396D">
      <w:rPr>
        <w:noProof/>
      </w:rPr>
      <w:pict w14:anchorId="48833180">
        <v:shape id="WordPictureWatermark613777997" o:spid="_x0000_s1032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30396D">
      <w:rPr>
        <w:noProof/>
      </w:rPr>
      <w:pict w14:anchorId="6C0ED33D">
        <v:shape id="WordPictureWatermark613758624" o:spid="_x0000_s1031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30396D">
      <w:rPr>
        <w:noProof/>
      </w:rPr>
      <w:pict w14:anchorId="0FCABFE7">
        <v:shape id="WordPictureWatermark613729749" o:spid="_x0000_s1030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30396D">
      <w:rPr>
        <w:noProof/>
      </w:rPr>
      <w:pict w14:anchorId="7030B464">
        <v:shape id="WordPictureWatermark613700924" o:spid="_x0000_s1029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30396D">
      <w:rPr>
        <w:noProof/>
      </w:rPr>
      <w:pict w14:anchorId="1785585E">
        <v:shape id="WordPictureWatermark612789589" o:spid="_x0000_s1028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30396D">
      <w:rPr>
        <w:noProof/>
      </w:rPr>
      <w:pict w14:anchorId="719BC152">
        <v:shape id="WordPictureWatermark612753744" o:spid="_x0000_s1027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30396D">
      <w:rPr>
        <w:noProof/>
      </w:rPr>
      <w:pict w14:anchorId="7F546950">
        <v:shape id="WordPictureWatermark612722345" o:spid="_x0000_s1026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1" locked="0" layoutInCell="0" allowOverlap="1" wp14:anchorId="64590C16" wp14:editId="75CB9E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8405495"/>
          <wp:effectExtent l="0" t="0" r="3810" b="0"/>
          <wp:wrapNone/>
          <wp:docPr id="11549151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552799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40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9E32" w14:textId="77777777" w:rsidR="00270535" w:rsidRDefault="00270535" w:rsidP="00270535"/>
  <w:p w14:paraId="3655A3B4" w14:textId="77777777" w:rsidR="00270535" w:rsidRPr="006576A8" w:rsidRDefault="00270535" w:rsidP="00270535">
    <w:pPr>
      <w:rPr>
        <w:sz w:val="13"/>
        <w:szCs w:val="13"/>
      </w:rPr>
    </w:pPr>
  </w:p>
  <w:p w14:paraId="0E760B6F" w14:textId="77777777" w:rsidR="005C6E7C" w:rsidRDefault="00270535">
    <w:pPr>
      <w:pStyle w:val="Zhlav"/>
    </w:pPr>
    <w:r>
      <w:rPr>
        <w:noProof/>
      </w:rPr>
      <w:drawing>
        <wp:inline distT="0" distB="0" distL="0" distR="0" wp14:anchorId="473182BB" wp14:editId="51711880">
          <wp:extent cx="6721242" cy="738000"/>
          <wp:effectExtent l="0" t="0" r="0" b="0"/>
          <wp:docPr id="16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242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14909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584B" w14:textId="77777777" w:rsidR="001B47DC" w:rsidRDefault="001B47DC" w:rsidP="001B47DC"/>
  <w:p w14:paraId="515A2317" w14:textId="77777777" w:rsidR="001B47DC" w:rsidRPr="006576A8" w:rsidRDefault="001B47DC" w:rsidP="001B47DC">
    <w:pPr>
      <w:rPr>
        <w:sz w:val="13"/>
        <w:szCs w:val="13"/>
      </w:rPr>
    </w:pPr>
  </w:p>
  <w:p w14:paraId="0A010E23" w14:textId="77777777" w:rsidR="00C354C2" w:rsidRDefault="007F0E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7AC5B4CC" wp14:editId="0DB5EF32">
          <wp:extent cx="6728400" cy="738990"/>
          <wp:effectExtent l="0" t="0" r="0" b="0"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794"/>
    <w:multiLevelType w:val="hybridMultilevel"/>
    <w:tmpl w:val="F8C8AED8"/>
    <w:lvl w:ilvl="0" w:tplc="2C9CA89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50E7"/>
    <w:multiLevelType w:val="hybridMultilevel"/>
    <w:tmpl w:val="065C6A26"/>
    <w:lvl w:ilvl="0" w:tplc="19C60C3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6C1555"/>
    <w:multiLevelType w:val="multilevel"/>
    <w:tmpl w:val="0B24C80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Times New Roman"/>
        <w:b/>
        <w:i w:val="0"/>
        <w:sz w:val="22"/>
        <w:szCs w:val="22"/>
      </w:rPr>
    </w:lvl>
    <w:lvl w:ilvl="1">
      <w:start w:val="1"/>
      <w:numFmt w:val="decimal"/>
      <w:pStyle w:val="RLTextlnkuslovan"/>
      <w:lvlText w:val="%1.%2"/>
      <w:lvlJc w:val="left"/>
      <w:pPr>
        <w:ind w:left="567" w:hanging="567"/>
      </w:pPr>
      <w:rPr>
        <w:rFonts w:ascii="Arial" w:eastAsia="Times" w:hAnsi="Arial" w:cs="Arial" w:hint="default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33DE7A88"/>
    <w:multiLevelType w:val="hybridMultilevel"/>
    <w:tmpl w:val="E96208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EF1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CB7023"/>
    <w:multiLevelType w:val="hybridMultilevel"/>
    <w:tmpl w:val="CB6EED1E"/>
    <w:lvl w:ilvl="0" w:tplc="446E8260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8966B32">
      <w:start w:val="1"/>
      <w:numFmt w:val="lowerLetter"/>
      <w:lvlText w:val="(%3)"/>
      <w:lvlJc w:val="left"/>
      <w:pPr>
        <w:ind w:left="2832" w:hanging="852"/>
      </w:pPr>
      <w:rPr>
        <w:rFonts w:hint="default"/>
        <w:i/>
        <w:i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77FF"/>
    <w:multiLevelType w:val="hybridMultilevel"/>
    <w:tmpl w:val="065C6A26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F55858"/>
    <w:multiLevelType w:val="hybridMultilevel"/>
    <w:tmpl w:val="065C6A26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F71E99"/>
    <w:multiLevelType w:val="hybridMultilevel"/>
    <w:tmpl w:val="18524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752D"/>
    <w:multiLevelType w:val="multilevel"/>
    <w:tmpl w:val="44E68C36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Styl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4D"/>
    <w:rsid w:val="00010051"/>
    <w:rsid w:val="00067095"/>
    <w:rsid w:val="00071D5A"/>
    <w:rsid w:val="0007352D"/>
    <w:rsid w:val="00096F37"/>
    <w:rsid w:val="000A1D6C"/>
    <w:rsid w:val="000A7CE3"/>
    <w:rsid w:val="000B056D"/>
    <w:rsid w:val="000F704C"/>
    <w:rsid w:val="00142519"/>
    <w:rsid w:val="00156A69"/>
    <w:rsid w:val="00195AF7"/>
    <w:rsid w:val="001A64CF"/>
    <w:rsid w:val="001B47DC"/>
    <w:rsid w:val="001E2F6A"/>
    <w:rsid w:val="002020DF"/>
    <w:rsid w:val="00206A99"/>
    <w:rsid w:val="002106A2"/>
    <w:rsid w:val="00223F3D"/>
    <w:rsid w:val="00270535"/>
    <w:rsid w:val="00294047"/>
    <w:rsid w:val="002A75F1"/>
    <w:rsid w:val="00301691"/>
    <w:rsid w:val="0030396D"/>
    <w:rsid w:val="0030773C"/>
    <w:rsid w:val="00307776"/>
    <w:rsid w:val="0031427C"/>
    <w:rsid w:val="00382C07"/>
    <w:rsid w:val="003A1A6C"/>
    <w:rsid w:val="003E6033"/>
    <w:rsid w:val="003F1ED0"/>
    <w:rsid w:val="0040682E"/>
    <w:rsid w:val="004171EF"/>
    <w:rsid w:val="004202AB"/>
    <w:rsid w:val="004244D0"/>
    <w:rsid w:val="0042652A"/>
    <w:rsid w:val="00432FCE"/>
    <w:rsid w:val="0043424D"/>
    <w:rsid w:val="00436C27"/>
    <w:rsid w:val="004374B5"/>
    <w:rsid w:val="004532AB"/>
    <w:rsid w:val="0047255E"/>
    <w:rsid w:val="00490856"/>
    <w:rsid w:val="00497EA3"/>
    <w:rsid w:val="004C43D0"/>
    <w:rsid w:val="004C6486"/>
    <w:rsid w:val="004C663F"/>
    <w:rsid w:val="004D15F5"/>
    <w:rsid w:val="00505278"/>
    <w:rsid w:val="005055B4"/>
    <w:rsid w:val="00513F64"/>
    <w:rsid w:val="00524E32"/>
    <w:rsid w:val="00533061"/>
    <w:rsid w:val="005470D9"/>
    <w:rsid w:val="005632FD"/>
    <w:rsid w:val="00567CD6"/>
    <w:rsid w:val="0058470F"/>
    <w:rsid w:val="005A4E4D"/>
    <w:rsid w:val="005B0B34"/>
    <w:rsid w:val="005C0E52"/>
    <w:rsid w:val="005C6E7C"/>
    <w:rsid w:val="005D17AD"/>
    <w:rsid w:val="00630D34"/>
    <w:rsid w:val="00653481"/>
    <w:rsid w:val="00663CEA"/>
    <w:rsid w:val="0068070B"/>
    <w:rsid w:val="006D1E11"/>
    <w:rsid w:val="006F76DD"/>
    <w:rsid w:val="006F7A76"/>
    <w:rsid w:val="007310FD"/>
    <w:rsid w:val="007664FC"/>
    <w:rsid w:val="00776047"/>
    <w:rsid w:val="007811F7"/>
    <w:rsid w:val="007A3068"/>
    <w:rsid w:val="007D3825"/>
    <w:rsid w:val="007F0E67"/>
    <w:rsid w:val="00826B59"/>
    <w:rsid w:val="00844799"/>
    <w:rsid w:val="00855E2C"/>
    <w:rsid w:val="00870533"/>
    <w:rsid w:val="008811EF"/>
    <w:rsid w:val="0088637D"/>
    <w:rsid w:val="00896246"/>
    <w:rsid w:val="00897D02"/>
    <w:rsid w:val="008B49A7"/>
    <w:rsid w:val="008D7FC2"/>
    <w:rsid w:val="008F1DED"/>
    <w:rsid w:val="00914C47"/>
    <w:rsid w:val="00956C07"/>
    <w:rsid w:val="0097384B"/>
    <w:rsid w:val="009C178A"/>
    <w:rsid w:val="009F26B1"/>
    <w:rsid w:val="009F404A"/>
    <w:rsid w:val="00A01AA8"/>
    <w:rsid w:val="00A25711"/>
    <w:rsid w:val="00A3477F"/>
    <w:rsid w:val="00A47B6E"/>
    <w:rsid w:val="00A76B0F"/>
    <w:rsid w:val="00AA0AE2"/>
    <w:rsid w:val="00AA3D4F"/>
    <w:rsid w:val="00AB04D3"/>
    <w:rsid w:val="00AC0535"/>
    <w:rsid w:val="00AC1FEE"/>
    <w:rsid w:val="00AE211D"/>
    <w:rsid w:val="00B006E3"/>
    <w:rsid w:val="00B4655C"/>
    <w:rsid w:val="00B61DEC"/>
    <w:rsid w:val="00B72A56"/>
    <w:rsid w:val="00B75394"/>
    <w:rsid w:val="00BA7E1C"/>
    <w:rsid w:val="00BB22C3"/>
    <w:rsid w:val="00BD4D42"/>
    <w:rsid w:val="00BF563D"/>
    <w:rsid w:val="00C235E3"/>
    <w:rsid w:val="00C2792B"/>
    <w:rsid w:val="00C354C2"/>
    <w:rsid w:val="00C4008B"/>
    <w:rsid w:val="00C64DD0"/>
    <w:rsid w:val="00C850AD"/>
    <w:rsid w:val="00CA77C8"/>
    <w:rsid w:val="00CB3A77"/>
    <w:rsid w:val="00CE0D89"/>
    <w:rsid w:val="00CE5E8B"/>
    <w:rsid w:val="00D14C8F"/>
    <w:rsid w:val="00D22CB2"/>
    <w:rsid w:val="00D22DD1"/>
    <w:rsid w:val="00D23583"/>
    <w:rsid w:val="00D45509"/>
    <w:rsid w:val="00D57D84"/>
    <w:rsid w:val="00D6509D"/>
    <w:rsid w:val="00D73805"/>
    <w:rsid w:val="00D9768E"/>
    <w:rsid w:val="00DB2FAC"/>
    <w:rsid w:val="00DF1B02"/>
    <w:rsid w:val="00E45842"/>
    <w:rsid w:val="00E517EF"/>
    <w:rsid w:val="00E51ECE"/>
    <w:rsid w:val="00E60745"/>
    <w:rsid w:val="00E62C6A"/>
    <w:rsid w:val="00E72515"/>
    <w:rsid w:val="00E74792"/>
    <w:rsid w:val="00E915B5"/>
    <w:rsid w:val="00EF0CF5"/>
    <w:rsid w:val="00EF1EB1"/>
    <w:rsid w:val="00F47B3D"/>
    <w:rsid w:val="00F71A84"/>
    <w:rsid w:val="00F75DBC"/>
    <w:rsid w:val="00FA2760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53A11"/>
  <w14:defaultImageDpi w14:val="32767"/>
  <w15:docId w15:val="{4F4B7837-3152-408E-8D6C-01D935F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uiPriority w:val="10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1"/>
    <w:rsid w:val="004C6486"/>
    <w:pPr>
      <w:spacing w:line="240" w:lineRule="auto"/>
    </w:p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customStyle="1" w:styleId="Text11">
    <w:name w:val="Text 1.1"/>
    <w:basedOn w:val="Normln"/>
    <w:qFormat/>
    <w:rsid w:val="00D6509D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  <w:lang w:eastAsia="en-US"/>
    </w:rPr>
  </w:style>
  <w:style w:type="character" w:styleId="Odkaznakoment">
    <w:name w:val="annotation reference"/>
    <w:uiPriority w:val="99"/>
    <w:unhideWhenUsed/>
    <w:rsid w:val="00D650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6509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509D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D6509D"/>
  </w:style>
  <w:style w:type="paragraph" w:styleId="Zkladntext">
    <w:name w:val="Body Text"/>
    <w:basedOn w:val="Normln"/>
    <w:link w:val="ZkladntextChar"/>
    <w:rsid w:val="00D6509D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6509D"/>
    <w:rPr>
      <w:rFonts w:ascii="Times New Roman" w:eastAsia="SimSun" w:hAnsi="Times New Roman" w:cs="Times New Roman"/>
      <w:szCs w:val="24"/>
      <w:lang w:eastAsia="en-US"/>
    </w:rPr>
  </w:style>
  <w:style w:type="paragraph" w:customStyle="1" w:styleId="RLTextlnkuslovan">
    <w:name w:val="RL Text článku číslovaný"/>
    <w:basedOn w:val="Normln"/>
    <w:qFormat/>
    <w:rsid w:val="00D6509D"/>
    <w:pPr>
      <w:numPr>
        <w:ilvl w:val="1"/>
        <w:numId w:val="4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Styl3">
    <w:name w:val="Styl 3"/>
    <w:basedOn w:val="Normln"/>
    <w:qFormat/>
    <w:rsid w:val="00D6509D"/>
    <w:pPr>
      <w:numPr>
        <w:ilvl w:val="2"/>
        <w:numId w:val="8"/>
      </w:numPr>
      <w:spacing w:before="120" w:line="276" w:lineRule="auto"/>
      <w:ind w:left="1224" w:hanging="657"/>
      <w:jc w:val="both"/>
    </w:pPr>
    <w:rPr>
      <w:rFonts w:asciiTheme="minorHAnsi" w:eastAsia="Calibri" w:hAnsiTheme="minorHAnsi" w:cs="Arial"/>
      <w:lang w:eastAsia="en-US"/>
    </w:rPr>
  </w:style>
  <w:style w:type="paragraph" w:customStyle="1" w:styleId="Preambule">
    <w:name w:val="Preambule"/>
    <w:basedOn w:val="Normln"/>
    <w:qFormat/>
    <w:rsid w:val="00D6509D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D6509D"/>
    <w:rPr>
      <w:b/>
      <w:color w:val="CE3736"/>
      <w:sz w:val="36"/>
      <w:szCs w:val="3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08B"/>
    <w:rPr>
      <w:rFonts w:ascii="Arial" w:eastAsia="Open Sans" w:hAnsi="Arial" w:cs="Open Sans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0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5B4"/>
    <w:pPr>
      <w:spacing w:line="240" w:lineRule="auto"/>
    </w:pPr>
  </w:style>
  <w:style w:type="paragraph" w:customStyle="1" w:styleId="pf0">
    <w:name w:val="pf0"/>
    <w:basedOn w:val="Normln"/>
    <w:rsid w:val="0030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307776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78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E86D8-3991-4F8F-9538-FFF17065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1985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 Bayer</cp:lastModifiedBy>
  <cp:revision>3</cp:revision>
  <cp:lastPrinted>2023-03-08T09:51:00Z</cp:lastPrinted>
  <dcterms:created xsi:type="dcterms:W3CDTF">2024-09-24T10:31:00Z</dcterms:created>
  <dcterms:modified xsi:type="dcterms:W3CDTF">2024-09-24T10:33:00Z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4b329683bad739e3385c288f7c25d20af6227f4a1a7b583e228f246940278966</vt:lpwstr>
  </property>
  <property fmtid="{D5CDD505-2E9C-101B-9397-08002B2CF9AE}" pid="3" name="MSIP_Label_f15a8442-68f3-4087-8f05-d564bed44e92_Enabled">
    <vt:lpwstr>true</vt:lpwstr>
  </property>
  <property fmtid="{D5CDD505-2E9C-101B-9397-08002B2CF9AE}" pid="4" name="MSIP_Label_f15a8442-68f3-4087-8f05-d564bed44e92_SetDate">
    <vt:lpwstr>2024-08-14T15:06:15Z</vt:lpwstr>
  </property>
  <property fmtid="{D5CDD505-2E9C-101B-9397-08002B2CF9AE}" pid="5" name="MSIP_Label_f15a8442-68f3-4087-8f05-d564bed44e92_Method">
    <vt:lpwstr>Standard</vt:lpwstr>
  </property>
  <property fmtid="{D5CDD505-2E9C-101B-9397-08002B2CF9AE}" pid="6" name="MSIP_Label_f15a8442-68f3-4087-8f05-d564bed44e92_Name">
    <vt:lpwstr>97171605-0670-4512-b8c8-ebe12520d29a</vt:lpwstr>
  </property>
  <property fmtid="{D5CDD505-2E9C-101B-9397-08002B2CF9AE}" pid="7" name="MSIP_Label_f15a8442-68f3-4087-8f05-d564bed44e92_SiteId">
    <vt:lpwstr>138f17b0-6ad5-4ddf-a195-24e73c3655fd</vt:lpwstr>
  </property>
  <property fmtid="{D5CDD505-2E9C-101B-9397-08002B2CF9AE}" pid="8" name="MSIP_Label_f15a8442-68f3-4087-8f05-d564bed44e92_ActionId">
    <vt:lpwstr>069ed6a3-90dc-4255-9aae-76a11d9afc6c</vt:lpwstr>
  </property>
  <property fmtid="{D5CDD505-2E9C-101B-9397-08002B2CF9AE}" pid="9" name="MSIP_Label_f15a8442-68f3-4087-8f05-d564bed44e92_ContentBits">
    <vt:lpwstr>0</vt:lpwstr>
  </property>
</Properties>
</file>