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2479" w:tblpY="60"/>
        <w:tblW w:w="0" w:type="auto"/>
        <w:tblLayout w:type="fixed"/>
        <w:tblCellMar>
          <w:left w:w="10" w:type="dxa"/>
          <w:right w:w="10" w:type="dxa"/>
        </w:tblCellMar>
        <w:tblLook w:val="04A0" w:firstRow="1" w:lastRow="0" w:firstColumn="1" w:lastColumn="0" w:noHBand="0" w:noVBand="1"/>
      </w:tblPr>
      <w:tblGrid>
        <w:gridCol w:w="3586"/>
        <w:gridCol w:w="571"/>
        <w:gridCol w:w="1133"/>
      </w:tblGrid>
      <w:tr w:rsidR="00F84CA3" w14:paraId="63C955BA" w14:textId="77777777">
        <w:trPr>
          <w:trHeight w:hRule="exact" w:val="437"/>
          <w:tblHeader/>
        </w:trPr>
        <w:tc>
          <w:tcPr>
            <w:tcW w:w="5290" w:type="dxa"/>
            <w:gridSpan w:val="3"/>
            <w:shd w:val="clear" w:color="auto" w:fill="FFFFFF"/>
          </w:tcPr>
          <w:p w14:paraId="63C955B8" w14:textId="77777777" w:rsidR="00F84CA3" w:rsidRDefault="00E56A59" w:rsidP="00FA5FB5">
            <w:pPr>
              <w:pStyle w:val="Jin0"/>
              <w:shd w:val="clear" w:color="auto" w:fill="auto"/>
            </w:pPr>
            <w:r>
              <w:rPr>
                <w:b/>
                <w:bCs/>
              </w:rPr>
              <w:t>Národní galerie v Praze</w:t>
            </w:r>
          </w:p>
          <w:p w14:paraId="63C955B9" w14:textId="77777777" w:rsidR="00F84CA3" w:rsidRDefault="00E56A59" w:rsidP="00FA5FB5">
            <w:pPr>
              <w:pStyle w:val="Jin0"/>
              <w:shd w:val="clear" w:color="auto" w:fill="auto"/>
            </w:pPr>
            <w:r>
              <w:t>Staroměstské nám. 606/12, 110 15 Praha 1</w:t>
            </w:r>
          </w:p>
        </w:tc>
      </w:tr>
      <w:tr w:rsidR="00F84CA3" w14:paraId="63C955C0" w14:textId="77777777">
        <w:trPr>
          <w:trHeight w:hRule="exact" w:val="1109"/>
        </w:trPr>
        <w:tc>
          <w:tcPr>
            <w:tcW w:w="3586" w:type="dxa"/>
            <w:shd w:val="clear" w:color="auto" w:fill="FFFFFF"/>
            <w:vAlign w:val="center"/>
          </w:tcPr>
          <w:p w14:paraId="63C955BB" w14:textId="77777777" w:rsidR="00F84CA3" w:rsidRDefault="00E56A59" w:rsidP="00FA5FB5">
            <w:pPr>
              <w:pStyle w:val="Jin0"/>
              <w:shd w:val="clear" w:color="auto" w:fill="auto"/>
            </w:pPr>
            <w:r>
              <w:t>00023281</w:t>
            </w:r>
          </w:p>
          <w:p w14:paraId="7DBF9ED8" w14:textId="77777777" w:rsidR="00CA184C" w:rsidRDefault="00E56A59" w:rsidP="00FA5FB5">
            <w:pPr>
              <w:pStyle w:val="Jin0"/>
              <w:shd w:val="clear" w:color="auto" w:fill="auto"/>
            </w:pPr>
            <w:r>
              <w:t xml:space="preserve">Alicjí Knast, generální ředitelkou </w:t>
            </w:r>
          </w:p>
          <w:p w14:paraId="217C30F9" w14:textId="77777777" w:rsidR="00FA5FB5" w:rsidRDefault="00FA5FB5" w:rsidP="00FA5FB5">
            <w:pPr>
              <w:pStyle w:val="Jin0"/>
              <w:shd w:val="clear" w:color="auto" w:fill="auto"/>
            </w:pPr>
            <w:r>
              <w:t>XXX</w:t>
            </w:r>
          </w:p>
          <w:p w14:paraId="63C955BD" w14:textId="2DCF6C70" w:rsidR="00F84CA3" w:rsidRDefault="00FA5FB5" w:rsidP="00FA5FB5">
            <w:pPr>
              <w:pStyle w:val="Jin0"/>
              <w:shd w:val="clear" w:color="auto" w:fill="auto"/>
            </w:pPr>
            <w:r>
              <w:t>XXXXXXXXXXXXXXXXXXXXX</w:t>
            </w:r>
          </w:p>
        </w:tc>
        <w:tc>
          <w:tcPr>
            <w:tcW w:w="571" w:type="dxa"/>
            <w:shd w:val="clear" w:color="auto" w:fill="FFFFFF"/>
          </w:tcPr>
          <w:p w14:paraId="63C955BE" w14:textId="77777777" w:rsidR="00F84CA3" w:rsidRDefault="00E56A59">
            <w:pPr>
              <w:pStyle w:val="Jin0"/>
              <w:shd w:val="clear" w:color="auto" w:fill="auto"/>
            </w:pPr>
            <w:r>
              <w:t>DIČ:</w:t>
            </w:r>
          </w:p>
        </w:tc>
        <w:tc>
          <w:tcPr>
            <w:tcW w:w="1133" w:type="dxa"/>
            <w:shd w:val="clear" w:color="auto" w:fill="FFFFFF"/>
          </w:tcPr>
          <w:p w14:paraId="63C955BF" w14:textId="77777777" w:rsidR="00F84CA3" w:rsidRDefault="00E56A59">
            <w:pPr>
              <w:pStyle w:val="Jin0"/>
              <w:shd w:val="clear" w:color="auto" w:fill="auto"/>
            </w:pPr>
            <w:r>
              <w:t>CZ00023281</w:t>
            </w:r>
          </w:p>
        </w:tc>
      </w:tr>
      <w:tr w:rsidR="00F84CA3" w14:paraId="63C955C3" w14:textId="77777777">
        <w:trPr>
          <w:trHeight w:hRule="exact" w:val="355"/>
        </w:trPr>
        <w:tc>
          <w:tcPr>
            <w:tcW w:w="4157" w:type="dxa"/>
            <w:gridSpan w:val="2"/>
            <w:shd w:val="clear" w:color="auto" w:fill="FFFFFF"/>
            <w:vAlign w:val="bottom"/>
          </w:tcPr>
          <w:p w14:paraId="63C955C1" w14:textId="77777777" w:rsidR="00F84CA3" w:rsidRDefault="00E56A59">
            <w:pPr>
              <w:pStyle w:val="Jin0"/>
              <w:shd w:val="clear" w:color="auto" w:fill="auto"/>
              <w:ind w:left="2820"/>
            </w:pPr>
            <w:r>
              <w:t xml:space="preserve">dále </w:t>
            </w:r>
            <w:r>
              <w:rPr>
                <w:b/>
                <w:bCs/>
              </w:rPr>
              <w:t xml:space="preserve">zákazník </w:t>
            </w:r>
            <w:r>
              <w:t>a</w:t>
            </w:r>
          </w:p>
        </w:tc>
        <w:tc>
          <w:tcPr>
            <w:tcW w:w="1133" w:type="dxa"/>
            <w:shd w:val="clear" w:color="auto" w:fill="FFFFFF"/>
          </w:tcPr>
          <w:p w14:paraId="63C955C2" w14:textId="77777777" w:rsidR="00F84CA3" w:rsidRDefault="00F84CA3">
            <w:pPr>
              <w:rPr>
                <w:sz w:val="10"/>
                <w:szCs w:val="10"/>
              </w:rPr>
            </w:pPr>
          </w:p>
        </w:tc>
      </w:tr>
      <w:tr w:rsidR="00F84CA3" w14:paraId="63C955C8" w14:textId="77777777">
        <w:trPr>
          <w:trHeight w:hRule="exact" w:val="293"/>
        </w:trPr>
        <w:tc>
          <w:tcPr>
            <w:tcW w:w="3586" w:type="dxa"/>
            <w:shd w:val="clear" w:color="auto" w:fill="FFFFFF"/>
            <w:vAlign w:val="center"/>
          </w:tcPr>
          <w:p w14:paraId="63C955C4" w14:textId="77777777" w:rsidR="00F84CA3" w:rsidRDefault="00E56A59">
            <w:pPr>
              <w:pStyle w:val="Jin0"/>
              <w:shd w:val="clear" w:color="auto" w:fill="auto"/>
            </w:pPr>
            <w:r>
              <w:rPr>
                <w:b/>
                <w:bCs/>
              </w:rPr>
              <w:t>GLOSSA, s.r.o.</w:t>
            </w:r>
          </w:p>
        </w:tc>
        <w:tc>
          <w:tcPr>
            <w:tcW w:w="571" w:type="dxa"/>
            <w:shd w:val="clear" w:color="auto" w:fill="FFFFFF"/>
          </w:tcPr>
          <w:p w14:paraId="63C955C5" w14:textId="77777777" w:rsidR="00F84CA3" w:rsidRDefault="00F84CA3">
            <w:pPr>
              <w:rPr>
                <w:sz w:val="10"/>
                <w:szCs w:val="10"/>
              </w:rPr>
            </w:pPr>
          </w:p>
        </w:tc>
        <w:tc>
          <w:tcPr>
            <w:tcW w:w="1133" w:type="dxa"/>
            <w:vMerge w:val="restart"/>
            <w:shd w:val="clear" w:color="auto" w:fill="FFFFFF"/>
          </w:tcPr>
          <w:p w14:paraId="63C955C6" w14:textId="1B42A26C" w:rsidR="00F84CA3" w:rsidRDefault="00E56A59">
            <w:pPr>
              <w:pStyle w:val="Jin0"/>
              <w:shd w:val="clear" w:color="auto" w:fill="auto"/>
              <w:jc w:val="center"/>
              <w:rPr>
                <w:sz w:val="32"/>
                <w:szCs w:val="32"/>
              </w:rPr>
            </w:pPr>
            <w:r>
              <w:rPr>
                <w:b/>
                <w:bCs/>
                <w:color w:val="00006F"/>
                <w:sz w:val="32"/>
                <w:szCs w:val="32"/>
              </w:rPr>
              <w:t>gloss</w:t>
            </w:r>
            <w:r w:rsidR="001636A7">
              <w:rPr>
                <w:b/>
                <w:bCs/>
                <w:color w:val="00006F"/>
                <w:sz w:val="32"/>
                <w:szCs w:val="32"/>
              </w:rPr>
              <w:t>a</w:t>
            </w:r>
          </w:p>
          <w:p w14:paraId="63C955C7" w14:textId="77777777" w:rsidR="00F84CA3" w:rsidRDefault="00E56A59">
            <w:pPr>
              <w:pStyle w:val="Jin0"/>
              <w:shd w:val="clear" w:color="auto" w:fill="auto"/>
              <w:ind w:firstLine="400"/>
              <w:rPr>
                <w:sz w:val="8"/>
                <w:szCs w:val="8"/>
              </w:rPr>
            </w:pPr>
            <w:r>
              <w:rPr>
                <w:rFonts w:ascii="Arial" w:eastAsia="Arial" w:hAnsi="Arial" w:cs="Arial"/>
                <w:b/>
                <w:bCs/>
                <w:color w:val="00006F"/>
                <w:sz w:val="8"/>
                <w:szCs w:val="8"/>
              </w:rPr>
              <w:t>ik.l. J.zrkA</w:t>
            </w:r>
          </w:p>
        </w:tc>
      </w:tr>
      <w:tr w:rsidR="00F84CA3" w14:paraId="63C955CC" w14:textId="77777777">
        <w:trPr>
          <w:trHeight w:hRule="exact" w:val="197"/>
        </w:trPr>
        <w:tc>
          <w:tcPr>
            <w:tcW w:w="3586" w:type="dxa"/>
            <w:shd w:val="clear" w:color="auto" w:fill="FFFFFF"/>
          </w:tcPr>
          <w:p w14:paraId="63C955C9" w14:textId="77777777" w:rsidR="00F84CA3" w:rsidRDefault="00E56A59">
            <w:pPr>
              <w:pStyle w:val="Jin0"/>
              <w:shd w:val="clear" w:color="auto" w:fill="auto"/>
            </w:pPr>
            <w:r>
              <w:t>Jindřišská 11, 110 00 Praha 1</w:t>
            </w:r>
          </w:p>
        </w:tc>
        <w:tc>
          <w:tcPr>
            <w:tcW w:w="571" w:type="dxa"/>
            <w:shd w:val="clear" w:color="auto" w:fill="FFFFFF"/>
          </w:tcPr>
          <w:p w14:paraId="63C955CA" w14:textId="77777777" w:rsidR="00F84CA3" w:rsidRDefault="00F84CA3">
            <w:pPr>
              <w:rPr>
                <w:sz w:val="10"/>
                <w:szCs w:val="10"/>
              </w:rPr>
            </w:pPr>
          </w:p>
        </w:tc>
        <w:tc>
          <w:tcPr>
            <w:tcW w:w="1133" w:type="dxa"/>
            <w:vMerge/>
            <w:shd w:val="clear" w:color="auto" w:fill="FFFFFF"/>
          </w:tcPr>
          <w:p w14:paraId="63C955CB" w14:textId="77777777" w:rsidR="00F84CA3" w:rsidRDefault="00F84CA3"/>
        </w:tc>
      </w:tr>
      <w:tr w:rsidR="00F84CA3" w14:paraId="63C955D0" w14:textId="77777777">
        <w:trPr>
          <w:trHeight w:hRule="exact" w:val="187"/>
        </w:trPr>
        <w:tc>
          <w:tcPr>
            <w:tcW w:w="3586" w:type="dxa"/>
            <w:shd w:val="clear" w:color="auto" w:fill="FFFFFF"/>
            <w:vAlign w:val="bottom"/>
          </w:tcPr>
          <w:p w14:paraId="63C955CD" w14:textId="77777777" w:rsidR="00F84CA3" w:rsidRDefault="00E56A59">
            <w:pPr>
              <w:pStyle w:val="Jin0"/>
              <w:shd w:val="clear" w:color="auto" w:fill="auto"/>
            </w:pPr>
            <w:r>
              <w:t>26172062</w:t>
            </w:r>
          </w:p>
        </w:tc>
        <w:tc>
          <w:tcPr>
            <w:tcW w:w="571" w:type="dxa"/>
            <w:shd w:val="clear" w:color="auto" w:fill="FFFFFF"/>
            <w:vAlign w:val="bottom"/>
          </w:tcPr>
          <w:p w14:paraId="63C955CE" w14:textId="77777777" w:rsidR="00F84CA3" w:rsidRDefault="00E56A59">
            <w:pPr>
              <w:pStyle w:val="Jin0"/>
              <w:shd w:val="clear" w:color="auto" w:fill="auto"/>
            </w:pPr>
            <w:r>
              <w:t>DIČ:</w:t>
            </w:r>
          </w:p>
        </w:tc>
        <w:tc>
          <w:tcPr>
            <w:tcW w:w="1133" w:type="dxa"/>
            <w:shd w:val="clear" w:color="auto" w:fill="FFFFFF"/>
            <w:vAlign w:val="bottom"/>
          </w:tcPr>
          <w:p w14:paraId="63C955CF" w14:textId="77777777" w:rsidR="00F84CA3" w:rsidRDefault="00E56A59">
            <w:pPr>
              <w:pStyle w:val="Jin0"/>
              <w:shd w:val="clear" w:color="auto" w:fill="auto"/>
            </w:pPr>
            <w:r>
              <w:t>CZ26172062</w:t>
            </w:r>
          </w:p>
        </w:tc>
      </w:tr>
    </w:tbl>
    <w:p w14:paraId="496F2BED" w14:textId="77777777" w:rsidR="00B50EB4" w:rsidRDefault="00E56A59" w:rsidP="006607D6">
      <w:pPr>
        <w:pStyle w:val="Zkladntext1"/>
        <w:shd w:val="clear" w:color="auto" w:fill="auto"/>
      </w:pPr>
      <w:r>
        <w:t xml:space="preserve">Společnost </w:t>
      </w:r>
    </w:p>
    <w:p w14:paraId="63C955D1" w14:textId="13414134" w:rsidR="00F84CA3" w:rsidRDefault="00E56A59" w:rsidP="006607D6">
      <w:pPr>
        <w:pStyle w:val="Zkladntext1"/>
        <w:shd w:val="clear" w:color="auto" w:fill="auto"/>
      </w:pPr>
      <w:r>
        <w:t>se sídlem</w:t>
      </w:r>
    </w:p>
    <w:p w14:paraId="63C955D2" w14:textId="77777777" w:rsidR="00F84CA3" w:rsidRDefault="00E56A59">
      <w:pPr>
        <w:pStyle w:val="Zkladntext1"/>
        <w:shd w:val="clear" w:color="auto" w:fill="auto"/>
      </w:pPr>
      <w:r>
        <w:t>IČO:</w:t>
      </w:r>
    </w:p>
    <w:p w14:paraId="5C02CA3C" w14:textId="77777777" w:rsidR="007359B4" w:rsidRDefault="00E56A59" w:rsidP="007359B4">
      <w:pPr>
        <w:pStyle w:val="Zkladntext1"/>
        <w:shd w:val="clear" w:color="auto" w:fill="auto"/>
      </w:pPr>
      <w:r>
        <w:t xml:space="preserve">Zastoupená: </w:t>
      </w:r>
    </w:p>
    <w:p w14:paraId="340EAB5A" w14:textId="77777777" w:rsidR="007359B4" w:rsidRDefault="00E56A59" w:rsidP="007359B4">
      <w:pPr>
        <w:pStyle w:val="Zkladntext1"/>
        <w:shd w:val="clear" w:color="auto" w:fill="auto"/>
      </w:pPr>
      <w:r>
        <w:t xml:space="preserve">bankovní spojení: </w:t>
      </w:r>
    </w:p>
    <w:p w14:paraId="63C955D3" w14:textId="72153E94" w:rsidR="00F84CA3" w:rsidRDefault="00E56A59">
      <w:pPr>
        <w:pStyle w:val="Zkladntext1"/>
        <w:shd w:val="clear" w:color="auto" w:fill="auto"/>
        <w:spacing w:after="480"/>
      </w:pPr>
      <w:r>
        <w:t>č. účtu:</w:t>
      </w:r>
    </w:p>
    <w:p w14:paraId="60210278" w14:textId="77777777" w:rsidR="00D851A4" w:rsidRDefault="00E56A59" w:rsidP="00806168">
      <w:pPr>
        <w:pStyle w:val="Zkladntext1"/>
        <w:shd w:val="clear" w:color="auto" w:fill="auto"/>
      </w:pPr>
      <w:r>
        <w:t xml:space="preserve">Společnost </w:t>
      </w:r>
    </w:p>
    <w:p w14:paraId="60C07692" w14:textId="77777777" w:rsidR="00D851A4" w:rsidRDefault="00E56A59" w:rsidP="00806168">
      <w:pPr>
        <w:pStyle w:val="Zkladntext1"/>
        <w:shd w:val="clear" w:color="auto" w:fill="auto"/>
      </w:pPr>
      <w:r>
        <w:t xml:space="preserve">se sídlem </w:t>
      </w:r>
    </w:p>
    <w:p w14:paraId="38A26A64" w14:textId="77777777" w:rsidR="00D851A4" w:rsidRDefault="00E56A59" w:rsidP="00806168">
      <w:pPr>
        <w:pStyle w:val="Zkladntext1"/>
        <w:shd w:val="clear" w:color="auto" w:fill="auto"/>
      </w:pPr>
      <w:r>
        <w:t xml:space="preserve">IČO: </w:t>
      </w:r>
    </w:p>
    <w:p w14:paraId="04B3809F" w14:textId="77777777" w:rsidR="00B50EB4" w:rsidRDefault="00E56A59">
      <w:pPr>
        <w:pStyle w:val="Zkladntext1"/>
        <w:shd w:val="clear" w:color="auto" w:fill="auto"/>
        <w:spacing w:after="60"/>
      </w:pPr>
      <w:r>
        <w:t xml:space="preserve">zápis v obchodním rejstříku vedeném Městským soudem v Praze, oddíl C, vložka 76732 </w:t>
      </w:r>
    </w:p>
    <w:p w14:paraId="63C955D4" w14:textId="536DE8E9" w:rsidR="00F84CA3" w:rsidRDefault="00E56A59">
      <w:pPr>
        <w:pStyle w:val="Zkladntext1"/>
        <w:shd w:val="clear" w:color="auto" w:fill="auto"/>
        <w:spacing w:after="60"/>
      </w:pPr>
      <w:r>
        <w:t xml:space="preserve">zastoupená </w:t>
      </w:r>
      <w:r w:rsidR="006C62B7">
        <w:tab/>
        <w:t xml:space="preserve">           </w:t>
      </w:r>
      <w:r>
        <w:t>Davidem Dvorským, jednatelem</w:t>
      </w:r>
    </w:p>
    <w:p w14:paraId="63C955D5" w14:textId="46D8FD14" w:rsidR="00F84CA3" w:rsidRDefault="00E56A59">
      <w:pPr>
        <w:pStyle w:val="Zkladntext1"/>
        <w:shd w:val="clear" w:color="auto" w:fill="auto"/>
        <w:tabs>
          <w:tab w:val="left" w:pos="3211"/>
        </w:tabs>
        <w:spacing w:after="120"/>
        <w:jc w:val="center"/>
      </w:pPr>
      <w:r>
        <w:t xml:space="preserve">dále </w:t>
      </w:r>
      <w:r>
        <w:rPr>
          <w:b/>
          <w:bCs/>
        </w:rPr>
        <w:t>poskytovatel</w:t>
      </w:r>
      <w:r>
        <w:rPr>
          <w:b/>
          <w:bCs/>
        </w:rPr>
        <w:br/>
      </w:r>
      <w:r>
        <w:t>uzavírají tímto následující</w:t>
      </w:r>
      <w:r>
        <w:br/>
      </w:r>
      <w:r>
        <w:rPr>
          <w:b/>
          <w:bCs/>
          <w:sz w:val="32"/>
          <w:szCs w:val="32"/>
        </w:rPr>
        <w:t>SMLOUVU O ZAJIŠTĚNÍ VÝUKY CIZÍCH JAZYKŮ</w:t>
      </w:r>
      <w:r>
        <w:rPr>
          <w:b/>
          <w:bCs/>
          <w:sz w:val="32"/>
          <w:szCs w:val="32"/>
        </w:rPr>
        <w:br/>
      </w:r>
      <w:r w:rsidR="001636A7">
        <w:t xml:space="preserve">               </w:t>
      </w:r>
      <w:r>
        <w:t>Číslo smlouvy:</w:t>
      </w:r>
      <w:r w:rsidR="001636A7">
        <w:t xml:space="preserve">               </w:t>
      </w:r>
      <w:r>
        <w:rPr>
          <w:b/>
          <w:bCs/>
        </w:rPr>
        <w:t>NG-1479-2024</w:t>
      </w:r>
    </w:p>
    <w:p w14:paraId="63C955D6" w14:textId="77777777" w:rsidR="00F84CA3" w:rsidRDefault="00E56A59">
      <w:pPr>
        <w:pStyle w:val="Nadpis20"/>
        <w:keepNext/>
        <w:keepLines/>
        <w:numPr>
          <w:ilvl w:val="0"/>
          <w:numId w:val="1"/>
        </w:numPr>
        <w:shd w:val="clear" w:color="auto" w:fill="auto"/>
        <w:tabs>
          <w:tab w:val="left" w:pos="279"/>
        </w:tabs>
      </w:pPr>
      <w:bookmarkStart w:id="0" w:name="bookmark0"/>
      <w:bookmarkStart w:id="1" w:name="bookmark1"/>
      <w:r>
        <w:t>PŘEDMĚT SMLOUVY:</w:t>
      </w:r>
      <w:bookmarkEnd w:id="0"/>
      <w:bookmarkEnd w:id="1"/>
    </w:p>
    <w:p w14:paraId="63C955D7" w14:textId="77777777" w:rsidR="00F84CA3" w:rsidRDefault="00E56A59">
      <w:pPr>
        <w:pStyle w:val="Zkladntext1"/>
        <w:numPr>
          <w:ilvl w:val="0"/>
          <w:numId w:val="2"/>
        </w:numPr>
        <w:shd w:val="clear" w:color="auto" w:fill="auto"/>
        <w:tabs>
          <w:tab w:val="left" w:pos="771"/>
        </w:tabs>
        <w:ind w:left="740" w:hanging="440"/>
        <w:jc w:val="both"/>
      </w:pPr>
      <w:r>
        <w:t>Poskytovatel se zavazuje pořádat pro zákazníka a jím určené subjekty na základě této smlouvy jazykové kurzy, a to kurzy jazyka anglického, německého, francouzského, španělského, ruského, italského, případně jazyků dalších, a kurzy češtiny pro cizince.</w:t>
      </w:r>
    </w:p>
    <w:p w14:paraId="63C955D8" w14:textId="77777777" w:rsidR="00F84CA3" w:rsidRDefault="00E56A59">
      <w:pPr>
        <w:pStyle w:val="Zkladntext1"/>
        <w:numPr>
          <w:ilvl w:val="0"/>
          <w:numId w:val="2"/>
        </w:numPr>
        <w:shd w:val="clear" w:color="auto" w:fill="auto"/>
        <w:tabs>
          <w:tab w:val="left" w:pos="771"/>
        </w:tabs>
        <w:ind w:left="740" w:hanging="440"/>
        <w:jc w:val="both"/>
      </w:pPr>
      <w:r>
        <w:t xml:space="preserve">Kurzy budou realizovány dle zadání zákazníka. Místem výuky pro prezenční výuku je sídlo zákazníka, případně jiná místa dle dohody. Kurzy mohou probíhat i </w:t>
      </w:r>
      <w:r>
        <w:rPr>
          <w:lang w:val="en-US" w:eastAsia="en-US" w:bidi="en-US"/>
        </w:rPr>
        <w:t xml:space="preserve">online </w:t>
      </w:r>
      <w:r>
        <w:t>s využitím videokonferenčních aplikací.</w:t>
      </w:r>
    </w:p>
    <w:p w14:paraId="63C955D9" w14:textId="77777777" w:rsidR="00F84CA3" w:rsidRDefault="00E56A59">
      <w:pPr>
        <w:pStyle w:val="Zkladntext1"/>
        <w:numPr>
          <w:ilvl w:val="0"/>
          <w:numId w:val="2"/>
        </w:numPr>
        <w:shd w:val="clear" w:color="auto" w:fill="auto"/>
        <w:tabs>
          <w:tab w:val="left" w:pos="771"/>
        </w:tabs>
        <w:spacing w:after="60"/>
        <w:ind w:left="740" w:hanging="440"/>
        <w:jc w:val="both"/>
      </w:pPr>
      <w:r>
        <w:t>Kurzy budou zahájeny nejpozději do tří týdnů od konečné specifikace počtu posluchačů a realizace vstupního jazykového auditu.</w:t>
      </w:r>
    </w:p>
    <w:p w14:paraId="63C955DA" w14:textId="77777777" w:rsidR="00F84CA3" w:rsidRDefault="00E56A59">
      <w:pPr>
        <w:pStyle w:val="Nadpis20"/>
        <w:keepNext/>
        <w:keepLines/>
        <w:numPr>
          <w:ilvl w:val="0"/>
          <w:numId w:val="1"/>
        </w:numPr>
        <w:shd w:val="clear" w:color="auto" w:fill="auto"/>
        <w:tabs>
          <w:tab w:val="left" w:pos="279"/>
        </w:tabs>
      </w:pPr>
      <w:bookmarkStart w:id="2" w:name="bookmark2"/>
      <w:bookmarkStart w:id="3" w:name="bookmark3"/>
      <w:r>
        <w:t>CENA POSKYTNUTÝCH SLUŽEB:</w:t>
      </w:r>
      <w:bookmarkEnd w:id="2"/>
      <w:bookmarkEnd w:id="3"/>
    </w:p>
    <w:p w14:paraId="63C955DB" w14:textId="77777777" w:rsidR="00F84CA3" w:rsidRDefault="00E56A59">
      <w:pPr>
        <w:pStyle w:val="Zkladntext1"/>
        <w:numPr>
          <w:ilvl w:val="0"/>
          <w:numId w:val="3"/>
        </w:numPr>
        <w:shd w:val="clear" w:color="auto" w:fill="auto"/>
        <w:tabs>
          <w:tab w:val="left" w:pos="771"/>
        </w:tabs>
        <w:ind w:left="740" w:hanging="440"/>
        <w:jc w:val="both"/>
      </w:pPr>
      <w:r>
        <w:t xml:space="preserve">Smluvní strany se dohodly na ceně jedné vyučovací hodiny </w:t>
      </w:r>
      <w:r>
        <w:rPr>
          <w:b/>
          <w:bCs/>
        </w:rPr>
        <w:t xml:space="preserve">548 Kč (528 Kč </w:t>
      </w:r>
      <w:r w:rsidRPr="00CD6F88">
        <w:rPr>
          <w:b/>
          <w:bCs/>
          <w:lang w:eastAsia="en-US" w:bidi="en-US"/>
        </w:rPr>
        <w:t>online)</w:t>
      </w:r>
      <w:r w:rsidRPr="00CD6F88">
        <w:rPr>
          <w:lang w:eastAsia="en-US" w:bidi="en-US"/>
        </w:rPr>
        <w:t xml:space="preserve">. </w:t>
      </w:r>
      <w:r>
        <w:t>Vyučovací hodinou se rozumí úsek výuky o rozsahu 60 minut. Cena nezávisí na vyučovaném jazyce, typu kurzu a velikosti výukové skupiny.</w:t>
      </w:r>
    </w:p>
    <w:p w14:paraId="63C955DC" w14:textId="77777777" w:rsidR="00F84CA3" w:rsidRDefault="00E56A59">
      <w:pPr>
        <w:pStyle w:val="Zkladntext1"/>
        <w:numPr>
          <w:ilvl w:val="0"/>
          <w:numId w:val="3"/>
        </w:numPr>
        <w:shd w:val="clear" w:color="auto" w:fill="auto"/>
        <w:tabs>
          <w:tab w:val="left" w:pos="771"/>
        </w:tabs>
        <w:ind w:left="740" w:hanging="440"/>
        <w:jc w:val="both"/>
      </w:pPr>
      <w:r>
        <w:t xml:space="preserve">Cena zahrnuje vstupní testování, výuku, dopravu lektora, administraci kurzů, vedení dokumentace, </w:t>
      </w:r>
      <w:r w:rsidRPr="00CD6F88">
        <w:rPr>
          <w:lang w:eastAsia="en-US" w:bidi="en-US"/>
        </w:rPr>
        <w:t xml:space="preserve">on-line </w:t>
      </w:r>
      <w:r>
        <w:t>služby manažerům vzdělávání, hodnocení jazykových kompetencí posluchačů kurzů a odbornou supervizi výuky.</w:t>
      </w:r>
    </w:p>
    <w:p w14:paraId="63C955DD" w14:textId="77777777" w:rsidR="00F84CA3" w:rsidRDefault="00E56A59">
      <w:pPr>
        <w:pStyle w:val="Zkladntext1"/>
        <w:numPr>
          <w:ilvl w:val="0"/>
          <w:numId w:val="3"/>
        </w:numPr>
        <w:shd w:val="clear" w:color="auto" w:fill="auto"/>
        <w:tabs>
          <w:tab w:val="left" w:pos="771"/>
        </w:tabs>
        <w:ind w:left="740" w:hanging="440"/>
        <w:jc w:val="both"/>
      </w:pPr>
      <w:r>
        <w:t>Cena nezahrnuje daň z přidané hodnoty. Dle §57 Zákona č. 235/2004 Sb. o dani z přidané hodnoty jsou služby poskytovatele považovány za výchovu a vzdělávání osvobozené od daně z přidané hodnoty. V případě legislativních změn bude k ceně připočítána daň z přidané hodnoty v zákonné výši.</w:t>
      </w:r>
    </w:p>
    <w:p w14:paraId="63C955DE" w14:textId="3D1CC3A7" w:rsidR="00F84CA3" w:rsidRDefault="00E56A59">
      <w:pPr>
        <w:pStyle w:val="Zkladntext1"/>
        <w:numPr>
          <w:ilvl w:val="0"/>
          <w:numId w:val="3"/>
        </w:numPr>
        <w:shd w:val="clear" w:color="auto" w:fill="auto"/>
        <w:tabs>
          <w:tab w:val="left" w:pos="771"/>
        </w:tabs>
        <w:spacing w:after="60"/>
        <w:ind w:left="740" w:hanging="440"/>
        <w:jc w:val="both"/>
      </w:pPr>
      <w:r>
        <w:t>Platba za služby se uskutečňuje zpětně dle faktur se splatností 60 dní vystavovaných poskytovatelem pravidelně po ukončení zúčtovacího období. Zúčtovací období je měsíční. Dnem splatnosti se rozumí datum připsání částky na účet poskytovatele. Za každý započatý den prodlení účtuje poskytovatel smluvní pokutu ve výši 0,1 % dlužné částky. Faktury vč. příloh budou zasílány elektronickou poštou na e-mailovou adresu zákazníka</w:t>
      </w:r>
      <w:r w:rsidR="007D75CC">
        <w:t xml:space="preserve"> XXXXXXXXXXXXXXXXXX</w:t>
      </w:r>
      <w:r w:rsidRPr="00CD6F88">
        <w:rPr>
          <w:lang w:eastAsia="en-US" w:bidi="en-US"/>
        </w:rPr>
        <w:t xml:space="preserve">. </w:t>
      </w:r>
      <w:r>
        <w:t>jako přílohy ve formátu pdf, které mají platnost tištěného vyhotovení.</w:t>
      </w:r>
    </w:p>
    <w:p w14:paraId="63C955DF" w14:textId="77777777" w:rsidR="00F84CA3" w:rsidRDefault="00E56A59">
      <w:pPr>
        <w:pStyle w:val="Nadpis20"/>
        <w:keepNext/>
        <w:keepLines/>
        <w:numPr>
          <w:ilvl w:val="0"/>
          <w:numId w:val="1"/>
        </w:numPr>
        <w:shd w:val="clear" w:color="auto" w:fill="auto"/>
        <w:tabs>
          <w:tab w:val="left" w:pos="279"/>
        </w:tabs>
      </w:pPr>
      <w:bookmarkStart w:id="4" w:name="bookmark4"/>
      <w:bookmarkStart w:id="5" w:name="bookmark5"/>
      <w:r>
        <w:t>REALIZACE SLUŽEB:</w:t>
      </w:r>
      <w:bookmarkEnd w:id="4"/>
      <w:bookmarkEnd w:id="5"/>
    </w:p>
    <w:p w14:paraId="63C955E0" w14:textId="77777777" w:rsidR="00F84CA3" w:rsidRDefault="00E56A59">
      <w:pPr>
        <w:pStyle w:val="Zkladntext1"/>
        <w:numPr>
          <w:ilvl w:val="0"/>
          <w:numId w:val="4"/>
        </w:numPr>
        <w:shd w:val="clear" w:color="auto" w:fill="auto"/>
        <w:tabs>
          <w:tab w:val="left" w:pos="771"/>
        </w:tabs>
        <w:ind w:left="380"/>
        <w:jc w:val="both"/>
      </w:pPr>
      <w:r>
        <w:t>Poskytovatel zajistí dokumentaci realizované výuky tak, aby bylo možné spolehlivě doložit její rozsah a charakteristiku. Poskytovatel zajistí zákazníkovi přístup k této dokumentaci v elektronické podobě pomocí heslovaného přístupu k on-line službám manažerům vzdělávání na webových stránkách poskytovatele. Na požádání poskytovatel dá k dispozici zákazníkovi kopie zdrojových dokladů k elektronickému zpracování dokumentace, a to po dobu 12 měsíců od realizované služby.</w:t>
      </w:r>
    </w:p>
    <w:p w14:paraId="63C955E1" w14:textId="77777777" w:rsidR="00F84CA3" w:rsidRDefault="00E56A59">
      <w:pPr>
        <w:pStyle w:val="Zkladntext1"/>
        <w:numPr>
          <w:ilvl w:val="0"/>
          <w:numId w:val="4"/>
        </w:numPr>
        <w:shd w:val="clear" w:color="auto" w:fill="auto"/>
        <w:tabs>
          <w:tab w:val="left" w:pos="771"/>
        </w:tabs>
        <w:ind w:left="720" w:hanging="340"/>
        <w:jc w:val="both"/>
      </w:pPr>
      <w:r>
        <w:t>Poskytovatel zajistí hodnocení dosažených jazykových dovedností posluchačů dle Evropského referenčního rámce pro cizí jazyky s vystavením hodnotících certifikátů</w:t>
      </w:r>
    </w:p>
    <w:p w14:paraId="63C955E2" w14:textId="77777777" w:rsidR="00F84CA3" w:rsidRDefault="00E56A59">
      <w:pPr>
        <w:pStyle w:val="Zkladntext1"/>
        <w:numPr>
          <w:ilvl w:val="0"/>
          <w:numId w:val="4"/>
        </w:numPr>
        <w:shd w:val="clear" w:color="auto" w:fill="auto"/>
        <w:tabs>
          <w:tab w:val="left" w:pos="771"/>
        </w:tabs>
        <w:ind w:left="720" w:hanging="340"/>
        <w:jc w:val="both"/>
      </w:pPr>
      <w:r>
        <w:t>Zákazník umožní poskytovatelem pověřeným osobám bez předběžného vyrozumění vyučujících lektorů účast na výuce ke kontrolním účelům.</w:t>
      </w:r>
    </w:p>
    <w:p w14:paraId="63C955E3" w14:textId="77777777" w:rsidR="00F84CA3" w:rsidRDefault="00E56A59">
      <w:pPr>
        <w:pStyle w:val="Zkladntext1"/>
        <w:numPr>
          <w:ilvl w:val="0"/>
          <w:numId w:val="4"/>
        </w:numPr>
        <w:shd w:val="clear" w:color="auto" w:fill="auto"/>
        <w:tabs>
          <w:tab w:val="left" w:pos="771"/>
        </w:tabs>
        <w:ind w:firstLine="380"/>
      </w:pPr>
      <w:r>
        <w:t>Kontaktní osobou, která je ze strany zákazníka odpovědná za průběh kurzů a komunikaci s poskytovatelem, je:</w:t>
      </w:r>
    </w:p>
    <w:p w14:paraId="63C955E4" w14:textId="03F0904E" w:rsidR="00F84CA3" w:rsidRDefault="00E56A59">
      <w:pPr>
        <w:pStyle w:val="Zkladntext20"/>
        <w:shd w:val="clear" w:color="auto" w:fill="auto"/>
        <w:tabs>
          <w:tab w:val="left" w:pos="2353"/>
          <w:tab w:val="left" w:pos="4532"/>
          <w:tab w:val="left" w:pos="5334"/>
          <w:tab w:val="left" w:pos="7446"/>
          <w:tab w:val="left" w:pos="8497"/>
        </w:tabs>
      </w:pPr>
      <w:r>
        <w:t>Jméno a příjmení:</w:t>
      </w:r>
      <w:r>
        <w:tab/>
      </w:r>
      <w:r w:rsidR="00AE02AF">
        <w:t>XXXXXXXXXXXXXXX</w:t>
      </w:r>
      <w:r>
        <w:tab/>
        <w:t>Telefon:</w:t>
      </w:r>
      <w:r>
        <w:tab/>
      </w:r>
      <w:r w:rsidR="00E234D6">
        <w:t>XXXXXXXXX</w:t>
      </w:r>
      <w:r>
        <w:tab/>
        <w:t>E-mail:</w:t>
      </w:r>
      <w:r>
        <w:tab/>
      </w:r>
      <w:r w:rsidR="00E234D6">
        <w:t xml:space="preserve">XXXXXXXXXXXXXXXXXXXXX </w:t>
      </w:r>
    </w:p>
    <w:p w14:paraId="63C955E5" w14:textId="77777777" w:rsidR="00F84CA3" w:rsidRDefault="00E56A59">
      <w:pPr>
        <w:pStyle w:val="Zkladntext1"/>
        <w:numPr>
          <w:ilvl w:val="0"/>
          <w:numId w:val="4"/>
        </w:numPr>
        <w:shd w:val="clear" w:color="auto" w:fill="auto"/>
        <w:tabs>
          <w:tab w:val="left" w:pos="771"/>
        </w:tabs>
        <w:ind w:left="720" w:hanging="340"/>
        <w:jc w:val="both"/>
      </w:pPr>
      <w:r>
        <w:t>Bude-li zákazník kdykoli v průběhu kurzu požadovat výměnu vyučujícího lektora, poskytovatel tuto výměnu v co nejkratším termínu v závislosti na aktuálních možnostech zajistí. Zároveň si poskytovatel vyhrazuje právo ve výjimečné situaci vyměnit lektora i v průběhu kurzu bez vyzvání zákazníka.</w:t>
      </w:r>
    </w:p>
    <w:p w14:paraId="63C955E6" w14:textId="77777777" w:rsidR="00F84CA3" w:rsidRDefault="00E56A59">
      <w:pPr>
        <w:pStyle w:val="Zkladntext1"/>
        <w:numPr>
          <w:ilvl w:val="0"/>
          <w:numId w:val="4"/>
        </w:numPr>
        <w:shd w:val="clear" w:color="auto" w:fill="auto"/>
        <w:tabs>
          <w:tab w:val="left" w:pos="771"/>
        </w:tabs>
        <w:spacing w:after="80"/>
        <w:ind w:firstLine="380"/>
      </w:pPr>
      <w:r>
        <w:t>Změny podmínek realizace služeb mohou být provedeny pouze písemnou dohodou obou smluvních stran.</w:t>
      </w:r>
      <w:r>
        <w:br w:type="page"/>
      </w:r>
    </w:p>
    <w:p w14:paraId="63C955E7" w14:textId="77777777" w:rsidR="00F84CA3" w:rsidRDefault="00E56A59">
      <w:pPr>
        <w:pStyle w:val="Nadpis20"/>
        <w:keepNext/>
        <w:keepLines/>
        <w:numPr>
          <w:ilvl w:val="0"/>
          <w:numId w:val="1"/>
        </w:numPr>
        <w:shd w:val="clear" w:color="auto" w:fill="auto"/>
        <w:tabs>
          <w:tab w:val="left" w:pos="295"/>
        </w:tabs>
        <w:jc w:val="both"/>
      </w:pPr>
      <w:bookmarkStart w:id="6" w:name="bookmark6"/>
      <w:bookmarkStart w:id="7" w:name="bookmark7"/>
      <w:r>
        <w:lastRenderedPageBreak/>
        <w:t>DALŠÍ PODMÍNKY</w:t>
      </w:r>
      <w:bookmarkEnd w:id="6"/>
      <w:bookmarkEnd w:id="7"/>
    </w:p>
    <w:p w14:paraId="63C955E8" w14:textId="77777777" w:rsidR="00F84CA3" w:rsidRDefault="00E56A59">
      <w:pPr>
        <w:pStyle w:val="Zkladntext1"/>
        <w:numPr>
          <w:ilvl w:val="0"/>
          <w:numId w:val="5"/>
        </w:numPr>
        <w:shd w:val="clear" w:color="auto" w:fill="auto"/>
        <w:tabs>
          <w:tab w:val="left" w:pos="801"/>
        </w:tabs>
        <w:ind w:firstLine="440"/>
        <w:jc w:val="both"/>
      </w:pPr>
      <w:r>
        <w:t>V případě neuskutečnění kurzu či jeho části z viny poskytovatele získává zákazník nárok na vyhovující náhradní výuku.</w:t>
      </w:r>
    </w:p>
    <w:p w14:paraId="63C955E9" w14:textId="77777777" w:rsidR="00F84CA3" w:rsidRDefault="00E56A59">
      <w:pPr>
        <w:pStyle w:val="Zkladntext1"/>
        <w:numPr>
          <w:ilvl w:val="0"/>
          <w:numId w:val="5"/>
        </w:numPr>
        <w:shd w:val="clear" w:color="auto" w:fill="auto"/>
        <w:tabs>
          <w:tab w:val="left" w:pos="801"/>
        </w:tabs>
        <w:ind w:left="780" w:hanging="340"/>
        <w:jc w:val="both"/>
      </w:pPr>
      <w:r>
        <w:t>Zákazník může jednotlivé lekce kurzu na vlastní žádost předem odvolat. Oznámí-li odvolání lekce zákazník poskytovateli nejpozději 24 hodin předem, příslušná lekce se nekoná a nebude účtována. Lekce odvolaná později než 24 hodin před zahájením bude považována za proběhlou. Do lhůty na odvolání lekce se započítávají pouze pracovní dny.</w:t>
      </w:r>
    </w:p>
    <w:p w14:paraId="63C955EA" w14:textId="77777777" w:rsidR="00F84CA3" w:rsidRDefault="00E56A59">
      <w:pPr>
        <w:pStyle w:val="Zkladntext1"/>
        <w:numPr>
          <w:ilvl w:val="0"/>
          <w:numId w:val="5"/>
        </w:numPr>
        <w:shd w:val="clear" w:color="auto" w:fill="auto"/>
        <w:tabs>
          <w:tab w:val="left" w:pos="801"/>
        </w:tabs>
        <w:ind w:left="780" w:hanging="340"/>
        <w:jc w:val="both"/>
      </w:pPr>
      <w:r>
        <w:t>Zákazník má právo kurz během stanovené záruční lhůty zrušit. Výuka realizovaná během záruční lhůty nebude při uplatnění záruky zákazníkovi účtována.</w:t>
      </w:r>
    </w:p>
    <w:p w14:paraId="63C955EB" w14:textId="77777777" w:rsidR="00F84CA3" w:rsidRDefault="00E56A59">
      <w:pPr>
        <w:pStyle w:val="Zkladntext1"/>
        <w:numPr>
          <w:ilvl w:val="0"/>
          <w:numId w:val="5"/>
        </w:numPr>
        <w:shd w:val="clear" w:color="auto" w:fill="auto"/>
        <w:tabs>
          <w:tab w:val="left" w:pos="801"/>
        </w:tabs>
        <w:ind w:left="780" w:hanging="340"/>
        <w:jc w:val="both"/>
      </w:pPr>
      <w:r>
        <w:t>Požádá-li zákazník v rámci záruční lhůty o výměnu lektora, nebude zákazníkovi výuka realizovaná v rámci záruční lhůty účtována a po přidělení nového lektora počíná záruční lhůta běžet znovu.</w:t>
      </w:r>
    </w:p>
    <w:p w14:paraId="63C955EC" w14:textId="77777777" w:rsidR="00F84CA3" w:rsidRDefault="00E56A59">
      <w:pPr>
        <w:pStyle w:val="Zkladntext1"/>
        <w:numPr>
          <w:ilvl w:val="0"/>
          <w:numId w:val="5"/>
        </w:numPr>
        <w:shd w:val="clear" w:color="auto" w:fill="auto"/>
        <w:tabs>
          <w:tab w:val="left" w:pos="801"/>
        </w:tabs>
        <w:ind w:left="780" w:hanging="340"/>
        <w:jc w:val="both"/>
      </w:pPr>
      <w:r>
        <w:t>Dojde-li k výměně lektora v průběhu kurzu dle článku 3/e této smlouvy, je zákazníkovi poskytnuta znovu záruční lhůta s možností výměny lektora dle článku 4/d.</w:t>
      </w:r>
    </w:p>
    <w:p w14:paraId="63C955ED" w14:textId="77777777" w:rsidR="00F84CA3" w:rsidRDefault="00E56A59">
      <w:pPr>
        <w:pStyle w:val="Zkladntext1"/>
        <w:numPr>
          <w:ilvl w:val="0"/>
          <w:numId w:val="5"/>
        </w:numPr>
        <w:shd w:val="clear" w:color="auto" w:fill="auto"/>
        <w:tabs>
          <w:tab w:val="left" w:pos="801"/>
        </w:tabs>
        <w:ind w:left="780" w:hanging="340"/>
        <w:jc w:val="both"/>
      </w:pPr>
      <w:r>
        <w:t>Záruční lhůta je definována u každého jednotlivého kurzu zvlášť časovým úsekem od zahájení do konce dne, v němž proběhne čtvrtá vyučovací hodina kurzu.</w:t>
      </w:r>
    </w:p>
    <w:p w14:paraId="63C955EE" w14:textId="77777777" w:rsidR="00F84CA3" w:rsidRDefault="00E56A59">
      <w:pPr>
        <w:pStyle w:val="Zkladntext1"/>
        <w:numPr>
          <w:ilvl w:val="0"/>
          <w:numId w:val="5"/>
        </w:numPr>
        <w:shd w:val="clear" w:color="auto" w:fill="auto"/>
        <w:tabs>
          <w:tab w:val="left" w:pos="801"/>
        </w:tabs>
        <w:ind w:left="780" w:hanging="340"/>
        <w:jc w:val="both"/>
      </w:pPr>
      <w:r>
        <w:t>Poskytovatel se zavazuje přijmout veškerá opatření k tomu, aby minimalizoval nevyžádané výměny lektorů dle článku 3/e smlouvy. Pokud dojde v průběhu školního roku k nevyžádané výměně lektora v každém jednotlivém kurzu více než 1x, za každou následující nevyžádanou výměnu lektora se poskytovatel zavazuje odškodnit každého posluchače předmětného kurzu náhradním plněním v hodnotě 200 Kč. Za výměnu lektora se nepovažuje přechodné suplování náhradním lektorem po dobu nepřítomnosti stálého lektora.</w:t>
      </w:r>
    </w:p>
    <w:p w14:paraId="63C955EF" w14:textId="77777777" w:rsidR="00F84CA3" w:rsidRDefault="00E56A59">
      <w:pPr>
        <w:pStyle w:val="Zkladntext1"/>
        <w:numPr>
          <w:ilvl w:val="0"/>
          <w:numId w:val="5"/>
        </w:numPr>
        <w:shd w:val="clear" w:color="auto" w:fill="auto"/>
        <w:tabs>
          <w:tab w:val="left" w:pos="801"/>
        </w:tabs>
        <w:ind w:left="780" w:hanging="340"/>
        <w:jc w:val="both"/>
      </w:pPr>
      <w:r>
        <w:t>Poskytovatel se zavazuje přijmout veškerá opatření k tomu, aby minimalizoval výskyt neshod v průběhu realizace zakázky. V rámci vypořádání neshod s příčinou na straně poskytovatele se poskytovatel zavazuje odškodnit každého posluchače předmětného kurzu náhradním plněním v hodnotě 200 Kč za každou neshodu.</w:t>
      </w:r>
    </w:p>
    <w:p w14:paraId="63C955F0" w14:textId="77777777" w:rsidR="00F84CA3" w:rsidRDefault="00E56A59">
      <w:pPr>
        <w:pStyle w:val="Zkladntext1"/>
        <w:numPr>
          <w:ilvl w:val="0"/>
          <w:numId w:val="5"/>
        </w:numPr>
        <w:shd w:val="clear" w:color="auto" w:fill="auto"/>
        <w:tabs>
          <w:tab w:val="left" w:pos="801"/>
        </w:tabs>
        <w:spacing w:after="60"/>
        <w:ind w:left="780" w:hanging="340"/>
        <w:jc w:val="both"/>
      </w:pPr>
      <w:r>
        <w:t>Poskytovatel má právo upravit cenu vyučovací hodiny o nárůst ukazatele průměrného ročního indexu spotřebitelských cen za uplynulý kalendářní rok proti průměru roku předchozího dle dat vyhlašovaných Českým statistickým úřadem, a to s účinností vždy od měsíce září roku následujícího po vyhlášení příslušného indexu.</w:t>
      </w:r>
    </w:p>
    <w:p w14:paraId="63C955F1" w14:textId="77777777" w:rsidR="00F84CA3" w:rsidRDefault="00E56A59">
      <w:pPr>
        <w:pStyle w:val="Nadpis20"/>
        <w:keepNext/>
        <w:keepLines/>
        <w:numPr>
          <w:ilvl w:val="0"/>
          <w:numId w:val="1"/>
        </w:numPr>
        <w:shd w:val="clear" w:color="auto" w:fill="auto"/>
        <w:tabs>
          <w:tab w:val="left" w:pos="295"/>
        </w:tabs>
        <w:jc w:val="both"/>
      </w:pPr>
      <w:bookmarkStart w:id="8" w:name="bookmark8"/>
      <w:bookmarkStart w:id="9" w:name="bookmark9"/>
      <w:r>
        <w:t>ZRUŠENÍ SMLOUVY:</w:t>
      </w:r>
      <w:bookmarkEnd w:id="8"/>
      <w:bookmarkEnd w:id="9"/>
    </w:p>
    <w:p w14:paraId="63C955F2" w14:textId="77777777" w:rsidR="00F84CA3" w:rsidRDefault="00E56A59">
      <w:pPr>
        <w:pStyle w:val="Zkladntext1"/>
        <w:numPr>
          <w:ilvl w:val="0"/>
          <w:numId w:val="6"/>
        </w:numPr>
        <w:shd w:val="clear" w:color="auto" w:fill="auto"/>
        <w:tabs>
          <w:tab w:val="left" w:pos="801"/>
        </w:tabs>
        <w:ind w:firstLine="440"/>
        <w:jc w:val="both"/>
      </w:pPr>
      <w:r>
        <w:t>Tato smlouva je uzavírána na dobu neurčitou.</w:t>
      </w:r>
    </w:p>
    <w:p w14:paraId="63C955F3" w14:textId="77777777" w:rsidR="00F84CA3" w:rsidRDefault="00E56A59">
      <w:pPr>
        <w:pStyle w:val="Zkladntext1"/>
        <w:numPr>
          <w:ilvl w:val="0"/>
          <w:numId w:val="6"/>
        </w:numPr>
        <w:shd w:val="clear" w:color="auto" w:fill="auto"/>
        <w:tabs>
          <w:tab w:val="left" w:pos="801"/>
        </w:tabs>
        <w:ind w:firstLine="440"/>
        <w:jc w:val="both"/>
      </w:pPr>
      <w:r>
        <w:t>Smluvní strany mohou smlouvu vypovědět pouze písemně s dvouměsíční výpovědní lhůtou.</w:t>
      </w:r>
    </w:p>
    <w:p w14:paraId="63C955F4" w14:textId="77777777" w:rsidR="00F84CA3" w:rsidRDefault="00E56A59">
      <w:pPr>
        <w:pStyle w:val="Zkladntext1"/>
        <w:numPr>
          <w:ilvl w:val="0"/>
          <w:numId w:val="6"/>
        </w:numPr>
        <w:shd w:val="clear" w:color="auto" w:fill="auto"/>
        <w:tabs>
          <w:tab w:val="left" w:pos="801"/>
        </w:tabs>
        <w:spacing w:after="60"/>
        <w:ind w:firstLine="440"/>
        <w:jc w:val="both"/>
      </w:pPr>
      <w:r>
        <w:t>Výpověď vstupuje v účinnost počátkem měsíce následujícího po doručení vyrozumění o výpovědi příslušné smluvní straně.</w:t>
      </w:r>
    </w:p>
    <w:p w14:paraId="63C955F5" w14:textId="77777777" w:rsidR="00F84CA3" w:rsidRDefault="00E56A59">
      <w:pPr>
        <w:pStyle w:val="Nadpis20"/>
        <w:keepNext/>
        <w:keepLines/>
        <w:numPr>
          <w:ilvl w:val="0"/>
          <w:numId w:val="1"/>
        </w:numPr>
        <w:shd w:val="clear" w:color="auto" w:fill="auto"/>
        <w:tabs>
          <w:tab w:val="left" w:pos="295"/>
        </w:tabs>
        <w:jc w:val="both"/>
      </w:pPr>
      <w:bookmarkStart w:id="10" w:name="bookmark10"/>
      <w:bookmarkStart w:id="11" w:name="bookmark11"/>
      <w:r>
        <w:t>OCHRANA OSOBNÍCH ÚDAJŮ</w:t>
      </w:r>
      <w:bookmarkEnd w:id="10"/>
      <w:bookmarkEnd w:id="11"/>
    </w:p>
    <w:p w14:paraId="63C955F6" w14:textId="77777777" w:rsidR="00F84CA3" w:rsidRDefault="00E56A59">
      <w:pPr>
        <w:pStyle w:val="Zkladntext1"/>
        <w:numPr>
          <w:ilvl w:val="0"/>
          <w:numId w:val="7"/>
        </w:numPr>
        <w:shd w:val="clear" w:color="auto" w:fill="auto"/>
        <w:tabs>
          <w:tab w:val="left" w:pos="801"/>
        </w:tabs>
        <w:ind w:left="780" w:hanging="340"/>
        <w:jc w:val="both"/>
      </w:pPr>
      <w:r>
        <w:t>V rámci plnění smluvního vztahu mezi poskytovatelem a zákazníkem dochází ke zpracování osobních údajů zaměstnanců a členů statutárních orgánů zákazníka. Těmito osobními údaji jsou zejména jméno, příjmení, telefonní číslo a adresa elektronické pošty.</w:t>
      </w:r>
    </w:p>
    <w:p w14:paraId="63C955F7" w14:textId="77777777" w:rsidR="00F84CA3" w:rsidRDefault="00E56A59">
      <w:pPr>
        <w:pStyle w:val="Zkladntext1"/>
        <w:numPr>
          <w:ilvl w:val="0"/>
          <w:numId w:val="7"/>
        </w:numPr>
        <w:shd w:val="clear" w:color="auto" w:fill="auto"/>
        <w:tabs>
          <w:tab w:val="left" w:pos="801"/>
        </w:tabs>
        <w:ind w:firstLine="440"/>
        <w:jc w:val="both"/>
      </w:pPr>
      <w:r>
        <w:t>Zákazník je správcem osobních údajů a poskytovatel je zpracovatelem osobních údajů.</w:t>
      </w:r>
    </w:p>
    <w:p w14:paraId="63C955F8" w14:textId="77777777" w:rsidR="00F84CA3" w:rsidRDefault="00E56A59">
      <w:pPr>
        <w:pStyle w:val="Zkladntext1"/>
        <w:numPr>
          <w:ilvl w:val="0"/>
          <w:numId w:val="7"/>
        </w:numPr>
        <w:shd w:val="clear" w:color="auto" w:fill="auto"/>
        <w:tabs>
          <w:tab w:val="left" w:pos="801"/>
        </w:tabs>
        <w:ind w:left="780" w:hanging="340"/>
        <w:jc w:val="both"/>
      </w:pPr>
      <w:r>
        <w:t>Poskytovatel prohlašuje, že při zpracování osobních údajů postupuje v souladu s Nařízením Evropského parlamentu a Rady (EU) 2016/679 ze dne 27. dubna 2016 o ochraně fyzických osob v souvislosti se zpracováním osobních údajů (GDPR). Principy zpracování osobních údajů poskytovatelem vychází ze Zásad ochrany osobních údajů přijatých poskytovatelem, které jsou veřejně přístupné na webových stránkách poskytovatele, jakož i z dalších interních směrnic poskytovatele.</w:t>
      </w:r>
    </w:p>
    <w:p w14:paraId="63C955F9" w14:textId="77777777" w:rsidR="00F84CA3" w:rsidRDefault="00E56A59">
      <w:pPr>
        <w:pStyle w:val="Zkladntext1"/>
        <w:numPr>
          <w:ilvl w:val="0"/>
          <w:numId w:val="7"/>
        </w:numPr>
        <w:shd w:val="clear" w:color="auto" w:fill="auto"/>
        <w:tabs>
          <w:tab w:val="left" w:pos="801"/>
        </w:tabs>
        <w:spacing w:after="60"/>
        <w:ind w:left="780" w:hanging="340"/>
        <w:jc w:val="both"/>
      </w:pPr>
      <w:r>
        <w:t>Poskytovatel je oprávněn zapojit do zpracování osobních údajů dalšího zpracovatele. Předmětné zpracování osobních údajů dalším zpracovatelem je poskytovatel povinen řádně smluvně zajistit.</w:t>
      </w:r>
    </w:p>
    <w:p w14:paraId="63C955FA" w14:textId="77777777" w:rsidR="00F84CA3" w:rsidRDefault="00E56A59">
      <w:pPr>
        <w:pStyle w:val="Nadpis20"/>
        <w:keepNext/>
        <w:keepLines/>
        <w:numPr>
          <w:ilvl w:val="0"/>
          <w:numId w:val="1"/>
        </w:numPr>
        <w:shd w:val="clear" w:color="auto" w:fill="auto"/>
        <w:tabs>
          <w:tab w:val="left" w:pos="295"/>
        </w:tabs>
        <w:jc w:val="both"/>
      </w:pPr>
      <w:bookmarkStart w:id="12" w:name="bookmark12"/>
      <w:bookmarkStart w:id="13" w:name="bookmark13"/>
      <w:r>
        <w:t>ZÁVĚREČNÁ USTANOVENÍ:</w:t>
      </w:r>
      <w:bookmarkEnd w:id="12"/>
      <w:bookmarkEnd w:id="13"/>
    </w:p>
    <w:p w14:paraId="63C955FB" w14:textId="77777777" w:rsidR="00F84CA3" w:rsidRDefault="00E56A59">
      <w:pPr>
        <w:pStyle w:val="Zkladntext1"/>
        <w:numPr>
          <w:ilvl w:val="0"/>
          <w:numId w:val="8"/>
        </w:numPr>
        <w:shd w:val="clear" w:color="auto" w:fill="auto"/>
        <w:tabs>
          <w:tab w:val="left" w:pos="801"/>
        </w:tabs>
        <w:ind w:left="780" w:hanging="340"/>
        <w:jc w:val="both"/>
      </w:pPr>
      <w:r>
        <w:t>Zákazník souhlasí s uvedením svého obchodního jména a kontaktních údajů v informačních materiálech poskytovatele za účelem podání referencí.</w:t>
      </w:r>
    </w:p>
    <w:p w14:paraId="63C955FC" w14:textId="77777777" w:rsidR="00F84CA3" w:rsidRDefault="00E56A59">
      <w:pPr>
        <w:pStyle w:val="Zkladntext1"/>
        <w:numPr>
          <w:ilvl w:val="0"/>
          <w:numId w:val="8"/>
        </w:numPr>
        <w:shd w:val="clear" w:color="auto" w:fill="auto"/>
        <w:tabs>
          <w:tab w:val="left" w:pos="801"/>
        </w:tabs>
        <w:ind w:left="780" w:hanging="340"/>
        <w:jc w:val="both"/>
      </w:pPr>
      <w:r>
        <w:t>Zástupci obou smluvních stran tímto prohlašují, že mají oprávnění podepsat tuto smlouvu, znají její obsah a zavazují se jím řídit.</w:t>
      </w:r>
    </w:p>
    <w:p w14:paraId="63C955FD" w14:textId="77777777" w:rsidR="00F84CA3" w:rsidRDefault="00E56A59">
      <w:pPr>
        <w:pStyle w:val="Zkladntext1"/>
        <w:numPr>
          <w:ilvl w:val="0"/>
          <w:numId w:val="8"/>
        </w:numPr>
        <w:shd w:val="clear" w:color="auto" w:fill="auto"/>
        <w:tabs>
          <w:tab w:val="left" w:pos="801"/>
        </w:tabs>
        <w:spacing w:after="480"/>
        <w:ind w:left="780" w:hanging="340"/>
        <w:jc w:val="both"/>
      </w:pPr>
      <w:r>
        <w:t>Smlouva vstupuje v platnost okamžikem podpisu a účinnosti dnem zveřejnění v registru smluv postupem podle zákona č. 340/2015 Sb., zákon o registru smluv. Smlouva je vyhotovena v elektronické podobě opatřená elektronickými podpisy smluvních stran.</w:t>
      </w:r>
    </w:p>
    <w:p w14:paraId="63C955FE" w14:textId="77777777" w:rsidR="00F84CA3" w:rsidRDefault="00E56A59">
      <w:pPr>
        <w:pStyle w:val="Zkladntext1"/>
        <w:shd w:val="clear" w:color="auto" w:fill="auto"/>
        <w:tabs>
          <w:tab w:val="right" w:leader="dot" w:pos="1831"/>
          <w:tab w:val="left" w:pos="1987"/>
        </w:tabs>
        <w:ind w:firstLine="780"/>
        <w:jc w:val="both"/>
        <w:sectPr w:rsidR="00F84CA3">
          <w:footerReference w:type="default" r:id="rId7"/>
          <w:pgSz w:w="11900" w:h="16840"/>
          <w:pgMar w:top="922" w:right="621" w:bottom="1077" w:left="595" w:header="494"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63C9560D" wp14:editId="63C9560E">
                <wp:simplePos x="0" y="0"/>
                <wp:positionH relativeFrom="page">
                  <wp:posOffset>4462145</wp:posOffset>
                </wp:positionH>
                <wp:positionV relativeFrom="paragraph">
                  <wp:posOffset>12700</wp:posOffset>
                </wp:positionV>
                <wp:extent cx="682625" cy="17970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682625" cy="179705"/>
                        </a:xfrm>
                        <a:prstGeom prst="rect">
                          <a:avLst/>
                        </a:prstGeom>
                        <a:noFill/>
                      </wps:spPr>
                      <wps:txbx>
                        <w:txbxContent>
                          <w:p w14:paraId="63C95616" w14:textId="77777777" w:rsidR="00F84CA3" w:rsidRDefault="00E56A59">
                            <w:pPr>
                              <w:pStyle w:val="Zkladntext1"/>
                              <w:shd w:val="clear" w:color="auto" w:fill="auto"/>
                            </w:pPr>
                            <w:r>
                              <w:t>V Praze, dne</w:t>
                            </w:r>
                          </w:p>
                        </w:txbxContent>
                      </wps:txbx>
                      <wps:bodyPr wrap="none" lIns="0" tIns="0" rIns="0" bIns="0"/>
                    </wps:wsp>
                  </a:graphicData>
                </a:graphic>
              </wp:anchor>
            </w:drawing>
          </mc:Choice>
          <mc:Fallback>
            <w:pict>
              <v:shapetype w14:anchorId="63C9560D" id="_x0000_t202" coordsize="21600,21600" o:spt="202" path="m,l,21600r21600,l21600,xe">
                <v:stroke joinstyle="miter"/>
                <v:path gradientshapeok="t" o:connecttype="rect"/>
              </v:shapetype>
              <v:shape id="Shape 3" o:spid="_x0000_s1026" type="#_x0000_t202" style="position:absolute;left:0;text-align:left;margin-left:351.35pt;margin-top:1pt;width:53.75pt;height:14.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" filled="f" stroked="f">
                <v:textbox inset="0,0,0,0">
                  <w:txbxContent>
                    <w:p w14:paraId="63C95616" w14:textId="77777777" w:rsidR="00F84CA3" w:rsidRDefault="00E56A59">
                      <w:pPr>
                        <w:pStyle w:val="Zkladntext1"/>
                        <w:shd w:val="clear" w:color="auto" w:fill="auto"/>
                      </w:pPr>
                      <w:r>
                        <w:t>V Praze, dne</w:t>
                      </w:r>
                    </w:p>
                  </w:txbxContent>
                </v:textbox>
                <w10:wrap type="square" side="left" anchorx="page"/>
              </v:shape>
            </w:pict>
          </mc:Fallback>
        </mc:AlternateContent>
      </w:r>
      <w:r>
        <w:t xml:space="preserve">V </w:t>
      </w:r>
      <w:r>
        <w:tab/>
        <w:t>,</w:t>
      </w:r>
      <w:r>
        <w:tab/>
        <w:t>dne</w:t>
      </w:r>
    </w:p>
    <w:p w14:paraId="63C955FF" w14:textId="77777777" w:rsidR="00F84CA3" w:rsidRDefault="00E56A59">
      <w:pPr>
        <w:spacing w:line="1" w:lineRule="exact"/>
      </w:pPr>
      <w:r>
        <w:rPr>
          <w:noProof/>
        </w:rPr>
        <mc:AlternateContent>
          <mc:Choice Requires="wps">
            <w:drawing>
              <wp:anchor distT="165100" distB="0" distL="114300" distR="114300" simplePos="0" relativeHeight="125829380" behindDoc="0" locked="0" layoutInCell="1" allowOverlap="1" wp14:anchorId="63C9560F" wp14:editId="63C95610">
                <wp:simplePos x="0" y="0"/>
                <wp:positionH relativeFrom="page">
                  <wp:posOffset>1453515</wp:posOffset>
                </wp:positionH>
                <wp:positionV relativeFrom="paragraph">
                  <wp:posOffset>194945</wp:posOffset>
                </wp:positionV>
                <wp:extent cx="1045210" cy="62166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45210" cy="621665"/>
                        </a:xfrm>
                        <a:prstGeom prst="rect">
                          <a:avLst/>
                        </a:prstGeom>
                        <a:noFill/>
                      </wps:spPr>
                      <wps:txbx>
                        <w:txbxContent>
                          <w:p w14:paraId="63C95617" w14:textId="5804EDDB" w:rsidR="00F84CA3" w:rsidRDefault="00F84CA3">
                            <w:pPr>
                              <w:pStyle w:val="Zkladntext1"/>
                              <w:shd w:val="clear" w:color="auto" w:fill="auto"/>
                              <w:spacing w:line="228" w:lineRule="auto"/>
                            </w:pPr>
                          </w:p>
                        </w:txbxContent>
                      </wps:txbx>
                      <wps:bodyPr lIns="0" tIns="0" rIns="0" bIns="0"/>
                    </wps:wsp>
                  </a:graphicData>
                </a:graphic>
              </wp:anchor>
            </w:drawing>
          </mc:Choice>
          <mc:Fallback>
            <w:pict>
              <v:shape w14:anchorId="63C9560F" id="Shape 5" o:spid="_x0000_s1027" type="#_x0000_t202" style="position:absolute;margin-left:114.45pt;margin-top:15.35pt;width:82.3pt;height:48.95pt;z-index:125829380;visibility:visible;mso-wrap-style:square;mso-wrap-distance-left:9pt;mso-wrap-distance-top:1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" filled="f" stroked="f">
                <v:textbox inset="0,0,0,0">
                  <w:txbxContent>
                    <w:p w14:paraId="63C95617" w14:textId="5804EDDB" w:rsidR="00F84CA3" w:rsidRDefault="00F84CA3">
                      <w:pPr>
                        <w:pStyle w:val="Zkladntext1"/>
                        <w:shd w:val="clear" w:color="auto" w:fill="auto"/>
                        <w:spacing w:line="228" w:lineRule="auto"/>
                      </w:pPr>
                    </w:p>
                  </w:txbxContent>
                </v:textbox>
                <w10:wrap type="square" anchorx="page"/>
              </v:shape>
            </w:pict>
          </mc:Fallback>
        </mc:AlternateContent>
      </w:r>
    </w:p>
    <w:p w14:paraId="63C95602" w14:textId="4D027E06" w:rsidR="00F84CA3" w:rsidRDefault="00F84CA3">
      <w:pPr>
        <w:pStyle w:val="Nadpis10"/>
        <w:keepNext/>
        <w:keepLines/>
        <w:shd w:val="clear" w:color="auto" w:fill="auto"/>
      </w:pPr>
    </w:p>
    <w:p w14:paraId="4611322E" w14:textId="77777777" w:rsidR="00F63AA5" w:rsidRDefault="00F63AA5">
      <w:pPr>
        <w:pStyle w:val="Zkladntext1"/>
        <w:pBdr>
          <w:bottom w:val="single" w:sz="4" w:space="0" w:color="auto"/>
        </w:pBdr>
        <w:shd w:val="clear" w:color="auto" w:fill="auto"/>
        <w:tabs>
          <w:tab w:val="left" w:leader="underscore" w:pos="1262"/>
          <w:tab w:val="left" w:leader="underscore" w:pos="3096"/>
        </w:tabs>
        <w:spacing w:line="209" w:lineRule="auto"/>
        <w:ind w:firstLine="360"/>
      </w:pPr>
    </w:p>
    <w:p w14:paraId="63A4329E" w14:textId="77777777" w:rsidR="00F63AA5" w:rsidRDefault="00F63AA5">
      <w:pPr>
        <w:pStyle w:val="Zkladntext1"/>
        <w:pBdr>
          <w:bottom w:val="single" w:sz="4" w:space="0" w:color="auto"/>
        </w:pBdr>
        <w:shd w:val="clear" w:color="auto" w:fill="auto"/>
        <w:tabs>
          <w:tab w:val="left" w:leader="underscore" w:pos="1262"/>
          <w:tab w:val="left" w:leader="underscore" w:pos="3096"/>
        </w:tabs>
        <w:spacing w:line="209" w:lineRule="auto"/>
        <w:ind w:firstLine="360"/>
      </w:pPr>
    </w:p>
    <w:p w14:paraId="26E0FB55" w14:textId="77777777" w:rsidR="00F63AA5" w:rsidRDefault="00F63AA5">
      <w:pPr>
        <w:pStyle w:val="Zkladntext1"/>
        <w:pBdr>
          <w:bottom w:val="single" w:sz="4" w:space="0" w:color="auto"/>
        </w:pBdr>
        <w:shd w:val="clear" w:color="auto" w:fill="auto"/>
        <w:tabs>
          <w:tab w:val="left" w:leader="underscore" w:pos="1262"/>
          <w:tab w:val="left" w:leader="underscore" w:pos="3096"/>
        </w:tabs>
        <w:spacing w:line="209" w:lineRule="auto"/>
        <w:ind w:firstLine="360"/>
      </w:pPr>
    </w:p>
    <w:p w14:paraId="2347858E" w14:textId="77777777" w:rsidR="00F63AA5" w:rsidRDefault="00F63AA5">
      <w:pPr>
        <w:pStyle w:val="Zkladntext1"/>
        <w:pBdr>
          <w:bottom w:val="single" w:sz="4" w:space="0" w:color="auto"/>
        </w:pBdr>
        <w:shd w:val="clear" w:color="auto" w:fill="auto"/>
        <w:tabs>
          <w:tab w:val="left" w:leader="underscore" w:pos="1262"/>
          <w:tab w:val="left" w:leader="underscore" w:pos="3096"/>
        </w:tabs>
        <w:spacing w:line="209" w:lineRule="auto"/>
        <w:ind w:firstLine="360"/>
      </w:pPr>
    </w:p>
    <w:p w14:paraId="6028EC87" w14:textId="77777777" w:rsidR="00E56A59" w:rsidRDefault="00E56A59">
      <w:pPr>
        <w:pStyle w:val="Zkladntext1"/>
        <w:pBdr>
          <w:bottom w:val="single" w:sz="4" w:space="0" w:color="auto"/>
        </w:pBdr>
        <w:shd w:val="clear" w:color="auto" w:fill="auto"/>
        <w:tabs>
          <w:tab w:val="left" w:leader="underscore" w:pos="1262"/>
          <w:tab w:val="left" w:leader="underscore" w:pos="3096"/>
        </w:tabs>
        <w:spacing w:line="209" w:lineRule="auto"/>
        <w:ind w:firstLine="360"/>
      </w:pPr>
    </w:p>
    <w:p w14:paraId="63C95603" w14:textId="354E2B11" w:rsidR="00F84CA3" w:rsidRPr="00F63AA5" w:rsidRDefault="00E56A59">
      <w:pPr>
        <w:pStyle w:val="Zkladntext1"/>
        <w:pBdr>
          <w:bottom w:val="single" w:sz="4" w:space="0" w:color="auto"/>
        </w:pBdr>
        <w:shd w:val="clear" w:color="auto" w:fill="auto"/>
        <w:tabs>
          <w:tab w:val="left" w:leader="underscore" w:pos="1262"/>
          <w:tab w:val="left" w:leader="underscore" w:pos="3096"/>
        </w:tabs>
        <w:spacing w:line="209" w:lineRule="auto"/>
        <w:ind w:firstLine="360"/>
      </w:pPr>
      <w:r>
        <w:t xml:space="preserve">                   </w:t>
      </w:r>
      <w:r w:rsidRPr="00F63AA5">
        <w:t>Alicja Knast</w:t>
      </w:r>
    </w:p>
    <w:p w14:paraId="63C95604" w14:textId="77777777" w:rsidR="00F84CA3" w:rsidRDefault="00E56A59">
      <w:pPr>
        <w:pStyle w:val="Zkladntext30"/>
        <w:shd w:val="clear" w:color="auto" w:fill="auto"/>
        <w:ind w:left="0"/>
        <w:jc w:val="center"/>
      </w:pPr>
      <w:r>
        <w:t>Generální ředitelka Národní galerie v</w:t>
      </w:r>
      <w:r>
        <w:br/>
        <w:t>Praze</w:t>
      </w:r>
    </w:p>
    <w:p w14:paraId="5E1A1F22" w14:textId="77777777" w:rsidR="007E33B8" w:rsidRDefault="007E33B8">
      <w:pPr>
        <w:pStyle w:val="Zkladntext1"/>
        <w:shd w:val="clear" w:color="auto" w:fill="auto"/>
        <w:tabs>
          <w:tab w:val="left" w:leader="underscore" w:pos="917"/>
          <w:tab w:val="left" w:leader="underscore" w:pos="2755"/>
        </w:tabs>
        <w:jc w:val="right"/>
        <w:rPr>
          <w:u w:val="single"/>
        </w:rPr>
      </w:pPr>
    </w:p>
    <w:p w14:paraId="3233E975" w14:textId="77777777" w:rsidR="007E33B8" w:rsidRDefault="007E33B8">
      <w:pPr>
        <w:pStyle w:val="Zkladntext1"/>
        <w:shd w:val="clear" w:color="auto" w:fill="auto"/>
        <w:tabs>
          <w:tab w:val="left" w:leader="underscore" w:pos="917"/>
          <w:tab w:val="left" w:leader="underscore" w:pos="2755"/>
        </w:tabs>
        <w:jc w:val="right"/>
        <w:rPr>
          <w:u w:val="single"/>
        </w:rPr>
      </w:pPr>
    </w:p>
    <w:p w14:paraId="67AB01CE" w14:textId="77777777" w:rsidR="007E33B8" w:rsidRDefault="007E33B8">
      <w:pPr>
        <w:pStyle w:val="Zkladntext1"/>
        <w:shd w:val="clear" w:color="auto" w:fill="auto"/>
        <w:tabs>
          <w:tab w:val="left" w:leader="underscore" w:pos="917"/>
          <w:tab w:val="left" w:leader="underscore" w:pos="2755"/>
        </w:tabs>
        <w:jc w:val="right"/>
        <w:rPr>
          <w:u w:val="single"/>
        </w:rPr>
      </w:pPr>
    </w:p>
    <w:p w14:paraId="5FE58B24" w14:textId="77777777" w:rsidR="007E33B8" w:rsidRDefault="007E33B8">
      <w:pPr>
        <w:pStyle w:val="Zkladntext1"/>
        <w:shd w:val="clear" w:color="auto" w:fill="auto"/>
        <w:tabs>
          <w:tab w:val="left" w:leader="underscore" w:pos="917"/>
          <w:tab w:val="left" w:leader="underscore" w:pos="2755"/>
        </w:tabs>
        <w:jc w:val="right"/>
        <w:rPr>
          <w:u w:val="single"/>
        </w:rPr>
      </w:pPr>
    </w:p>
    <w:p w14:paraId="0DE48C8D" w14:textId="77777777" w:rsidR="007E33B8" w:rsidRDefault="007E33B8">
      <w:pPr>
        <w:pStyle w:val="Zkladntext1"/>
        <w:shd w:val="clear" w:color="auto" w:fill="auto"/>
        <w:tabs>
          <w:tab w:val="left" w:leader="underscore" w:pos="917"/>
          <w:tab w:val="left" w:leader="underscore" w:pos="2755"/>
        </w:tabs>
        <w:jc w:val="right"/>
        <w:rPr>
          <w:u w:val="single"/>
        </w:rPr>
      </w:pPr>
    </w:p>
    <w:p w14:paraId="3820A520" w14:textId="77777777" w:rsidR="007E33B8" w:rsidRDefault="007E33B8">
      <w:pPr>
        <w:pStyle w:val="Zkladntext1"/>
        <w:shd w:val="clear" w:color="auto" w:fill="auto"/>
        <w:tabs>
          <w:tab w:val="left" w:leader="underscore" w:pos="917"/>
          <w:tab w:val="left" w:leader="underscore" w:pos="2755"/>
        </w:tabs>
        <w:jc w:val="right"/>
        <w:rPr>
          <w:u w:val="single"/>
        </w:rPr>
      </w:pPr>
    </w:p>
    <w:p w14:paraId="20A3B21A" w14:textId="77777777" w:rsidR="007E33B8" w:rsidRDefault="007E33B8">
      <w:pPr>
        <w:pStyle w:val="Zkladntext1"/>
        <w:shd w:val="clear" w:color="auto" w:fill="auto"/>
        <w:tabs>
          <w:tab w:val="left" w:leader="underscore" w:pos="917"/>
          <w:tab w:val="left" w:leader="underscore" w:pos="2755"/>
        </w:tabs>
        <w:jc w:val="right"/>
        <w:rPr>
          <w:u w:val="single"/>
        </w:rPr>
      </w:pPr>
    </w:p>
    <w:p w14:paraId="63C9560A" w14:textId="0417D06E" w:rsidR="00F84CA3" w:rsidRDefault="00E56A59">
      <w:pPr>
        <w:pStyle w:val="Zkladntext1"/>
        <w:shd w:val="clear" w:color="auto" w:fill="auto"/>
        <w:tabs>
          <w:tab w:val="left" w:leader="underscore" w:pos="917"/>
          <w:tab w:val="left" w:leader="underscore" w:pos="2755"/>
        </w:tabs>
        <w:jc w:val="right"/>
      </w:pPr>
      <w:r>
        <w:rPr>
          <w:u w:val="single"/>
        </w:rPr>
        <w:tab/>
        <w:t>David Dvorský</w:t>
      </w:r>
      <w:r>
        <w:rPr>
          <w:u w:val="single"/>
        </w:rPr>
        <w:tab/>
      </w:r>
    </w:p>
    <w:p w14:paraId="63C9560B" w14:textId="77777777" w:rsidR="00F84CA3" w:rsidRDefault="00E56A59">
      <w:pPr>
        <w:pStyle w:val="Zkladntext30"/>
        <w:shd w:val="clear" w:color="auto" w:fill="auto"/>
        <w:spacing w:line="240" w:lineRule="auto"/>
        <w:ind w:left="1640"/>
      </w:pPr>
      <w:r>
        <w:t>Jednatel</w:t>
      </w:r>
    </w:p>
    <w:p w14:paraId="63C9560C" w14:textId="77777777" w:rsidR="00F84CA3" w:rsidRDefault="00E56A59">
      <w:pPr>
        <w:pStyle w:val="Zkladntext30"/>
        <w:shd w:val="clear" w:color="auto" w:fill="auto"/>
        <w:spacing w:line="230" w:lineRule="auto"/>
        <w:ind w:left="1480"/>
      </w:pPr>
      <w:r>
        <w:t>Glossa, s.r.o.</w:t>
      </w:r>
    </w:p>
    <w:sectPr w:rsidR="00F84CA3">
      <w:type w:val="continuous"/>
      <w:pgSz w:w="11900" w:h="16840"/>
      <w:pgMar w:top="922" w:right="993" w:bottom="922" w:left="581" w:header="0" w:footer="3" w:gutter="0"/>
      <w:cols w:num="2" w:space="3671"/>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327E2" w14:textId="77777777" w:rsidR="00B244CD" w:rsidRDefault="00B244CD">
      <w:r>
        <w:separator/>
      </w:r>
    </w:p>
  </w:endnote>
  <w:endnote w:type="continuationSeparator" w:id="0">
    <w:p w14:paraId="0213CAED" w14:textId="77777777" w:rsidR="00B244CD" w:rsidRDefault="00B2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95613" w14:textId="77777777" w:rsidR="00F84CA3" w:rsidRDefault="00E56A59">
    <w:pPr>
      <w:spacing w:line="1" w:lineRule="exact"/>
    </w:pPr>
    <w:r>
      <w:rPr>
        <w:noProof/>
      </w:rPr>
      <mc:AlternateContent>
        <mc:Choice Requires="wps">
          <w:drawing>
            <wp:anchor distT="0" distB="0" distL="0" distR="0" simplePos="0" relativeHeight="62914690" behindDoc="1" locked="0" layoutInCell="1" allowOverlap="1" wp14:anchorId="63C95614" wp14:editId="63C95615">
              <wp:simplePos x="0" y="0"/>
              <wp:positionH relativeFrom="page">
                <wp:posOffset>1723390</wp:posOffset>
              </wp:positionH>
              <wp:positionV relativeFrom="page">
                <wp:posOffset>10159365</wp:posOffset>
              </wp:positionV>
              <wp:extent cx="409321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4093210" cy="85090"/>
                      </a:xfrm>
                      <a:prstGeom prst="rect">
                        <a:avLst/>
                      </a:prstGeom>
                      <a:noFill/>
                    </wps:spPr>
                    <wps:txbx>
                      <w:txbxContent>
                        <w:p w14:paraId="63C95618" w14:textId="77777777" w:rsidR="00F84CA3" w:rsidRDefault="00E56A59">
                          <w:pPr>
                            <w:pStyle w:val="Zhlavnebozpat20"/>
                            <w:shd w:val="clear" w:color="auto" w:fill="auto"/>
                            <w:rPr>
                              <w:sz w:val="14"/>
                              <w:szCs w:val="14"/>
                            </w:rPr>
                          </w:pPr>
                          <w:r>
                            <w:rPr>
                              <w:rFonts w:ascii="Tahoma" w:eastAsia="Tahoma" w:hAnsi="Tahoma" w:cs="Tahoma"/>
                              <w:sz w:val="14"/>
                              <w:szCs w:val="14"/>
                            </w:rPr>
                            <w:t xml:space="preserve">Národní galerie Praha Strana </w:t>
                          </w:r>
                          <w:r>
                            <w:fldChar w:fldCharType="begin"/>
                          </w:r>
                          <w:r>
                            <w:instrText xml:space="preserve"> PAGE \* MERGEFORMAT </w:instrText>
                          </w:r>
                          <w:r>
                            <w:fldChar w:fldCharType="separate"/>
                          </w:r>
                          <w:r>
                            <w:rPr>
                              <w:rFonts w:ascii="Tahoma" w:eastAsia="Tahoma" w:hAnsi="Tahoma" w:cs="Tahoma"/>
                              <w:sz w:val="14"/>
                              <w:szCs w:val="14"/>
                            </w:rPr>
                            <w:t>#</w:t>
                          </w:r>
                          <w:r>
                            <w:rPr>
                              <w:rFonts w:ascii="Tahoma" w:eastAsia="Tahoma" w:hAnsi="Tahoma" w:cs="Tahoma"/>
                              <w:sz w:val="14"/>
                              <w:szCs w:val="14"/>
                            </w:rPr>
                            <w:fldChar w:fldCharType="end"/>
                          </w:r>
                          <w:r>
                            <w:rPr>
                              <w:rFonts w:ascii="Tahoma" w:eastAsia="Tahoma" w:hAnsi="Tahoma" w:cs="Tahoma"/>
                              <w:sz w:val="14"/>
                              <w:szCs w:val="14"/>
                            </w:rPr>
                            <w:t xml:space="preserve"> (celkem 2) Revize šablony 2212 Naposledy vytištěno 18.9.2024 14:51:00</w:t>
                          </w:r>
                        </w:p>
                      </w:txbxContent>
                    </wps:txbx>
                    <wps:bodyPr wrap="none" lIns="0" tIns="0" rIns="0" bIns="0">
                      <a:spAutoFit/>
                    </wps:bodyPr>
                  </wps:wsp>
                </a:graphicData>
              </a:graphic>
            </wp:anchor>
          </w:drawing>
        </mc:Choice>
        <mc:Fallback>
          <w:pict>
            <v:shapetype w14:anchorId="63C95614" id="_x0000_t202" coordsize="21600,21600" o:spt="202" path="m,l,21600r21600,l21600,xe">
              <v:stroke joinstyle="miter"/>
              <v:path gradientshapeok="t" o:connecttype="rect"/>
            </v:shapetype>
            <v:shape id="Shape 1" o:spid="_x0000_s1028" type="#_x0000_t202" style="position:absolute;margin-left:135.7pt;margin-top:799.95pt;width:322.3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" filled="f" stroked="f">
              <v:textbox style="mso-fit-shape-to-text:t" inset="0,0,0,0">
                <w:txbxContent>
                  <w:p w14:paraId="63C95618" w14:textId="77777777" w:rsidR="00F84CA3" w:rsidRDefault="00E56A59">
                    <w:pPr>
                      <w:pStyle w:val="Zhlavnebozpat20"/>
                      <w:shd w:val="clear" w:color="auto" w:fill="auto"/>
                      <w:rPr>
                        <w:sz w:val="14"/>
                        <w:szCs w:val="14"/>
                      </w:rPr>
                    </w:pPr>
                    <w:r>
                      <w:rPr>
                        <w:rFonts w:ascii="Tahoma" w:eastAsia="Tahoma" w:hAnsi="Tahoma" w:cs="Tahoma"/>
                        <w:sz w:val="14"/>
                        <w:szCs w:val="14"/>
                      </w:rPr>
                      <w:t xml:space="preserve">Národní galerie Praha Strana </w:t>
                    </w:r>
                    <w:r>
                      <w:fldChar w:fldCharType="begin"/>
                    </w:r>
                    <w:r>
                      <w:instrText xml:space="preserve"> PAGE \* MERGEFORMAT </w:instrText>
                    </w:r>
                    <w:r>
                      <w:fldChar w:fldCharType="separate"/>
                    </w:r>
                    <w:r>
                      <w:rPr>
                        <w:rFonts w:ascii="Tahoma" w:eastAsia="Tahoma" w:hAnsi="Tahoma" w:cs="Tahoma"/>
                        <w:sz w:val="14"/>
                        <w:szCs w:val="14"/>
                      </w:rPr>
                      <w:t>#</w:t>
                    </w:r>
                    <w:r>
                      <w:rPr>
                        <w:rFonts w:ascii="Tahoma" w:eastAsia="Tahoma" w:hAnsi="Tahoma" w:cs="Tahoma"/>
                        <w:sz w:val="14"/>
                        <w:szCs w:val="14"/>
                      </w:rPr>
                      <w:fldChar w:fldCharType="end"/>
                    </w:r>
                    <w:r>
                      <w:rPr>
                        <w:rFonts w:ascii="Tahoma" w:eastAsia="Tahoma" w:hAnsi="Tahoma" w:cs="Tahoma"/>
                        <w:sz w:val="14"/>
                        <w:szCs w:val="14"/>
                      </w:rPr>
                      <w:t xml:space="preserve"> (celkem 2) Revize šablony 2212 Naposledy vytištěno 18.9.2024 14:51:00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8D947" w14:textId="77777777" w:rsidR="00B244CD" w:rsidRDefault="00B244CD"/>
  </w:footnote>
  <w:footnote w:type="continuationSeparator" w:id="0">
    <w:p w14:paraId="190B0BE9" w14:textId="77777777" w:rsidR="00B244CD" w:rsidRDefault="00B244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73EF6"/>
    <w:multiLevelType w:val="multilevel"/>
    <w:tmpl w:val="6BE0DE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740D7A"/>
    <w:multiLevelType w:val="multilevel"/>
    <w:tmpl w:val="6888887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E96158"/>
    <w:multiLevelType w:val="multilevel"/>
    <w:tmpl w:val="955425F0"/>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D429B1"/>
    <w:multiLevelType w:val="multilevel"/>
    <w:tmpl w:val="269EFEE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701C2E"/>
    <w:multiLevelType w:val="multilevel"/>
    <w:tmpl w:val="8FA670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B472B3"/>
    <w:multiLevelType w:val="multilevel"/>
    <w:tmpl w:val="362ED8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075B19"/>
    <w:multiLevelType w:val="multilevel"/>
    <w:tmpl w:val="0DCEF22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0B07BD"/>
    <w:multiLevelType w:val="multilevel"/>
    <w:tmpl w:val="0EF899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0697898">
    <w:abstractNumId w:val="2"/>
  </w:num>
  <w:num w:numId="2" w16cid:durableId="632488852">
    <w:abstractNumId w:val="4"/>
  </w:num>
  <w:num w:numId="3" w16cid:durableId="1453816758">
    <w:abstractNumId w:val="1"/>
  </w:num>
  <w:num w:numId="4" w16cid:durableId="1888834024">
    <w:abstractNumId w:val="0"/>
  </w:num>
  <w:num w:numId="5" w16cid:durableId="469517976">
    <w:abstractNumId w:val="7"/>
  </w:num>
  <w:num w:numId="6" w16cid:durableId="408772427">
    <w:abstractNumId w:val="6"/>
  </w:num>
  <w:num w:numId="7" w16cid:durableId="809441784">
    <w:abstractNumId w:val="3"/>
  </w:num>
  <w:num w:numId="8" w16cid:durableId="2098015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A3"/>
    <w:rsid w:val="00075DCA"/>
    <w:rsid w:val="001636A7"/>
    <w:rsid w:val="002B3111"/>
    <w:rsid w:val="006607D6"/>
    <w:rsid w:val="00684DB9"/>
    <w:rsid w:val="006C62B7"/>
    <w:rsid w:val="007359B4"/>
    <w:rsid w:val="007D75CC"/>
    <w:rsid w:val="007E33B8"/>
    <w:rsid w:val="00806168"/>
    <w:rsid w:val="00824E5F"/>
    <w:rsid w:val="00AE02AF"/>
    <w:rsid w:val="00B244CD"/>
    <w:rsid w:val="00B50EB4"/>
    <w:rsid w:val="00C641C8"/>
    <w:rsid w:val="00CA184C"/>
    <w:rsid w:val="00CD6F88"/>
    <w:rsid w:val="00D738BE"/>
    <w:rsid w:val="00D75582"/>
    <w:rsid w:val="00D851A4"/>
    <w:rsid w:val="00E234D6"/>
    <w:rsid w:val="00E56A59"/>
    <w:rsid w:val="00F63AA5"/>
    <w:rsid w:val="00F84CA3"/>
    <w:rsid w:val="00FA5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55B8"/>
  <w15:docId w15:val="{DC1695D0-29CF-41BC-A4CC-8BD65673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18"/>
      <w:szCs w:val="18"/>
      <w:u w:val="none"/>
    </w:rPr>
  </w:style>
  <w:style w:type="paragraph" w:customStyle="1" w:styleId="Jin0">
    <w:name w:val="Jiné"/>
    <w:basedOn w:val="Normln"/>
    <w:link w:val="Jin"/>
    <w:pPr>
      <w:shd w:val="clear" w:color="auto" w:fill="FFFFFF"/>
    </w:pPr>
    <w:rPr>
      <w:rFonts w:ascii="Calibri" w:eastAsia="Calibri" w:hAnsi="Calibri" w:cs="Calibri"/>
      <w:sz w:val="20"/>
      <w:szCs w:val="20"/>
    </w:rPr>
  </w:style>
  <w:style w:type="paragraph" w:customStyle="1" w:styleId="Zkladntext1">
    <w:name w:val="Základní text1"/>
    <w:basedOn w:val="Normln"/>
    <w:link w:val="Zkladntext"/>
    <w:pPr>
      <w:shd w:val="clear" w:color="auto" w:fill="FFFFFF"/>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outlineLvl w:val="1"/>
    </w:pPr>
    <w:rPr>
      <w:rFonts w:ascii="Calibri" w:eastAsia="Calibri" w:hAnsi="Calibri" w:cs="Calibri"/>
      <w:b/>
      <w:bCs/>
      <w:sz w:val="20"/>
      <w:szCs w:val="20"/>
      <w:u w:val="single"/>
    </w:rPr>
  </w:style>
  <w:style w:type="paragraph" w:customStyle="1" w:styleId="Zkladntext20">
    <w:name w:val="Základní text (2)"/>
    <w:basedOn w:val="Normln"/>
    <w:link w:val="Zkladntext2"/>
    <w:pPr>
      <w:shd w:val="clear" w:color="auto" w:fill="FFFFFF"/>
      <w:ind w:firstLine="860"/>
    </w:pPr>
    <w:rPr>
      <w:rFonts w:ascii="Calibri" w:eastAsia="Calibri" w:hAnsi="Calibri" w:cs="Calibri"/>
      <w:sz w:val="16"/>
      <w:szCs w:val="16"/>
    </w:rPr>
  </w:style>
  <w:style w:type="paragraph" w:customStyle="1" w:styleId="Nadpis10">
    <w:name w:val="Nadpis #1"/>
    <w:basedOn w:val="Normln"/>
    <w:link w:val="Nadpis1"/>
    <w:pPr>
      <w:shd w:val="clear" w:color="auto" w:fill="FFFFFF"/>
      <w:spacing w:line="230" w:lineRule="auto"/>
      <w:outlineLvl w:val="0"/>
    </w:pPr>
    <w:rPr>
      <w:rFonts w:ascii="Calibri" w:eastAsia="Calibri" w:hAnsi="Calibri" w:cs="Calibri"/>
      <w:sz w:val="36"/>
      <w:szCs w:val="36"/>
    </w:rPr>
  </w:style>
  <w:style w:type="paragraph" w:customStyle="1" w:styleId="Zkladntext30">
    <w:name w:val="Základní text (3)"/>
    <w:basedOn w:val="Normln"/>
    <w:link w:val="Zkladntext3"/>
    <w:pPr>
      <w:shd w:val="clear" w:color="auto" w:fill="FFFFFF"/>
      <w:spacing w:line="233" w:lineRule="auto"/>
      <w:ind w:left="740"/>
    </w:pPr>
    <w:rPr>
      <w:rFonts w:ascii="Calibri" w:eastAsia="Calibri" w:hAnsi="Calibri" w:cs="Calibr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1167</Words>
  <Characters>6891</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strana 1/2</dc:title>
  <dc:subject/>
  <dc:creator>Petra Řídilová</dc:creator>
  <cp:keywords/>
  <cp:lastModifiedBy>Zdenka Šímová</cp:lastModifiedBy>
  <cp:revision>20</cp:revision>
  <dcterms:created xsi:type="dcterms:W3CDTF">2024-09-20T07:06:00Z</dcterms:created>
  <dcterms:modified xsi:type="dcterms:W3CDTF">2024-09-20T08:42:00Z</dcterms:modified>
</cp:coreProperties>
</file>