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DE1C5" w14:textId="3BD9629D" w:rsidR="00063FEA" w:rsidRPr="001735D9" w:rsidRDefault="00063FEA" w:rsidP="00063FEA">
      <w:pPr>
        <w:pStyle w:val="BodyText"/>
        <w:spacing w:after="120"/>
        <w:rPr>
          <w:rFonts w:ascii="Arial" w:hAnsi="Arial" w:cs="Arial"/>
        </w:rPr>
      </w:pPr>
      <w:r w:rsidRPr="001735D9">
        <w:rPr>
          <w:rFonts w:ascii="Arial" w:hAnsi="Arial" w:cs="Arial"/>
        </w:rPr>
        <w:t xml:space="preserve">SMLOUVA O HRAZENÍ LÉČIVÉHO PŘÍPRAVKU </w:t>
      </w:r>
      <w:proofErr w:type="spellStart"/>
      <w:r w:rsidR="001464CC" w:rsidRPr="006170F5">
        <w:rPr>
          <w:rFonts w:ascii="Calibri" w:hAnsi="Calibri"/>
          <w:highlight w:val="black"/>
        </w:rPr>
        <w:t>xxxxxxxxxxxxxxxx</w:t>
      </w:r>
      <w:proofErr w:type="spellEnd"/>
      <w:r w:rsidRPr="001735D9">
        <w:rPr>
          <w:rFonts w:ascii="Arial" w:hAnsi="Arial" w:cs="Arial"/>
        </w:rPr>
        <w:t xml:space="preserve"> PACIENTŮM Z UKONČENÉ STUDIE </w:t>
      </w:r>
      <w:proofErr w:type="spellStart"/>
      <w:r w:rsidR="001464CC" w:rsidRPr="006170F5">
        <w:rPr>
          <w:rFonts w:ascii="Calibri" w:hAnsi="Calibri"/>
          <w:highlight w:val="black"/>
        </w:rPr>
        <w:t>xxxxxxxxxxxxxxxx</w:t>
      </w:r>
      <w:proofErr w:type="spellEnd"/>
      <w:r w:rsidRPr="001735D9">
        <w:rPr>
          <w:rFonts w:ascii="Arial" w:hAnsi="Arial" w:cs="Arial"/>
        </w:rPr>
        <w:t xml:space="preserve"> </w:t>
      </w:r>
    </w:p>
    <w:p w14:paraId="2A7B3309" w14:textId="77777777" w:rsidR="00063FEA" w:rsidRPr="000D6BDD" w:rsidRDefault="00063FEA" w:rsidP="00063FEA">
      <w:pPr>
        <w:pStyle w:val="BodyText"/>
        <w:spacing w:after="120"/>
        <w:rPr>
          <w:rFonts w:ascii="Arial" w:hAnsi="Arial" w:cs="Arial"/>
          <w:sz w:val="22"/>
          <w:szCs w:val="22"/>
        </w:rPr>
      </w:pPr>
    </w:p>
    <w:p w14:paraId="5361AC79" w14:textId="167F6DD8" w:rsidR="00063FEA" w:rsidRPr="000D6BDD" w:rsidRDefault="00063FEA" w:rsidP="00063FEA">
      <w:pPr>
        <w:jc w:val="center"/>
        <w:rPr>
          <w:rFonts w:ascii="Arial" w:hAnsi="Arial" w:cs="Arial"/>
          <w:sz w:val="22"/>
          <w:szCs w:val="22"/>
        </w:rPr>
      </w:pPr>
      <w:r w:rsidRPr="000D6BDD">
        <w:rPr>
          <w:rFonts w:ascii="Arial" w:hAnsi="Arial" w:cs="Arial"/>
          <w:sz w:val="22"/>
          <w:szCs w:val="22"/>
        </w:rPr>
        <w:t xml:space="preserve">uzavřená dohodou smluvních stran v souladu s ustanovením § 1746 odst. 2 zákona č. 89/2012 Sb., </w:t>
      </w:r>
      <w:r>
        <w:rPr>
          <w:rFonts w:ascii="Arial" w:hAnsi="Arial" w:cs="Arial"/>
          <w:sz w:val="22"/>
          <w:szCs w:val="22"/>
        </w:rPr>
        <w:t>o</w:t>
      </w:r>
      <w:r w:rsidRPr="000D6BDD">
        <w:rPr>
          <w:rFonts w:ascii="Arial" w:hAnsi="Arial" w:cs="Arial"/>
          <w:sz w:val="22"/>
          <w:szCs w:val="22"/>
        </w:rPr>
        <w:t>bčanský zákoník</w:t>
      </w:r>
    </w:p>
    <w:p w14:paraId="65226D61" w14:textId="77777777" w:rsidR="00063FEA" w:rsidRPr="000D6BDD" w:rsidRDefault="00063FEA" w:rsidP="00063FEA">
      <w:pPr>
        <w:jc w:val="center"/>
        <w:rPr>
          <w:rFonts w:ascii="Arial" w:hAnsi="Arial" w:cs="Arial"/>
          <w:sz w:val="22"/>
          <w:szCs w:val="22"/>
        </w:rPr>
      </w:pPr>
    </w:p>
    <w:p w14:paraId="74CB10C1" w14:textId="77777777" w:rsidR="00063FEA" w:rsidRPr="000D6BDD" w:rsidRDefault="00063FEA" w:rsidP="00063FEA">
      <w:pPr>
        <w:spacing w:before="120"/>
        <w:jc w:val="center"/>
        <w:rPr>
          <w:rFonts w:ascii="Arial" w:hAnsi="Arial" w:cs="Arial"/>
          <w:b/>
          <w:sz w:val="22"/>
          <w:szCs w:val="22"/>
        </w:rPr>
      </w:pPr>
    </w:p>
    <w:p w14:paraId="0BDAFD8B" w14:textId="77777777" w:rsidR="00E504E0" w:rsidRPr="000D6BDD" w:rsidRDefault="00E504E0" w:rsidP="00E504E0">
      <w:pPr>
        <w:pStyle w:val="ListParagraph"/>
        <w:numPr>
          <w:ilvl w:val="0"/>
          <w:numId w:val="9"/>
        </w:numPr>
        <w:spacing w:before="120"/>
        <w:ind w:left="364"/>
        <w:rPr>
          <w:rFonts w:ascii="Arial" w:hAnsi="Arial" w:cs="Arial"/>
          <w:b/>
          <w:sz w:val="22"/>
          <w:szCs w:val="22"/>
        </w:rPr>
      </w:pPr>
      <w:r>
        <w:rPr>
          <w:rFonts w:ascii="Arial" w:hAnsi="Arial" w:cs="Arial"/>
          <w:b/>
          <w:sz w:val="22"/>
          <w:szCs w:val="22"/>
        </w:rPr>
        <w:t>Česká průmyslová zdravotní pojišťovna</w:t>
      </w:r>
    </w:p>
    <w:p w14:paraId="6B3D8487" w14:textId="77777777" w:rsidR="00E504E0" w:rsidRPr="000D6BDD" w:rsidRDefault="00E504E0" w:rsidP="00E504E0">
      <w:pPr>
        <w:spacing w:before="120"/>
        <w:jc w:val="both"/>
        <w:rPr>
          <w:rFonts w:ascii="Arial" w:hAnsi="Arial" w:cs="Arial"/>
          <w:b/>
          <w:sz w:val="22"/>
          <w:szCs w:val="22"/>
        </w:rPr>
      </w:pPr>
      <w:r w:rsidRPr="000D6BDD">
        <w:rPr>
          <w:rFonts w:ascii="Arial" w:hAnsi="Arial" w:cs="Arial"/>
          <w:b/>
          <w:sz w:val="22"/>
          <w:szCs w:val="22"/>
        </w:rPr>
        <w:t>se sídlem:</w:t>
      </w:r>
      <w:r w:rsidRPr="000D6BDD">
        <w:rPr>
          <w:rFonts w:ascii="Arial" w:hAnsi="Arial" w:cs="Arial"/>
          <w:b/>
          <w:sz w:val="22"/>
          <w:szCs w:val="22"/>
        </w:rPr>
        <w:tab/>
      </w:r>
      <w:r w:rsidRPr="009D1ECC">
        <w:rPr>
          <w:rFonts w:ascii="Arial" w:hAnsi="Arial" w:cs="Arial"/>
          <w:sz w:val="22"/>
          <w:szCs w:val="22"/>
        </w:rPr>
        <w:t>Jeremenkova 11, 703 00 Ostrava - Vítkovice</w:t>
      </w:r>
      <w:r w:rsidRPr="000D6BDD">
        <w:rPr>
          <w:rFonts w:ascii="Arial" w:hAnsi="Arial" w:cs="Arial"/>
          <w:b/>
          <w:sz w:val="22"/>
          <w:szCs w:val="22"/>
        </w:rPr>
        <w:t xml:space="preserve"> </w:t>
      </w:r>
    </w:p>
    <w:p w14:paraId="32121060" w14:textId="77777777" w:rsidR="00E504E0" w:rsidRPr="000D6BDD" w:rsidRDefault="00E504E0" w:rsidP="00E504E0">
      <w:pPr>
        <w:spacing w:before="120"/>
        <w:rPr>
          <w:rFonts w:ascii="Arial" w:hAnsi="Arial" w:cs="Arial"/>
          <w:b/>
          <w:sz w:val="22"/>
          <w:szCs w:val="22"/>
        </w:rPr>
      </w:pPr>
      <w:r w:rsidRPr="000D6BDD">
        <w:rPr>
          <w:rFonts w:ascii="Arial" w:hAnsi="Arial" w:cs="Arial"/>
          <w:b/>
          <w:sz w:val="22"/>
          <w:szCs w:val="22"/>
        </w:rPr>
        <w:t xml:space="preserve">zastoupena: </w:t>
      </w:r>
      <w:r w:rsidRPr="000D6BDD">
        <w:rPr>
          <w:rFonts w:ascii="Arial" w:hAnsi="Arial" w:cs="Arial"/>
          <w:b/>
          <w:sz w:val="22"/>
          <w:szCs w:val="22"/>
        </w:rPr>
        <w:tab/>
      </w:r>
      <w:r w:rsidRPr="009D1ECC">
        <w:rPr>
          <w:rFonts w:ascii="Arial" w:hAnsi="Arial" w:cs="Arial"/>
          <w:sz w:val="22"/>
          <w:szCs w:val="22"/>
        </w:rPr>
        <w:t>JUDr. Petr Vaněk, Ph.D., generální ředitel</w:t>
      </w:r>
    </w:p>
    <w:p w14:paraId="7A0B0AEA" w14:textId="77777777" w:rsidR="00E504E0" w:rsidRPr="000D6BDD" w:rsidRDefault="00E504E0" w:rsidP="00E504E0">
      <w:pPr>
        <w:spacing w:before="120"/>
        <w:rPr>
          <w:rFonts w:ascii="Arial" w:hAnsi="Arial" w:cs="Arial"/>
          <w:b/>
          <w:sz w:val="22"/>
          <w:szCs w:val="22"/>
        </w:rPr>
      </w:pPr>
      <w:r w:rsidRPr="000D6BDD">
        <w:rPr>
          <w:rFonts w:ascii="Arial" w:hAnsi="Arial" w:cs="Arial"/>
          <w:b/>
          <w:sz w:val="22"/>
          <w:szCs w:val="22"/>
        </w:rPr>
        <w:t>IČO:</w:t>
      </w:r>
      <w:r w:rsidRPr="000D6BDD">
        <w:rPr>
          <w:rFonts w:ascii="Arial" w:hAnsi="Arial" w:cs="Arial"/>
          <w:b/>
          <w:sz w:val="22"/>
          <w:szCs w:val="22"/>
        </w:rPr>
        <w:tab/>
      </w:r>
      <w:r w:rsidRPr="009D1ECC">
        <w:rPr>
          <w:rFonts w:ascii="Arial" w:hAnsi="Arial" w:cs="Arial"/>
          <w:sz w:val="22"/>
          <w:szCs w:val="22"/>
        </w:rPr>
        <w:t>47672234</w:t>
      </w:r>
      <w:r w:rsidRPr="000D6BDD">
        <w:rPr>
          <w:rFonts w:ascii="Arial" w:hAnsi="Arial" w:cs="Arial"/>
          <w:b/>
          <w:sz w:val="22"/>
          <w:szCs w:val="22"/>
        </w:rPr>
        <w:tab/>
      </w:r>
    </w:p>
    <w:p w14:paraId="14AE9D42" w14:textId="77777777" w:rsidR="00E504E0" w:rsidRPr="00E504E0" w:rsidRDefault="00E504E0" w:rsidP="00E504E0">
      <w:pPr>
        <w:spacing w:before="120"/>
        <w:rPr>
          <w:rFonts w:ascii="Arial" w:hAnsi="Arial" w:cs="Arial"/>
          <w:sz w:val="22"/>
          <w:szCs w:val="22"/>
        </w:rPr>
      </w:pPr>
      <w:r w:rsidRPr="000D6BDD">
        <w:rPr>
          <w:rFonts w:ascii="Arial" w:hAnsi="Arial" w:cs="Arial"/>
          <w:b/>
          <w:sz w:val="22"/>
          <w:szCs w:val="22"/>
        </w:rPr>
        <w:t xml:space="preserve">zapsaná v obchodním rejstříku vedeném </w:t>
      </w:r>
      <w:r w:rsidRPr="00E504E0">
        <w:rPr>
          <w:rFonts w:ascii="Arial" w:hAnsi="Arial" w:cs="Arial"/>
          <w:sz w:val="22"/>
          <w:szCs w:val="22"/>
        </w:rPr>
        <w:t xml:space="preserve">Krajským soudem v Ostravě, </w:t>
      </w:r>
      <w:proofErr w:type="spellStart"/>
      <w:r w:rsidRPr="00E504E0">
        <w:rPr>
          <w:rFonts w:ascii="Arial" w:hAnsi="Arial" w:cs="Arial"/>
          <w:sz w:val="22"/>
          <w:szCs w:val="22"/>
        </w:rPr>
        <w:t>sp</w:t>
      </w:r>
      <w:proofErr w:type="spellEnd"/>
      <w:r w:rsidRPr="00E504E0">
        <w:rPr>
          <w:rFonts w:ascii="Arial" w:hAnsi="Arial" w:cs="Arial"/>
          <w:sz w:val="22"/>
          <w:szCs w:val="22"/>
        </w:rPr>
        <w:t>. zn. AXIV, 545</w:t>
      </w:r>
    </w:p>
    <w:p w14:paraId="09D3B656" w14:textId="2012DF8A" w:rsidR="00E504E0" w:rsidRPr="000D6BDD" w:rsidRDefault="00E504E0" w:rsidP="00E504E0">
      <w:pPr>
        <w:spacing w:before="120"/>
        <w:rPr>
          <w:rFonts w:ascii="Arial" w:hAnsi="Arial" w:cs="Arial"/>
          <w:color w:val="3D3D3D"/>
          <w:sz w:val="22"/>
          <w:szCs w:val="22"/>
        </w:rPr>
      </w:pPr>
      <w:r w:rsidRPr="000D6BDD">
        <w:rPr>
          <w:rFonts w:ascii="Arial" w:hAnsi="Arial" w:cs="Arial"/>
          <w:b/>
          <w:sz w:val="22"/>
          <w:szCs w:val="22"/>
        </w:rPr>
        <w:t>bankovní spojení:</w:t>
      </w:r>
      <w:r w:rsidRPr="000D6BDD">
        <w:rPr>
          <w:rFonts w:ascii="Arial" w:hAnsi="Arial" w:cs="Arial"/>
          <w:color w:val="3D3D3D"/>
          <w:sz w:val="22"/>
          <w:szCs w:val="22"/>
        </w:rPr>
        <w:t xml:space="preserve"> </w:t>
      </w:r>
      <w:proofErr w:type="spellStart"/>
      <w:r w:rsidRPr="006170F5">
        <w:rPr>
          <w:rFonts w:ascii="Calibri" w:hAnsi="Calibri"/>
          <w:highlight w:val="black"/>
        </w:rPr>
        <w:t>xxxxxxxxxxxxxxxx</w:t>
      </w:r>
      <w:proofErr w:type="spellEnd"/>
    </w:p>
    <w:p w14:paraId="1A06AE0D" w14:textId="0455C109" w:rsidR="00E504E0" w:rsidRPr="000D6BDD" w:rsidRDefault="00E504E0" w:rsidP="00E504E0">
      <w:pPr>
        <w:spacing w:before="120"/>
        <w:rPr>
          <w:rFonts w:ascii="Arial" w:hAnsi="Arial" w:cs="Arial"/>
          <w:b/>
          <w:sz w:val="22"/>
          <w:szCs w:val="22"/>
        </w:rPr>
      </w:pPr>
      <w:r w:rsidRPr="000D6BDD">
        <w:rPr>
          <w:rFonts w:ascii="Arial" w:hAnsi="Arial" w:cs="Arial"/>
          <w:b/>
          <w:sz w:val="22"/>
          <w:szCs w:val="22"/>
        </w:rPr>
        <w:t xml:space="preserve">číslo účtu: </w:t>
      </w:r>
      <w:proofErr w:type="spellStart"/>
      <w:r w:rsidRPr="006170F5">
        <w:rPr>
          <w:rFonts w:ascii="Calibri" w:hAnsi="Calibri"/>
          <w:highlight w:val="black"/>
        </w:rPr>
        <w:t>xxxxxxxxxxxxxxxx</w:t>
      </w:r>
      <w:proofErr w:type="spellEnd"/>
    </w:p>
    <w:p w14:paraId="0D4FF407" w14:textId="77777777" w:rsidR="00E504E0" w:rsidRPr="000D6BDD" w:rsidRDefault="00E504E0" w:rsidP="00E504E0">
      <w:pPr>
        <w:spacing w:before="120"/>
        <w:rPr>
          <w:rFonts w:ascii="Arial" w:hAnsi="Arial" w:cs="Arial"/>
          <w:sz w:val="22"/>
          <w:szCs w:val="22"/>
        </w:rPr>
      </w:pPr>
      <w:r w:rsidRPr="000D6BDD">
        <w:rPr>
          <w:rFonts w:ascii="Arial" w:hAnsi="Arial" w:cs="Arial"/>
          <w:sz w:val="22"/>
          <w:szCs w:val="22"/>
        </w:rPr>
        <w:t>(dále jen „Pojišťovna“)</w:t>
      </w:r>
      <w:r w:rsidRPr="000D6BDD">
        <w:rPr>
          <w:rFonts w:ascii="Arial" w:hAnsi="Arial" w:cs="Arial"/>
          <w:sz w:val="22"/>
          <w:szCs w:val="22"/>
        </w:rPr>
        <w:tab/>
      </w:r>
    </w:p>
    <w:p w14:paraId="587BEEDE" w14:textId="77777777" w:rsidR="00063FEA" w:rsidRPr="000D6BDD" w:rsidRDefault="00063FEA" w:rsidP="00063FEA">
      <w:pPr>
        <w:spacing w:before="120" w:line="312" w:lineRule="auto"/>
        <w:jc w:val="center"/>
        <w:rPr>
          <w:rFonts w:ascii="Arial" w:hAnsi="Arial" w:cs="Arial"/>
          <w:b/>
          <w:sz w:val="22"/>
          <w:szCs w:val="22"/>
        </w:rPr>
      </w:pPr>
      <w:r w:rsidRPr="000D6BDD">
        <w:rPr>
          <w:rFonts w:ascii="Arial" w:hAnsi="Arial" w:cs="Arial"/>
          <w:b/>
          <w:sz w:val="22"/>
          <w:szCs w:val="22"/>
        </w:rPr>
        <w:t>a</w:t>
      </w:r>
    </w:p>
    <w:p w14:paraId="2587AF50" w14:textId="77777777" w:rsidR="00063FEA" w:rsidRPr="000D6BDD" w:rsidRDefault="00063FEA" w:rsidP="00063FEA">
      <w:pPr>
        <w:numPr>
          <w:ilvl w:val="0"/>
          <w:numId w:val="1"/>
        </w:numPr>
        <w:spacing w:line="360" w:lineRule="auto"/>
        <w:ind w:left="0" w:firstLine="0"/>
        <w:rPr>
          <w:rFonts w:ascii="Arial" w:hAnsi="Arial" w:cs="Arial"/>
          <w:b/>
          <w:sz w:val="22"/>
          <w:szCs w:val="22"/>
        </w:rPr>
      </w:pPr>
      <w:r w:rsidRPr="000D6BDD">
        <w:rPr>
          <w:rFonts w:ascii="Arial" w:hAnsi="Arial" w:cs="Arial"/>
          <w:b/>
          <w:sz w:val="22"/>
          <w:szCs w:val="22"/>
        </w:rPr>
        <w:t>Biogen IDEC Limited</w:t>
      </w:r>
    </w:p>
    <w:p w14:paraId="615D62C8" w14:textId="77777777" w:rsidR="00063FEA" w:rsidRPr="000D6BDD" w:rsidRDefault="00063FEA" w:rsidP="00063FEA">
      <w:pPr>
        <w:spacing w:line="360" w:lineRule="auto"/>
        <w:ind w:left="14"/>
        <w:rPr>
          <w:rFonts w:ascii="Arial" w:hAnsi="Arial" w:cs="Arial"/>
          <w:sz w:val="22"/>
          <w:szCs w:val="22"/>
        </w:rPr>
      </w:pPr>
      <w:r w:rsidRPr="000D6BDD">
        <w:rPr>
          <w:rFonts w:ascii="Arial" w:hAnsi="Arial" w:cs="Arial"/>
          <w:b/>
          <w:sz w:val="22"/>
          <w:szCs w:val="22"/>
        </w:rPr>
        <w:t>se sídlem:</w:t>
      </w:r>
      <w:r w:rsidRPr="000D6BDD">
        <w:rPr>
          <w:rFonts w:ascii="Arial" w:hAnsi="Arial" w:cs="Arial"/>
          <w:sz w:val="22"/>
          <w:szCs w:val="22"/>
        </w:rPr>
        <w:t xml:space="preserve"> Innovation House, </w:t>
      </w:r>
      <w:proofErr w:type="spellStart"/>
      <w:r w:rsidRPr="000D6BDD">
        <w:rPr>
          <w:rFonts w:ascii="Arial" w:hAnsi="Arial" w:cs="Arial"/>
          <w:sz w:val="22"/>
          <w:szCs w:val="22"/>
        </w:rPr>
        <w:t>Norden</w:t>
      </w:r>
      <w:proofErr w:type="spellEnd"/>
      <w:r>
        <w:rPr>
          <w:rFonts w:ascii="Arial" w:hAnsi="Arial" w:cs="Arial"/>
          <w:sz w:val="22"/>
          <w:szCs w:val="22"/>
        </w:rPr>
        <w:t xml:space="preserve"> </w:t>
      </w:r>
      <w:proofErr w:type="spellStart"/>
      <w:r w:rsidRPr="000D6BDD">
        <w:rPr>
          <w:rFonts w:ascii="Arial" w:hAnsi="Arial" w:cs="Arial"/>
          <w:sz w:val="22"/>
          <w:szCs w:val="22"/>
        </w:rPr>
        <w:t>Road</w:t>
      </w:r>
      <w:proofErr w:type="spellEnd"/>
      <w:r w:rsidRPr="000D6BDD">
        <w:rPr>
          <w:rFonts w:ascii="Arial" w:hAnsi="Arial" w:cs="Arial"/>
          <w:sz w:val="22"/>
          <w:szCs w:val="22"/>
        </w:rPr>
        <w:t xml:space="preserve"> 70, </w:t>
      </w:r>
      <w:proofErr w:type="spellStart"/>
      <w:r w:rsidRPr="000D6BDD">
        <w:rPr>
          <w:rFonts w:ascii="Arial" w:hAnsi="Arial" w:cs="Arial"/>
          <w:sz w:val="22"/>
          <w:szCs w:val="22"/>
        </w:rPr>
        <w:t>Maidenhead</w:t>
      </w:r>
      <w:proofErr w:type="spellEnd"/>
      <w:r w:rsidRPr="000D6BDD">
        <w:rPr>
          <w:rFonts w:ascii="Arial" w:hAnsi="Arial" w:cs="Arial"/>
          <w:sz w:val="22"/>
          <w:szCs w:val="22"/>
        </w:rPr>
        <w:t xml:space="preserve"> (Berkshire), Velká Británie </w:t>
      </w:r>
    </w:p>
    <w:p w14:paraId="56A380E0" w14:textId="77777777" w:rsidR="00063FEA" w:rsidRPr="000D6BDD" w:rsidRDefault="00063FEA" w:rsidP="00063FEA">
      <w:pPr>
        <w:spacing w:line="360" w:lineRule="auto"/>
        <w:rPr>
          <w:rFonts w:ascii="Arial" w:hAnsi="Arial" w:cs="Arial"/>
          <w:sz w:val="22"/>
          <w:szCs w:val="22"/>
        </w:rPr>
      </w:pPr>
      <w:r w:rsidRPr="000D6BDD">
        <w:rPr>
          <w:rFonts w:ascii="Arial" w:hAnsi="Arial" w:cs="Arial"/>
          <w:b/>
          <w:sz w:val="22"/>
          <w:szCs w:val="22"/>
        </w:rPr>
        <w:t>zastoupena:</w:t>
      </w:r>
      <w:r w:rsidRPr="000D6BDD">
        <w:rPr>
          <w:rFonts w:ascii="Arial" w:hAnsi="Arial" w:cs="Arial"/>
          <w:sz w:val="22"/>
          <w:szCs w:val="22"/>
        </w:rPr>
        <w:t xml:space="preserve"> Biogen </w:t>
      </w:r>
      <w:proofErr w:type="spellStart"/>
      <w:r w:rsidRPr="000D6BDD">
        <w:rPr>
          <w:rFonts w:ascii="Arial" w:hAnsi="Arial" w:cs="Arial"/>
          <w:sz w:val="22"/>
          <w:szCs w:val="22"/>
        </w:rPr>
        <w:t>Idec</w:t>
      </w:r>
      <w:proofErr w:type="spellEnd"/>
      <w:r w:rsidRPr="000D6BDD">
        <w:rPr>
          <w:rFonts w:ascii="Arial" w:hAnsi="Arial" w:cs="Arial"/>
          <w:sz w:val="22"/>
          <w:szCs w:val="22"/>
        </w:rPr>
        <w:t xml:space="preserve"> (Czech Republic) s.r.o., sídlem Praha 4, Na Pankráci 1683/127, PSČ 140 00, IČ 275 66 137, zástupce v plné moci</w:t>
      </w:r>
    </w:p>
    <w:p w14:paraId="5993F2A1" w14:textId="77777777" w:rsidR="00063FEA" w:rsidRPr="000D6BDD" w:rsidRDefault="00063FEA" w:rsidP="00063FEA">
      <w:pPr>
        <w:spacing w:line="360" w:lineRule="auto"/>
        <w:rPr>
          <w:rFonts w:ascii="Arial" w:hAnsi="Arial" w:cs="Arial"/>
          <w:sz w:val="22"/>
          <w:szCs w:val="22"/>
        </w:rPr>
      </w:pPr>
      <w:r w:rsidRPr="000D6BDD">
        <w:rPr>
          <w:rFonts w:ascii="Arial" w:hAnsi="Arial" w:cs="Arial"/>
          <w:b/>
          <w:sz w:val="22"/>
          <w:szCs w:val="22"/>
        </w:rPr>
        <w:t>IČO:</w:t>
      </w:r>
      <w:r w:rsidRPr="000D6BDD">
        <w:rPr>
          <w:rFonts w:ascii="Arial" w:hAnsi="Arial" w:cs="Arial"/>
          <w:sz w:val="22"/>
          <w:szCs w:val="22"/>
        </w:rPr>
        <w:t xml:space="preserve"> 27566137 </w:t>
      </w:r>
    </w:p>
    <w:p w14:paraId="1BD001DA" w14:textId="77777777" w:rsidR="00063FEA" w:rsidRPr="000D6BDD" w:rsidRDefault="00063FEA" w:rsidP="00063FEA">
      <w:pPr>
        <w:spacing w:line="360" w:lineRule="auto"/>
        <w:rPr>
          <w:rFonts w:ascii="Arial" w:hAnsi="Arial" w:cs="Arial"/>
          <w:sz w:val="22"/>
          <w:szCs w:val="22"/>
        </w:rPr>
      </w:pPr>
      <w:r w:rsidRPr="000D6BDD">
        <w:rPr>
          <w:rFonts w:ascii="Arial" w:hAnsi="Arial" w:cs="Arial"/>
          <w:b/>
          <w:sz w:val="22"/>
          <w:szCs w:val="22"/>
        </w:rPr>
        <w:t>DIČ:</w:t>
      </w:r>
      <w:r w:rsidRPr="000D6BDD">
        <w:rPr>
          <w:rFonts w:ascii="Arial" w:hAnsi="Arial" w:cs="Arial"/>
          <w:sz w:val="22"/>
          <w:szCs w:val="22"/>
        </w:rPr>
        <w:t xml:space="preserve"> CZ27566137</w:t>
      </w:r>
    </w:p>
    <w:p w14:paraId="15E3C93C" w14:textId="77777777" w:rsidR="00063FEA" w:rsidRPr="000D6BDD" w:rsidRDefault="00063FEA" w:rsidP="00063FEA">
      <w:pPr>
        <w:spacing w:line="360" w:lineRule="auto"/>
        <w:rPr>
          <w:rFonts w:ascii="Arial" w:hAnsi="Arial" w:cs="Arial"/>
          <w:sz w:val="22"/>
          <w:szCs w:val="22"/>
        </w:rPr>
      </w:pPr>
      <w:r w:rsidRPr="000D6BDD">
        <w:rPr>
          <w:rFonts w:ascii="Arial" w:hAnsi="Arial" w:cs="Arial"/>
          <w:b/>
          <w:sz w:val="22"/>
          <w:szCs w:val="22"/>
        </w:rPr>
        <w:t>Zapsaná v obchodním rejstříku</w:t>
      </w:r>
      <w:r w:rsidRPr="000D6BDD">
        <w:rPr>
          <w:rFonts w:ascii="Arial" w:hAnsi="Arial" w:cs="Arial"/>
          <w:sz w:val="22"/>
          <w:szCs w:val="22"/>
        </w:rPr>
        <w:t>: pod spis. značkou C 114396 vedenou u Městského soudu v Praze</w:t>
      </w:r>
    </w:p>
    <w:p w14:paraId="5EABCFBF" w14:textId="5746677B" w:rsidR="00063FEA" w:rsidRPr="000D6BDD" w:rsidRDefault="00063FEA" w:rsidP="00063FEA">
      <w:pPr>
        <w:spacing w:line="360" w:lineRule="auto"/>
        <w:rPr>
          <w:rFonts w:ascii="Arial" w:hAnsi="Arial" w:cs="Arial"/>
          <w:sz w:val="22"/>
          <w:szCs w:val="22"/>
        </w:rPr>
      </w:pPr>
      <w:r w:rsidRPr="000D6BDD">
        <w:rPr>
          <w:rFonts w:ascii="Arial" w:hAnsi="Arial" w:cs="Arial"/>
          <w:b/>
          <w:sz w:val="22"/>
          <w:szCs w:val="22"/>
        </w:rPr>
        <w:t xml:space="preserve">bankovní spojení: </w:t>
      </w:r>
      <w:proofErr w:type="spellStart"/>
      <w:r w:rsidR="00DE4494" w:rsidRPr="006170F5">
        <w:rPr>
          <w:rFonts w:ascii="Calibri" w:hAnsi="Calibri"/>
          <w:highlight w:val="black"/>
        </w:rPr>
        <w:t>xxxxxxxxxxxxxxxx</w:t>
      </w:r>
      <w:proofErr w:type="spellEnd"/>
    </w:p>
    <w:p w14:paraId="004DC123" w14:textId="045A46BF" w:rsidR="00063FEA" w:rsidRPr="000D6BDD" w:rsidRDefault="00063FEA" w:rsidP="00063FEA">
      <w:pPr>
        <w:spacing w:line="360" w:lineRule="auto"/>
        <w:rPr>
          <w:rFonts w:ascii="Arial" w:hAnsi="Arial" w:cs="Arial"/>
          <w:sz w:val="22"/>
          <w:szCs w:val="22"/>
        </w:rPr>
      </w:pPr>
      <w:r w:rsidRPr="000D6BDD">
        <w:rPr>
          <w:rFonts w:ascii="Arial" w:hAnsi="Arial" w:cs="Arial"/>
          <w:b/>
          <w:sz w:val="22"/>
          <w:szCs w:val="22"/>
        </w:rPr>
        <w:t xml:space="preserve">číslo účtu: </w:t>
      </w:r>
      <w:proofErr w:type="spellStart"/>
      <w:r w:rsidR="00DE4494" w:rsidRPr="006170F5">
        <w:rPr>
          <w:rFonts w:ascii="Calibri" w:hAnsi="Calibri"/>
          <w:highlight w:val="black"/>
        </w:rPr>
        <w:t>xxxxxxxxxxxxxxxx</w:t>
      </w:r>
      <w:proofErr w:type="spellEnd"/>
    </w:p>
    <w:p w14:paraId="41F6FAA9" w14:textId="77777777" w:rsidR="00063FEA" w:rsidRPr="000D6BDD" w:rsidRDefault="00063FEA" w:rsidP="00063FEA">
      <w:pPr>
        <w:spacing w:before="120" w:line="360" w:lineRule="auto"/>
        <w:rPr>
          <w:rFonts w:ascii="Arial" w:hAnsi="Arial" w:cs="Arial"/>
          <w:sz w:val="22"/>
          <w:szCs w:val="22"/>
        </w:rPr>
      </w:pPr>
      <w:r w:rsidRPr="000D6BDD">
        <w:rPr>
          <w:rFonts w:ascii="Arial" w:hAnsi="Arial" w:cs="Arial"/>
          <w:sz w:val="22"/>
          <w:szCs w:val="22"/>
        </w:rPr>
        <w:t>(dále jen „Držitel“)</w:t>
      </w:r>
    </w:p>
    <w:p w14:paraId="3AFAFFE9" w14:textId="77777777" w:rsidR="00063FEA" w:rsidRPr="000D6BDD" w:rsidRDefault="00063FEA" w:rsidP="00063FEA">
      <w:pPr>
        <w:spacing w:before="120" w:line="360" w:lineRule="auto"/>
        <w:rPr>
          <w:rFonts w:ascii="Arial" w:hAnsi="Arial" w:cs="Arial"/>
          <w:sz w:val="22"/>
          <w:szCs w:val="22"/>
        </w:rPr>
      </w:pPr>
      <w:r w:rsidRPr="000D6BDD">
        <w:rPr>
          <w:rFonts w:ascii="Arial" w:hAnsi="Arial" w:cs="Arial"/>
          <w:sz w:val="22"/>
          <w:szCs w:val="22"/>
        </w:rPr>
        <w:t>(společně dále jen „smluvní strany“)</w:t>
      </w:r>
    </w:p>
    <w:p w14:paraId="4A385FB1" w14:textId="77777777" w:rsidR="00063FEA" w:rsidRPr="000D6BDD" w:rsidRDefault="00063FEA" w:rsidP="00063FEA">
      <w:pPr>
        <w:tabs>
          <w:tab w:val="left" w:pos="3857"/>
          <w:tab w:val="center" w:pos="4536"/>
        </w:tabs>
        <w:spacing w:before="120" w:line="360" w:lineRule="auto"/>
        <w:rPr>
          <w:rFonts w:ascii="Arial" w:hAnsi="Arial" w:cs="Arial"/>
          <w:b/>
          <w:sz w:val="22"/>
          <w:szCs w:val="22"/>
        </w:rPr>
      </w:pPr>
    </w:p>
    <w:p w14:paraId="6FBBDF2B" w14:textId="77777777" w:rsidR="00063FEA" w:rsidRPr="000D6BDD" w:rsidRDefault="00063FEA" w:rsidP="00063FEA">
      <w:pPr>
        <w:tabs>
          <w:tab w:val="left" w:pos="3857"/>
          <w:tab w:val="center" w:pos="4536"/>
        </w:tabs>
        <w:spacing w:before="120"/>
        <w:rPr>
          <w:rFonts w:ascii="Arial" w:hAnsi="Arial" w:cs="Arial"/>
          <w:b/>
          <w:sz w:val="22"/>
          <w:szCs w:val="22"/>
        </w:rPr>
      </w:pPr>
      <w:r w:rsidRPr="000D6BDD">
        <w:rPr>
          <w:rFonts w:ascii="Arial" w:hAnsi="Arial" w:cs="Arial"/>
          <w:b/>
          <w:sz w:val="22"/>
          <w:szCs w:val="22"/>
        </w:rPr>
        <w:tab/>
      </w:r>
      <w:r w:rsidRPr="000D6BDD">
        <w:rPr>
          <w:rFonts w:ascii="Arial" w:hAnsi="Arial" w:cs="Arial"/>
          <w:b/>
          <w:sz w:val="22"/>
          <w:szCs w:val="22"/>
        </w:rPr>
        <w:tab/>
        <w:t>uzavírají</w:t>
      </w:r>
    </w:p>
    <w:p w14:paraId="156D549B" w14:textId="77777777" w:rsidR="00063FEA" w:rsidRPr="000D6BDD" w:rsidRDefault="00063FEA" w:rsidP="00063FEA">
      <w:pPr>
        <w:tabs>
          <w:tab w:val="left" w:pos="3857"/>
          <w:tab w:val="center" w:pos="4536"/>
        </w:tabs>
        <w:spacing w:before="240"/>
        <w:jc w:val="both"/>
        <w:rPr>
          <w:rFonts w:ascii="Arial" w:hAnsi="Arial" w:cs="Arial"/>
          <w:sz w:val="22"/>
          <w:szCs w:val="22"/>
        </w:rPr>
      </w:pPr>
      <w:r w:rsidRPr="000D6BDD">
        <w:rPr>
          <w:rFonts w:ascii="Arial" w:hAnsi="Arial" w:cs="Arial"/>
          <w:sz w:val="22"/>
          <w:szCs w:val="22"/>
        </w:rPr>
        <w:t xml:space="preserve">v souladu se zák. č. 48/1997 Sb., o veřejném zdravotním pojištění a o změně a doplnění některých souvisejících zákonů, ve znění pozdějších předpisů (dále jen „Zákon o veřejném zdravotním pojištění.“) a dalšími souvisejícími právními předpisy tuto </w:t>
      </w:r>
    </w:p>
    <w:p w14:paraId="1E538C03" w14:textId="77777777" w:rsidR="00063FEA" w:rsidRPr="001735D9" w:rsidRDefault="00063FEA" w:rsidP="00063FEA">
      <w:pPr>
        <w:tabs>
          <w:tab w:val="left" w:pos="3857"/>
          <w:tab w:val="center" w:pos="4536"/>
        </w:tabs>
        <w:spacing w:before="240"/>
        <w:jc w:val="both"/>
        <w:rPr>
          <w:rFonts w:ascii="Arial" w:hAnsi="Arial" w:cs="Arial"/>
          <w:sz w:val="24"/>
          <w:szCs w:val="24"/>
        </w:rPr>
      </w:pPr>
    </w:p>
    <w:p w14:paraId="062F106E" w14:textId="1759FB06" w:rsidR="00063FEA" w:rsidRPr="001735D9" w:rsidRDefault="00063FEA" w:rsidP="00063FEA">
      <w:pPr>
        <w:pStyle w:val="BodyText"/>
        <w:spacing w:after="120"/>
        <w:rPr>
          <w:rFonts w:ascii="Arial" w:hAnsi="Arial" w:cs="Arial"/>
          <w:sz w:val="24"/>
          <w:szCs w:val="24"/>
        </w:rPr>
      </w:pPr>
      <w:r w:rsidRPr="001735D9">
        <w:rPr>
          <w:rFonts w:ascii="Arial" w:hAnsi="Arial" w:cs="Arial"/>
          <w:sz w:val="24"/>
          <w:szCs w:val="24"/>
        </w:rPr>
        <w:lastRenderedPageBreak/>
        <w:t xml:space="preserve">Smlouvu o hrazení léčivého přípravku </w:t>
      </w:r>
      <w:proofErr w:type="spellStart"/>
      <w:r w:rsidR="00DA36EA" w:rsidRPr="006170F5">
        <w:rPr>
          <w:rFonts w:ascii="Calibri" w:hAnsi="Calibri"/>
          <w:highlight w:val="black"/>
        </w:rPr>
        <w:t>xxxxxxxxxxxxxxxx</w:t>
      </w:r>
      <w:proofErr w:type="spellEnd"/>
      <w:r w:rsidRPr="001735D9">
        <w:rPr>
          <w:rFonts w:ascii="Arial" w:hAnsi="Arial" w:cs="Arial"/>
          <w:sz w:val="24"/>
          <w:szCs w:val="24"/>
        </w:rPr>
        <w:t xml:space="preserve"> pacientům z ukončené studie </w:t>
      </w:r>
      <w:proofErr w:type="spellStart"/>
      <w:r w:rsidR="00DA36EA" w:rsidRPr="006170F5">
        <w:rPr>
          <w:rFonts w:ascii="Calibri" w:hAnsi="Calibri"/>
          <w:highlight w:val="black"/>
        </w:rPr>
        <w:t>xxxxxxxxxxxxxxxx</w:t>
      </w:r>
      <w:proofErr w:type="spellEnd"/>
      <w:r w:rsidRPr="001735D9">
        <w:rPr>
          <w:rFonts w:ascii="Arial" w:hAnsi="Arial" w:cs="Arial"/>
          <w:sz w:val="24"/>
          <w:szCs w:val="24"/>
        </w:rPr>
        <w:t xml:space="preserve"> </w:t>
      </w:r>
    </w:p>
    <w:p w14:paraId="56960E6C" w14:textId="77777777" w:rsidR="00063FEA" w:rsidRPr="001735D9" w:rsidRDefault="00063FEA" w:rsidP="00063FEA">
      <w:pPr>
        <w:tabs>
          <w:tab w:val="left" w:pos="3857"/>
          <w:tab w:val="center" w:pos="4536"/>
        </w:tabs>
        <w:spacing w:before="240"/>
        <w:jc w:val="center"/>
        <w:rPr>
          <w:rFonts w:ascii="Arial" w:hAnsi="Arial" w:cs="Arial"/>
          <w:b/>
          <w:sz w:val="24"/>
          <w:szCs w:val="24"/>
        </w:rPr>
      </w:pPr>
      <w:r w:rsidRPr="001735D9">
        <w:rPr>
          <w:rFonts w:ascii="Arial" w:hAnsi="Arial" w:cs="Arial"/>
          <w:b/>
          <w:sz w:val="24"/>
          <w:szCs w:val="24"/>
        </w:rPr>
        <w:t xml:space="preserve"> (dále jen „Smlouva“)</w:t>
      </w:r>
    </w:p>
    <w:p w14:paraId="55B4237E" w14:textId="77777777" w:rsidR="00063FEA" w:rsidRPr="001735D9" w:rsidRDefault="00063FEA" w:rsidP="00063FEA">
      <w:pPr>
        <w:tabs>
          <w:tab w:val="left" w:pos="3857"/>
          <w:tab w:val="center" w:pos="4536"/>
        </w:tabs>
        <w:jc w:val="center"/>
        <w:rPr>
          <w:rFonts w:ascii="Arial" w:hAnsi="Arial" w:cs="Arial"/>
          <w:b/>
          <w:sz w:val="24"/>
        </w:rPr>
      </w:pPr>
    </w:p>
    <w:p w14:paraId="7AC285F1" w14:textId="77777777" w:rsidR="00063FEA" w:rsidRPr="001735D9" w:rsidRDefault="00063FEA" w:rsidP="00063FEA">
      <w:pPr>
        <w:tabs>
          <w:tab w:val="left" w:pos="3857"/>
          <w:tab w:val="center" w:pos="4536"/>
        </w:tabs>
        <w:jc w:val="center"/>
        <w:rPr>
          <w:rFonts w:ascii="Arial" w:hAnsi="Arial" w:cs="Arial"/>
          <w:b/>
          <w:sz w:val="24"/>
          <w:szCs w:val="24"/>
        </w:rPr>
      </w:pPr>
      <w:r w:rsidRPr="001735D9">
        <w:rPr>
          <w:rFonts w:ascii="Arial" w:hAnsi="Arial" w:cs="Arial"/>
          <w:b/>
          <w:sz w:val="24"/>
          <w:szCs w:val="24"/>
        </w:rPr>
        <w:t>PREAMBULE</w:t>
      </w:r>
    </w:p>
    <w:p w14:paraId="13996158" w14:textId="77777777" w:rsidR="00063FEA" w:rsidRPr="001735D9" w:rsidRDefault="00063FEA" w:rsidP="00063FEA">
      <w:pPr>
        <w:tabs>
          <w:tab w:val="left" w:pos="3857"/>
          <w:tab w:val="center" w:pos="4536"/>
        </w:tabs>
        <w:jc w:val="center"/>
        <w:rPr>
          <w:rFonts w:ascii="Arial" w:hAnsi="Arial" w:cs="Arial"/>
          <w:b/>
          <w:sz w:val="22"/>
          <w:szCs w:val="22"/>
        </w:rPr>
      </w:pPr>
    </w:p>
    <w:p w14:paraId="7E382AEE" w14:textId="77777777" w:rsidR="00063FEA" w:rsidRPr="001735D9" w:rsidRDefault="00063FEA" w:rsidP="00063FEA">
      <w:pPr>
        <w:tabs>
          <w:tab w:val="left" w:pos="3857"/>
          <w:tab w:val="center" w:pos="4536"/>
        </w:tabs>
        <w:jc w:val="center"/>
        <w:rPr>
          <w:rFonts w:ascii="Arial" w:hAnsi="Arial" w:cs="Arial"/>
          <w:b/>
          <w:sz w:val="22"/>
          <w:szCs w:val="22"/>
        </w:rPr>
      </w:pPr>
    </w:p>
    <w:p w14:paraId="4BD3F4FB" w14:textId="77777777"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 xml:space="preserve">Držitel uvádí na trh v České republice léčivý přípravek </w:t>
      </w:r>
    </w:p>
    <w:p w14:paraId="1D6A193A" w14:textId="77777777" w:rsidR="00063FEA" w:rsidRPr="001735D9" w:rsidRDefault="00063FEA" w:rsidP="00063FEA">
      <w:pPr>
        <w:tabs>
          <w:tab w:val="center" w:pos="709"/>
          <w:tab w:val="center" w:pos="4536"/>
        </w:tabs>
        <w:ind w:left="720"/>
        <w:jc w:val="both"/>
        <w:rPr>
          <w:rFonts w:ascii="Arial" w:hAnsi="Arial" w:cs="Arial"/>
          <w:sz w:val="22"/>
          <w:szCs w:val="22"/>
        </w:rPr>
      </w:pPr>
    </w:p>
    <w:tbl>
      <w:tblPr>
        <w:tblStyle w:val="TableGrid"/>
        <w:tblW w:w="0" w:type="auto"/>
        <w:tblInd w:w="426" w:type="dxa"/>
        <w:tblLook w:val="04A0" w:firstRow="1" w:lastRow="0" w:firstColumn="1" w:lastColumn="0" w:noHBand="0" w:noVBand="1"/>
      </w:tblPr>
      <w:tblGrid>
        <w:gridCol w:w="1837"/>
        <w:gridCol w:w="2835"/>
        <w:gridCol w:w="3964"/>
      </w:tblGrid>
      <w:tr w:rsidR="00302260" w14:paraId="33A4ED56" w14:textId="77777777" w:rsidTr="002F58AB">
        <w:tc>
          <w:tcPr>
            <w:tcW w:w="1837" w:type="dxa"/>
          </w:tcPr>
          <w:p w14:paraId="4579D1DB" w14:textId="77777777" w:rsidR="00302260" w:rsidRPr="00302260" w:rsidRDefault="00302260" w:rsidP="002F58AB">
            <w:pPr>
              <w:pStyle w:val="NoSpacing"/>
              <w:spacing w:line="276" w:lineRule="auto"/>
              <w:rPr>
                <w:rFonts w:ascii="Arial" w:hAnsi="Arial" w:cs="Arial"/>
                <w:sz w:val="22"/>
                <w:szCs w:val="22"/>
              </w:rPr>
            </w:pPr>
            <w:r w:rsidRPr="00302260">
              <w:rPr>
                <w:rFonts w:ascii="Arial" w:hAnsi="Arial" w:cs="Arial"/>
                <w:sz w:val="22"/>
                <w:szCs w:val="22"/>
              </w:rPr>
              <w:t>Kód SÚKL</w:t>
            </w:r>
          </w:p>
        </w:tc>
        <w:tc>
          <w:tcPr>
            <w:tcW w:w="2835" w:type="dxa"/>
          </w:tcPr>
          <w:p w14:paraId="6D74A1FD" w14:textId="77777777" w:rsidR="00302260" w:rsidRPr="00302260" w:rsidRDefault="00302260" w:rsidP="002F58AB">
            <w:pPr>
              <w:pStyle w:val="NoSpacing"/>
              <w:spacing w:line="276" w:lineRule="auto"/>
              <w:rPr>
                <w:rFonts w:ascii="Arial" w:hAnsi="Arial" w:cs="Arial"/>
                <w:sz w:val="22"/>
                <w:szCs w:val="22"/>
              </w:rPr>
            </w:pPr>
            <w:r w:rsidRPr="00302260">
              <w:rPr>
                <w:rFonts w:ascii="Arial" w:hAnsi="Arial" w:cs="Arial"/>
                <w:sz w:val="22"/>
                <w:szCs w:val="22"/>
              </w:rPr>
              <w:t>Název léčivého přípravku</w:t>
            </w:r>
          </w:p>
        </w:tc>
        <w:tc>
          <w:tcPr>
            <w:tcW w:w="3964" w:type="dxa"/>
          </w:tcPr>
          <w:p w14:paraId="2E77592D" w14:textId="77777777" w:rsidR="00302260" w:rsidRPr="00302260" w:rsidRDefault="00302260" w:rsidP="002F58AB">
            <w:pPr>
              <w:pStyle w:val="NoSpacing"/>
              <w:spacing w:line="276" w:lineRule="auto"/>
              <w:rPr>
                <w:rFonts w:ascii="Arial" w:hAnsi="Arial" w:cs="Arial"/>
                <w:sz w:val="22"/>
                <w:szCs w:val="22"/>
              </w:rPr>
            </w:pPr>
            <w:r w:rsidRPr="00302260">
              <w:rPr>
                <w:rFonts w:ascii="Arial" w:hAnsi="Arial" w:cs="Arial"/>
                <w:sz w:val="22"/>
                <w:szCs w:val="22"/>
              </w:rPr>
              <w:t>Doplněk názvu</w:t>
            </w:r>
          </w:p>
        </w:tc>
      </w:tr>
      <w:tr w:rsidR="00DA36EA" w14:paraId="70A9F19F" w14:textId="77777777" w:rsidTr="002F58AB">
        <w:tc>
          <w:tcPr>
            <w:tcW w:w="1837" w:type="dxa"/>
          </w:tcPr>
          <w:p w14:paraId="5931DBD9" w14:textId="0B4E08D2" w:rsidR="00DA36EA" w:rsidRPr="00302260" w:rsidRDefault="00DA36EA" w:rsidP="00DA36EA">
            <w:pPr>
              <w:pStyle w:val="NoSpacing"/>
              <w:spacing w:line="276" w:lineRule="auto"/>
              <w:rPr>
                <w:rFonts w:ascii="Arial" w:hAnsi="Arial" w:cs="Arial"/>
                <w:sz w:val="22"/>
                <w:szCs w:val="22"/>
              </w:rPr>
            </w:pPr>
            <w:proofErr w:type="spellStart"/>
            <w:r w:rsidRPr="00210D04">
              <w:rPr>
                <w:rFonts w:ascii="Calibri" w:hAnsi="Calibri"/>
                <w:highlight w:val="black"/>
              </w:rPr>
              <w:t>xxxxxxxxxxxxxxxx</w:t>
            </w:r>
            <w:proofErr w:type="spellEnd"/>
          </w:p>
        </w:tc>
        <w:tc>
          <w:tcPr>
            <w:tcW w:w="2835" w:type="dxa"/>
          </w:tcPr>
          <w:p w14:paraId="68CC0B57" w14:textId="7E5685C4" w:rsidR="00DA36EA" w:rsidRPr="00302260" w:rsidRDefault="00DA36EA" w:rsidP="00DA36EA">
            <w:pPr>
              <w:pStyle w:val="NoSpacing"/>
              <w:spacing w:line="276" w:lineRule="auto"/>
              <w:rPr>
                <w:rFonts w:ascii="Arial" w:hAnsi="Arial" w:cs="Arial"/>
                <w:sz w:val="22"/>
                <w:szCs w:val="22"/>
              </w:rPr>
            </w:pPr>
            <w:proofErr w:type="spellStart"/>
            <w:r w:rsidRPr="00210D04">
              <w:rPr>
                <w:rFonts w:ascii="Calibri" w:hAnsi="Calibri"/>
                <w:highlight w:val="black"/>
              </w:rPr>
              <w:t>xxxxxxxxxxxxxxxx</w:t>
            </w:r>
            <w:proofErr w:type="spellEnd"/>
          </w:p>
        </w:tc>
        <w:tc>
          <w:tcPr>
            <w:tcW w:w="3964" w:type="dxa"/>
          </w:tcPr>
          <w:p w14:paraId="76DBFDF1" w14:textId="106F9AE5" w:rsidR="00DA36EA" w:rsidRPr="00302260" w:rsidRDefault="00DA36EA" w:rsidP="00DA36EA">
            <w:pPr>
              <w:pStyle w:val="NoSpacing"/>
              <w:spacing w:line="276" w:lineRule="auto"/>
              <w:rPr>
                <w:rFonts w:ascii="Arial" w:hAnsi="Arial" w:cs="Arial"/>
                <w:sz w:val="22"/>
                <w:szCs w:val="22"/>
              </w:rPr>
            </w:pPr>
            <w:proofErr w:type="spellStart"/>
            <w:r w:rsidRPr="00210D04">
              <w:rPr>
                <w:rFonts w:ascii="Calibri" w:hAnsi="Calibri"/>
                <w:highlight w:val="black"/>
              </w:rPr>
              <w:t>xxxxxxxxxxxxxxxx</w:t>
            </w:r>
            <w:proofErr w:type="spellEnd"/>
          </w:p>
        </w:tc>
      </w:tr>
    </w:tbl>
    <w:p w14:paraId="34F74536" w14:textId="77777777" w:rsidR="00063FEA" w:rsidRPr="001735D9" w:rsidRDefault="00063FEA" w:rsidP="00063FEA">
      <w:pPr>
        <w:tabs>
          <w:tab w:val="center" w:pos="709"/>
          <w:tab w:val="center" w:pos="4536"/>
        </w:tabs>
        <w:ind w:left="720"/>
        <w:jc w:val="both"/>
        <w:rPr>
          <w:rFonts w:ascii="Arial" w:hAnsi="Arial" w:cs="Arial"/>
          <w:sz w:val="22"/>
          <w:szCs w:val="22"/>
        </w:rPr>
      </w:pPr>
    </w:p>
    <w:p w14:paraId="0D26EDDB" w14:textId="77777777" w:rsidR="00063FEA" w:rsidRPr="001735D9" w:rsidRDefault="00063FEA" w:rsidP="00063FEA">
      <w:pPr>
        <w:tabs>
          <w:tab w:val="center" w:pos="709"/>
          <w:tab w:val="center" w:pos="4536"/>
        </w:tabs>
        <w:ind w:left="720"/>
        <w:jc w:val="both"/>
        <w:rPr>
          <w:rFonts w:ascii="Arial" w:hAnsi="Arial" w:cs="Arial"/>
          <w:b/>
          <w:sz w:val="22"/>
          <w:szCs w:val="22"/>
        </w:rPr>
      </w:pPr>
      <w:r w:rsidRPr="001735D9">
        <w:rPr>
          <w:rFonts w:ascii="Arial" w:hAnsi="Arial" w:cs="Arial"/>
          <w:sz w:val="22"/>
          <w:szCs w:val="22"/>
        </w:rPr>
        <w:t>dále jen „</w:t>
      </w:r>
      <w:r w:rsidRPr="001735D9">
        <w:rPr>
          <w:rFonts w:ascii="Arial" w:hAnsi="Arial" w:cs="Arial"/>
          <w:b/>
          <w:sz w:val="22"/>
          <w:szCs w:val="22"/>
        </w:rPr>
        <w:t xml:space="preserve">Přípravek“. </w:t>
      </w:r>
    </w:p>
    <w:p w14:paraId="297F97BE" w14:textId="77777777" w:rsidR="00063FEA" w:rsidRPr="001735D9" w:rsidRDefault="00063FEA" w:rsidP="00063FEA">
      <w:pPr>
        <w:tabs>
          <w:tab w:val="center" w:pos="709"/>
          <w:tab w:val="center" w:pos="4536"/>
        </w:tabs>
        <w:ind w:left="720"/>
        <w:jc w:val="both"/>
        <w:rPr>
          <w:rFonts w:ascii="Arial" w:hAnsi="Arial" w:cs="Arial"/>
          <w:b/>
          <w:sz w:val="22"/>
          <w:szCs w:val="22"/>
        </w:rPr>
      </w:pPr>
    </w:p>
    <w:p w14:paraId="1EED1BCF" w14:textId="77777777" w:rsidR="00063FEA" w:rsidRPr="001735D9" w:rsidRDefault="00063FEA" w:rsidP="00063FEA">
      <w:pPr>
        <w:tabs>
          <w:tab w:val="center" w:pos="709"/>
          <w:tab w:val="center" w:pos="4536"/>
        </w:tabs>
        <w:ind w:left="720"/>
        <w:jc w:val="both"/>
        <w:rPr>
          <w:rFonts w:ascii="Arial" w:hAnsi="Arial" w:cs="Arial"/>
          <w:sz w:val="22"/>
          <w:szCs w:val="22"/>
        </w:rPr>
      </w:pPr>
      <w:r w:rsidRPr="001735D9">
        <w:rPr>
          <w:rFonts w:ascii="Arial" w:hAnsi="Arial" w:cs="Arial"/>
          <w:sz w:val="22"/>
          <w:szCs w:val="22"/>
        </w:rPr>
        <w:t>Tento Přípravek je na základě rozhodnutí Státního ústavu pro kontrolu léčiv hrazen z prostředků veřejného zdravotního pojištění, přičemž jako součást podmínek hrazení je také podmínka hrazení na základě zvláštní smlouvy mezi specializovaným centrem a zdravotní pojišťovnou (vyjádřená symbolem „S“) a indikační podmínka úhrady vymezená takto:</w:t>
      </w:r>
    </w:p>
    <w:p w14:paraId="09508821" w14:textId="77777777" w:rsidR="00063FEA" w:rsidRPr="001735D9" w:rsidRDefault="00063FEA" w:rsidP="00063FEA">
      <w:pPr>
        <w:tabs>
          <w:tab w:val="center" w:pos="709"/>
          <w:tab w:val="center" w:pos="4536"/>
        </w:tabs>
        <w:ind w:left="720"/>
        <w:jc w:val="both"/>
        <w:rPr>
          <w:rFonts w:ascii="Arial" w:hAnsi="Arial" w:cs="Arial"/>
          <w:sz w:val="22"/>
          <w:szCs w:val="22"/>
        </w:rPr>
      </w:pPr>
    </w:p>
    <w:p w14:paraId="718308BE" w14:textId="0EE1FE0C" w:rsidR="00063FEA" w:rsidRPr="001735D9" w:rsidRDefault="00063FEA" w:rsidP="00063FEA">
      <w:pPr>
        <w:tabs>
          <w:tab w:val="center" w:pos="709"/>
          <w:tab w:val="center" w:pos="4536"/>
        </w:tabs>
        <w:ind w:left="720"/>
        <w:jc w:val="both"/>
        <w:rPr>
          <w:rFonts w:ascii="Arial" w:hAnsi="Arial" w:cs="Arial"/>
          <w:sz w:val="22"/>
          <w:szCs w:val="22"/>
        </w:rPr>
      </w:pPr>
      <w:r w:rsidRPr="001735D9">
        <w:rPr>
          <w:rFonts w:ascii="Arial" w:hAnsi="Arial" w:cs="Arial"/>
          <w:sz w:val="22"/>
          <w:szCs w:val="22"/>
        </w:rPr>
        <w:t>„</w:t>
      </w:r>
      <w:proofErr w:type="spellStart"/>
      <w:r w:rsidR="00456118" w:rsidRPr="006170F5">
        <w:rPr>
          <w:rFonts w:ascii="Calibri" w:hAnsi="Calibri"/>
          <w:highlight w:val="black"/>
        </w:rPr>
        <w:t>xxxxxxxxxxxxxxxx</w:t>
      </w:r>
      <w:proofErr w:type="spellEnd"/>
      <w:r w:rsidRPr="001735D9">
        <w:rPr>
          <w:rFonts w:ascii="Arial" w:hAnsi="Arial" w:cs="Arial"/>
          <w:i/>
          <w:sz w:val="22"/>
          <w:szCs w:val="22"/>
        </w:rPr>
        <w:t xml:space="preserve"> indikuje neurolog pacientům s </w:t>
      </w:r>
      <w:proofErr w:type="spellStart"/>
      <w:r w:rsidRPr="001735D9">
        <w:rPr>
          <w:rFonts w:ascii="Arial" w:hAnsi="Arial" w:cs="Arial"/>
          <w:i/>
          <w:sz w:val="22"/>
          <w:szCs w:val="22"/>
        </w:rPr>
        <w:t>remitující-relabující</w:t>
      </w:r>
      <w:proofErr w:type="spellEnd"/>
      <w:r w:rsidRPr="001735D9">
        <w:rPr>
          <w:rFonts w:ascii="Arial" w:hAnsi="Arial" w:cs="Arial"/>
          <w:i/>
          <w:sz w:val="22"/>
          <w:szCs w:val="22"/>
        </w:rPr>
        <w:t xml:space="preserve"> formou roztroušené sklerózy (RR,RS), u kterých nedošlo navzdory léčbě INF beta a nebo </w:t>
      </w:r>
      <w:proofErr w:type="spellStart"/>
      <w:r w:rsidRPr="001735D9">
        <w:rPr>
          <w:rFonts w:ascii="Arial" w:hAnsi="Arial" w:cs="Arial"/>
          <w:i/>
          <w:sz w:val="22"/>
          <w:szCs w:val="22"/>
        </w:rPr>
        <w:t>glatiramer</w:t>
      </w:r>
      <w:proofErr w:type="spellEnd"/>
      <w:r w:rsidRPr="001735D9">
        <w:rPr>
          <w:rFonts w:ascii="Arial" w:hAnsi="Arial" w:cs="Arial"/>
          <w:i/>
          <w:sz w:val="22"/>
          <w:szCs w:val="22"/>
        </w:rPr>
        <w:t xml:space="preserve"> acetátem k poklesu počtu relapsů pod 2 ataky ročně a nebo 3 ataky za 2 roky, nebo pacienti s rychle se vyvíjející těžkou RR, RS, kteří prodělali nejméně dva relapsy v jednom roce a současně vykazují jeden nebo více gadoliniem </w:t>
      </w:r>
      <w:proofErr w:type="spellStart"/>
      <w:r w:rsidRPr="001735D9">
        <w:rPr>
          <w:rFonts w:ascii="Arial" w:hAnsi="Arial" w:cs="Arial"/>
          <w:i/>
          <w:sz w:val="22"/>
          <w:szCs w:val="22"/>
        </w:rPr>
        <w:t>zkontrastnělé</w:t>
      </w:r>
      <w:proofErr w:type="spellEnd"/>
      <w:r w:rsidRPr="001735D9">
        <w:rPr>
          <w:rFonts w:ascii="Arial" w:hAnsi="Arial" w:cs="Arial"/>
          <w:i/>
          <w:sz w:val="22"/>
          <w:szCs w:val="22"/>
        </w:rPr>
        <w:t xml:space="preserve"> léze na MRI mozku nebo významné zvýšení zátěže T2 lézí ve srovnání s předchozí MRI (před 3-6 měsíci provedenou).</w:t>
      </w:r>
      <w:r w:rsidRPr="001735D9">
        <w:rPr>
          <w:rFonts w:ascii="Arial" w:hAnsi="Arial" w:cs="Arial"/>
          <w:sz w:val="22"/>
          <w:szCs w:val="22"/>
        </w:rPr>
        <w:t>“</w:t>
      </w:r>
    </w:p>
    <w:p w14:paraId="4AF3480D" w14:textId="77777777" w:rsidR="00063FEA" w:rsidRPr="001735D9" w:rsidRDefault="00063FEA" w:rsidP="00063FEA">
      <w:pPr>
        <w:tabs>
          <w:tab w:val="center" w:pos="709"/>
          <w:tab w:val="center" w:pos="4536"/>
        </w:tabs>
        <w:ind w:left="720"/>
        <w:jc w:val="both"/>
        <w:rPr>
          <w:rFonts w:ascii="Arial" w:hAnsi="Arial" w:cs="Arial"/>
          <w:sz w:val="22"/>
          <w:szCs w:val="22"/>
        </w:rPr>
      </w:pPr>
    </w:p>
    <w:p w14:paraId="721FEB45" w14:textId="55DA0A78" w:rsidR="00063FEA" w:rsidRPr="005C2D95"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S Přípravkem bylo prováděno klinické hodnocení „</w:t>
      </w:r>
      <w:proofErr w:type="spellStart"/>
      <w:r w:rsidR="00456118" w:rsidRPr="006170F5">
        <w:rPr>
          <w:rFonts w:ascii="Calibri" w:hAnsi="Calibri"/>
          <w:highlight w:val="black"/>
        </w:rPr>
        <w:t>xxxxxxxxxxxxxxxx</w:t>
      </w:r>
      <w:proofErr w:type="spellEnd"/>
      <w:r w:rsidRPr="001735D9">
        <w:rPr>
          <w:rFonts w:ascii="Arial" w:hAnsi="Arial" w:cs="Arial"/>
          <w:sz w:val="22"/>
          <w:szCs w:val="22"/>
        </w:rPr>
        <w:t xml:space="preserve"> – </w:t>
      </w:r>
      <w:r w:rsidRPr="00B719B7">
        <w:rPr>
          <w:rFonts w:ascii="Arial" w:hAnsi="Arial" w:cs="Arial"/>
          <w:sz w:val="22"/>
          <w:szCs w:val="22"/>
        </w:rPr>
        <w:t xml:space="preserve">[The </w:t>
      </w:r>
      <w:proofErr w:type="spellStart"/>
      <w:r w:rsidRPr="00B719B7">
        <w:rPr>
          <w:rFonts w:ascii="Arial" w:hAnsi="Arial" w:cs="Arial"/>
          <w:sz w:val="22"/>
          <w:szCs w:val="22"/>
        </w:rPr>
        <w:t>Safety</w:t>
      </w:r>
      <w:proofErr w:type="spellEnd"/>
      <w:r w:rsidRPr="00B719B7">
        <w:rPr>
          <w:rFonts w:ascii="Arial" w:hAnsi="Arial" w:cs="Arial"/>
          <w:sz w:val="22"/>
          <w:szCs w:val="22"/>
        </w:rPr>
        <w:t xml:space="preserve"> of </w:t>
      </w:r>
      <w:proofErr w:type="spellStart"/>
      <w:r w:rsidR="00456118" w:rsidRPr="006170F5">
        <w:rPr>
          <w:rFonts w:ascii="Calibri" w:hAnsi="Calibri"/>
          <w:highlight w:val="black"/>
        </w:rPr>
        <w:t>xxxxxxxxxxxxxxxx</w:t>
      </w:r>
      <w:proofErr w:type="spellEnd"/>
      <w:r w:rsidRPr="00B719B7">
        <w:rPr>
          <w:rFonts w:ascii="Arial" w:hAnsi="Arial" w:cs="Arial"/>
          <w:sz w:val="22"/>
          <w:szCs w:val="22"/>
        </w:rPr>
        <w:t xml:space="preserve"> Re-</w:t>
      </w:r>
      <w:proofErr w:type="spellStart"/>
      <w:r w:rsidRPr="00B719B7">
        <w:rPr>
          <w:rFonts w:ascii="Arial" w:hAnsi="Arial" w:cs="Arial"/>
          <w:sz w:val="22"/>
          <w:szCs w:val="22"/>
        </w:rPr>
        <w:t>dosing</w:t>
      </w:r>
      <w:proofErr w:type="spellEnd"/>
      <w:r w:rsidRPr="00B719B7">
        <w:rPr>
          <w:rFonts w:ascii="Arial" w:hAnsi="Arial" w:cs="Arial"/>
          <w:sz w:val="22"/>
          <w:szCs w:val="22"/>
        </w:rPr>
        <w:t xml:space="preserve"> and </w:t>
      </w:r>
      <w:proofErr w:type="spellStart"/>
      <w:r w:rsidRPr="00B719B7">
        <w:rPr>
          <w:rFonts w:ascii="Arial" w:hAnsi="Arial" w:cs="Arial"/>
          <w:sz w:val="22"/>
          <w:szCs w:val="22"/>
        </w:rPr>
        <w:t>Treatment</w:t>
      </w:r>
      <w:proofErr w:type="spellEnd"/>
      <w:r w:rsidRPr="001735D9">
        <w:rPr>
          <w:rFonts w:ascii="Arial" w:hAnsi="Arial" w:cs="Arial"/>
          <w:sz w:val="22"/>
          <w:szCs w:val="22"/>
        </w:rPr>
        <w:t>]”, dále jen</w:t>
      </w:r>
      <w:r w:rsidRPr="00B719B7">
        <w:rPr>
          <w:rFonts w:ascii="Arial" w:hAnsi="Arial" w:cs="Arial"/>
          <w:sz w:val="22"/>
          <w:szCs w:val="22"/>
        </w:rPr>
        <w:t xml:space="preserve"> </w:t>
      </w:r>
      <w:r w:rsidRPr="001735D9">
        <w:rPr>
          <w:rFonts w:ascii="Arial" w:hAnsi="Arial" w:cs="Arial"/>
          <w:sz w:val="22"/>
          <w:szCs w:val="22"/>
        </w:rPr>
        <w:t>„</w:t>
      </w:r>
      <w:r w:rsidRPr="001735D9">
        <w:rPr>
          <w:rFonts w:ascii="Arial" w:hAnsi="Arial" w:cs="Arial"/>
          <w:b/>
          <w:sz w:val="22"/>
          <w:szCs w:val="22"/>
        </w:rPr>
        <w:t>Klinické hodnocení</w:t>
      </w:r>
      <w:r w:rsidRPr="001735D9">
        <w:rPr>
          <w:rFonts w:ascii="Arial" w:hAnsi="Arial" w:cs="Arial"/>
          <w:sz w:val="22"/>
          <w:szCs w:val="22"/>
        </w:rPr>
        <w:t xml:space="preserve">“. V rámci klinického hodnocení byl Přípravek nasazen také pacientům, kteří nesplňují indikační podmínku úhrady podle odst. 1. </w:t>
      </w:r>
      <w:r w:rsidRPr="005C2D95">
        <w:rPr>
          <w:rFonts w:ascii="Arial" w:hAnsi="Arial" w:cs="Arial"/>
          <w:sz w:val="22"/>
          <w:szCs w:val="22"/>
        </w:rPr>
        <w:t xml:space="preserve">V rámci klinického hodnocení Přípravku byl Přípravek dodáván subjektům hodnocení zdarma v souladu s ustanovením příslušných smluv a </w:t>
      </w:r>
      <w:r>
        <w:rPr>
          <w:rFonts w:ascii="Arial" w:hAnsi="Arial" w:cs="Arial"/>
          <w:sz w:val="22"/>
          <w:szCs w:val="22"/>
        </w:rPr>
        <w:t xml:space="preserve">s </w:t>
      </w:r>
      <w:r w:rsidRPr="005C2D95">
        <w:rPr>
          <w:rFonts w:ascii="Arial" w:hAnsi="Arial" w:cs="Arial"/>
          <w:sz w:val="22"/>
          <w:szCs w:val="22"/>
        </w:rPr>
        <w:t>ustanovením §55 odst. 9 zákona č. 378/2007 Sb., o léčivech, v platném znění, dále jen „</w:t>
      </w:r>
      <w:r w:rsidRPr="005C2D95">
        <w:rPr>
          <w:rFonts w:ascii="Arial" w:hAnsi="Arial" w:cs="Arial"/>
          <w:b/>
          <w:sz w:val="22"/>
          <w:szCs w:val="22"/>
        </w:rPr>
        <w:t>ZOL</w:t>
      </w:r>
      <w:r w:rsidRPr="005C2D95">
        <w:rPr>
          <w:rFonts w:ascii="Arial" w:hAnsi="Arial" w:cs="Arial"/>
          <w:sz w:val="22"/>
          <w:szCs w:val="22"/>
        </w:rPr>
        <w:t>“, Držitel, jednající jako zadavatel podle příslušných ustanovení ZOL, poskytoval Přípravek jako studijní medikaci zdarma.</w:t>
      </w:r>
    </w:p>
    <w:p w14:paraId="4D919A05" w14:textId="77777777" w:rsidR="00063FEA" w:rsidRPr="001735D9" w:rsidRDefault="00063FEA" w:rsidP="00063FEA">
      <w:pPr>
        <w:tabs>
          <w:tab w:val="center" w:pos="709"/>
          <w:tab w:val="center" w:pos="4536"/>
        </w:tabs>
        <w:ind w:left="720"/>
        <w:jc w:val="both"/>
        <w:rPr>
          <w:rFonts w:ascii="Arial" w:hAnsi="Arial" w:cs="Arial"/>
          <w:sz w:val="22"/>
          <w:szCs w:val="22"/>
        </w:rPr>
      </w:pPr>
    </w:p>
    <w:p w14:paraId="65CE97A4" w14:textId="77777777"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Držitel si je vědom, že po skončení klinického hodnocení (31. ledna 2014) musí být Přípravek nadále podáván některým subjektům hodnocení, avšak při podání těmto subjektům hodnocení stále není splněna podmínka úhrady podle odst. 1.</w:t>
      </w:r>
    </w:p>
    <w:p w14:paraId="419C6903" w14:textId="77777777" w:rsidR="00063FEA" w:rsidRPr="001735D9" w:rsidRDefault="00063FEA" w:rsidP="00063FEA">
      <w:pPr>
        <w:pStyle w:val="ListParagraph"/>
        <w:rPr>
          <w:rFonts w:ascii="Arial" w:hAnsi="Arial" w:cs="Arial"/>
          <w:sz w:val="22"/>
          <w:szCs w:val="22"/>
        </w:rPr>
      </w:pPr>
    </w:p>
    <w:p w14:paraId="28756A4A" w14:textId="77777777"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Protože ale na základě individuálního odborného posouzení je možné dovodit, že pro některé pacienty - subjekty hodnocení - lze terapii Přípravkem označit v některých konkrétních případech za jedinou možnost z</w:t>
      </w:r>
      <w:r>
        <w:rPr>
          <w:rFonts w:ascii="Arial" w:hAnsi="Arial" w:cs="Arial"/>
          <w:sz w:val="22"/>
          <w:szCs w:val="22"/>
        </w:rPr>
        <w:t> </w:t>
      </w:r>
      <w:r w:rsidRPr="001735D9">
        <w:rPr>
          <w:rFonts w:ascii="Arial" w:hAnsi="Arial" w:cs="Arial"/>
          <w:sz w:val="22"/>
          <w:szCs w:val="22"/>
        </w:rPr>
        <w:t>hlediska</w:t>
      </w:r>
      <w:r>
        <w:rPr>
          <w:rFonts w:ascii="Arial" w:hAnsi="Arial" w:cs="Arial"/>
          <w:sz w:val="22"/>
          <w:szCs w:val="22"/>
        </w:rPr>
        <w:t xml:space="preserve"> jeho</w:t>
      </w:r>
      <w:r w:rsidRPr="001735D9">
        <w:rPr>
          <w:rFonts w:ascii="Arial" w:hAnsi="Arial" w:cs="Arial"/>
          <w:sz w:val="22"/>
          <w:szCs w:val="22"/>
        </w:rPr>
        <w:t xml:space="preserve"> zdravotního stavu, mimo jiné i proto, že terapie léčivými přípravky zařazenými do referenční skupiny č. 69/3 (</w:t>
      </w:r>
      <w:r w:rsidRPr="001735D9">
        <w:rPr>
          <w:rFonts w:ascii="Arial" w:hAnsi="Arial" w:cs="Arial"/>
          <w:i/>
          <w:sz w:val="22"/>
          <w:szCs w:val="22"/>
        </w:rPr>
        <w:t>Interferony a ostatní léčiva k terapii roztroušené sklerózy, parenterální</w:t>
      </w:r>
      <w:r w:rsidRPr="001735D9">
        <w:rPr>
          <w:rFonts w:ascii="Arial" w:hAnsi="Arial" w:cs="Arial"/>
          <w:sz w:val="22"/>
          <w:szCs w:val="22"/>
        </w:rPr>
        <w:t xml:space="preserve">) by odůvodněně vedla ke zhoršení zdravotního stavu takového pojištěnce, v takovýchto konkrétních případech je možné předpokládat, že Pojišťovna může hradit terapii Přípravkem pacientům – subjektům hodnocení – a to za podmínek stanovených ve smyslu ustanovení §16 Zákona o veřejném zdravotním pojištění. </w:t>
      </w:r>
    </w:p>
    <w:p w14:paraId="3B7B5653" w14:textId="77777777" w:rsidR="00063FEA" w:rsidRPr="001735D9" w:rsidRDefault="00063FEA" w:rsidP="00063FEA">
      <w:pPr>
        <w:pStyle w:val="ListParagraph"/>
        <w:rPr>
          <w:rFonts w:ascii="Arial" w:hAnsi="Arial" w:cs="Arial"/>
          <w:sz w:val="22"/>
          <w:szCs w:val="22"/>
        </w:rPr>
      </w:pPr>
    </w:p>
    <w:p w14:paraId="05AB85E6" w14:textId="2CE6A484"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lastRenderedPageBreak/>
        <w:t xml:space="preserve">Držitel si je vědom, že takový postup vede ke zvýšeným nákladům Pojišťovny, když je Přípravek fakticky nasazen </w:t>
      </w:r>
      <w:r>
        <w:rPr>
          <w:rFonts w:ascii="Arial" w:hAnsi="Arial" w:cs="Arial"/>
          <w:sz w:val="22"/>
          <w:szCs w:val="22"/>
        </w:rPr>
        <w:t>pacientům</w:t>
      </w:r>
      <w:r w:rsidRPr="001735D9">
        <w:rPr>
          <w:rFonts w:ascii="Arial" w:hAnsi="Arial" w:cs="Arial"/>
          <w:sz w:val="22"/>
          <w:szCs w:val="22"/>
        </w:rPr>
        <w:t xml:space="preserve"> podle odst. 4 dříve než při splnění indikačního omezení stanoveného pro úhradu z prostředků veřejného zdravotního pojištění.</w:t>
      </w:r>
    </w:p>
    <w:p w14:paraId="203C7092" w14:textId="77777777" w:rsidR="00063FEA" w:rsidRPr="001735D9" w:rsidRDefault="00063FEA" w:rsidP="00063FEA">
      <w:pPr>
        <w:pStyle w:val="ListParagraph"/>
        <w:rPr>
          <w:rFonts w:ascii="Arial" w:hAnsi="Arial" w:cs="Arial"/>
          <w:sz w:val="22"/>
          <w:szCs w:val="22"/>
        </w:rPr>
      </w:pPr>
    </w:p>
    <w:p w14:paraId="49B7445D" w14:textId="77777777"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 xml:space="preserve">Za těchto okolností je Držitel ochoten podílet se na takto zvýšených nákladech Pojišťovny podle této Smlouvy. Konkrétně má Držitel v rámci zajištění kvality a dostupnosti zdravotní péče, fungování systému zdravotnictví a jeho stability v rámci finančních možností systému veřejného zdravotního pojištění zájem sdílet s Pojišťovnou část nákladů spojených s hrazením Přípravku podle §16 Zákona </w:t>
      </w:r>
      <w:r>
        <w:rPr>
          <w:rFonts w:ascii="Arial" w:hAnsi="Arial" w:cs="Arial"/>
          <w:sz w:val="22"/>
          <w:szCs w:val="22"/>
        </w:rPr>
        <w:t>o veřejném</w:t>
      </w:r>
      <w:r w:rsidRPr="001735D9">
        <w:rPr>
          <w:rFonts w:ascii="Arial" w:hAnsi="Arial" w:cs="Arial"/>
          <w:sz w:val="22"/>
          <w:szCs w:val="22"/>
        </w:rPr>
        <w:t xml:space="preserve"> zdravotní</w:t>
      </w:r>
      <w:r>
        <w:rPr>
          <w:rFonts w:ascii="Arial" w:hAnsi="Arial" w:cs="Arial"/>
          <w:sz w:val="22"/>
          <w:szCs w:val="22"/>
        </w:rPr>
        <w:t>m</w:t>
      </w:r>
      <w:r w:rsidRPr="001735D9">
        <w:rPr>
          <w:rFonts w:ascii="Arial" w:hAnsi="Arial" w:cs="Arial"/>
          <w:sz w:val="22"/>
          <w:szCs w:val="22"/>
        </w:rPr>
        <w:t xml:space="preserve"> pojištění.</w:t>
      </w:r>
    </w:p>
    <w:p w14:paraId="16C68DE3" w14:textId="77777777" w:rsidR="00063FEA" w:rsidRPr="001735D9" w:rsidRDefault="00063FEA" w:rsidP="00063FEA">
      <w:pPr>
        <w:tabs>
          <w:tab w:val="center" w:pos="709"/>
          <w:tab w:val="center" w:pos="4536"/>
        </w:tabs>
        <w:ind w:left="720"/>
        <w:jc w:val="both"/>
        <w:rPr>
          <w:rFonts w:ascii="Arial" w:hAnsi="Arial" w:cs="Arial"/>
          <w:sz w:val="22"/>
          <w:szCs w:val="22"/>
        </w:rPr>
      </w:pPr>
    </w:p>
    <w:p w14:paraId="5A3DF8BB" w14:textId="77777777" w:rsidR="00063FEA" w:rsidRPr="001735D9" w:rsidRDefault="00063FEA" w:rsidP="00063FEA">
      <w:pPr>
        <w:tabs>
          <w:tab w:val="center" w:pos="709"/>
          <w:tab w:val="center" w:pos="4536"/>
        </w:tabs>
        <w:ind w:left="720"/>
        <w:jc w:val="both"/>
        <w:rPr>
          <w:rFonts w:ascii="Arial" w:hAnsi="Arial" w:cs="Arial"/>
          <w:sz w:val="22"/>
          <w:szCs w:val="22"/>
        </w:rPr>
      </w:pPr>
    </w:p>
    <w:p w14:paraId="167C11C7" w14:textId="77777777"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 xml:space="preserve">Pojišťovna má zájem na sdílení části </w:t>
      </w:r>
      <w:r>
        <w:rPr>
          <w:rFonts w:ascii="Arial" w:hAnsi="Arial" w:cs="Arial"/>
          <w:sz w:val="22"/>
          <w:szCs w:val="22"/>
        </w:rPr>
        <w:t>nákladů</w:t>
      </w:r>
      <w:r w:rsidRPr="001735D9">
        <w:rPr>
          <w:rFonts w:ascii="Arial" w:hAnsi="Arial" w:cs="Arial"/>
          <w:sz w:val="22"/>
          <w:szCs w:val="22"/>
        </w:rPr>
        <w:t xml:space="preserve"> podle této Smlouvy, neboť od něj očekává snížení vlastních nákladů</w:t>
      </w:r>
      <w:r>
        <w:rPr>
          <w:rFonts w:ascii="Arial" w:hAnsi="Arial" w:cs="Arial"/>
          <w:sz w:val="22"/>
          <w:szCs w:val="22"/>
        </w:rPr>
        <w:t>, které vyvstanou při hrazení Přípravku podle odstavce 4.</w:t>
      </w:r>
    </w:p>
    <w:p w14:paraId="30C2ABBA" w14:textId="77777777" w:rsidR="00063FEA" w:rsidRPr="001735D9" w:rsidRDefault="00063FEA" w:rsidP="00063FEA">
      <w:pPr>
        <w:pStyle w:val="ListParagraph"/>
        <w:rPr>
          <w:rFonts w:ascii="Arial" w:hAnsi="Arial" w:cs="Arial"/>
          <w:sz w:val="22"/>
          <w:szCs w:val="22"/>
        </w:rPr>
      </w:pPr>
    </w:p>
    <w:p w14:paraId="3742CD65" w14:textId="77777777"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 xml:space="preserve">Pojišťovna prohlašuje, že je v souladu s platným právem oprávněna přijmout od Držitele finanční prostředky představující sdílení </w:t>
      </w:r>
      <w:r>
        <w:rPr>
          <w:rFonts w:ascii="Arial" w:hAnsi="Arial" w:cs="Arial"/>
          <w:sz w:val="22"/>
          <w:szCs w:val="22"/>
        </w:rPr>
        <w:t>nákladů</w:t>
      </w:r>
      <w:r w:rsidRPr="001735D9">
        <w:rPr>
          <w:rFonts w:ascii="Arial" w:hAnsi="Arial" w:cs="Arial"/>
          <w:sz w:val="22"/>
          <w:szCs w:val="22"/>
        </w:rPr>
        <w:t xml:space="preserve"> spojen</w:t>
      </w:r>
      <w:r>
        <w:rPr>
          <w:rFonts w:ascii="Arial" w:hAnsi="Arial" w:cs="Arial"/>
          <w:sz w:val="22"/>
          <w:szCs w:val="22"/>
        </w:rPr>
        <w:t>ých</w:t>
      </w:r>
      <w:r w:rsidRPr="001735D9">
        <w:rPr>
          <w:rFonts w:ascii="Arial" w:hAnsi="Arial" w:cs="Arial"/>
          <w:sz w:val="22"/>
          <w:szCs w:val="22"/>
        </w:rPr>
        <w:t xml:space="preserve"> s léčbou Přípravkem podle této Smlouvy do svého základního fondu.</w:t>
      </w:r>
    </w:p>
    <w:p w14:paraId="18CE78D4" w14:textId="77777777" w:rsidR="00063FEA" w:rsidRPr="001735D9" w:rsidRDefault="00063FEA" w:rsidP="00063FEA">
      <w:pPr>
        <w:pStyle w:val="ListParagraph"/>
        <w:rPr>
          <w:rFonts w:ascii="Arial" w:hAnsi="Arial" w:cs="Arial"/>
          <w:sz w:val="22"/>
          <w:szCs w:val="22"/>
        </w:rPr>
      </w:pPr>
    </w:p>
    <w:p w14:paraId="43FE2E63" w14:textId="77777777" w:rsidR="00063FEA" w:rsidRPr="001735D9" w:rsidRDefault="00063FEA" w:rsidP="00063FEA">
      <w:pPr>
        <w:numPr>
          <w:ilvl w:val="0"/>
          <w:numId w:val="8"/>
        </w:numPr>
        <w:tabs>
          <w:tab w:val="center" w:pos="709"/>
          <w:tab w:val="center" w:pos="4536"/>
        </w:tabs>
        <w:ind w:left="720" w:hanging="720"/>
        <w:jc w:val="both"/>
        <w:rPr>
          <w:rFonts w:ascii="Arial" w:hAnsi="Arial" w:cs="Arial"/>
          <w:sz w:val="22"/>
          <w:szCs w:val="22"/>
        </w:rPr>
      </w:pPr>
      <w:r w:rsidRPr="001735D9">
        <w:rPr>
          <w:rFonts w:ascii="Arial" w:hAnsi="Arial" w:cs="Arial"/>
          <w:sz w:val="22"/>
          <w:szCs w:val="22"/>
        </w:rPr>
        <w:t>Tato Smlouva nemá v souladu s vůlí stran nijak zasáhnout do stanovení výše a/nebo podmínek hrazení Přípravku.</w:t>
      </w:r>
    </w:p>
    <w:p w14:paraId="09466FD9" w14:textId="77777777" w:rsidR="00063FEA" w:rsidRPr="001735D9" w:rsidRDefault="00063FEA" w:rsidP="00063FEA">
      <w:pPr>
        <w:pStyle w:val="ListParagraph"/>
        <w:rPr>
          <w:rFonts w:ascii="Arial" w:hAnsi="Arial" w:cs="Arial"/>
          <w:sz w:val="22"/>
          <w:szCs w:val="22"/>
        </w:rPr>
      </w:pPr>
    </w:p>
    <w:p w14:paraId="6E3D902D" w14:textId="77777777" w:rsidR="00063FEA" w:rsidRPr="001735D9" w:rsidRDefault="00063FEA" w:rsidP="00063FEA">
      <w:pPr>
        <w:tabs>
          <w:tab w:val="center" w:pos="709"/>
          <w:tab w:val="center" w:pos="4536"/>
        </w:tabs>
        <w:ind w:left="720"/>
        <w:jc w:val="both"/>
        <w:rPr>
          <w:rFonts w:ascii="Arial" w:hAnsi="Arial" w:cs="Arial"/>
          <w:sz w:val="22"/>
          <w:szCs w:val="22"/>
        </w:rPr>
      </w:pPr>
    </w:p>
    <w:p w14:paraId="4AD0FEF7" w14:textId="77777777" w:rsidR="00063FEA" w:rsidRPr="001735D9" w:rsidRDefault="00063FEA" w:rsidP="00063FEA">
      <w:pPr>
        <w:tabs>
          <w:tab w:val="left" w:pos="3857"/>
          <w:tab w:val="center" w:pos="4536"/>
        </w:tabs>
        <w:jc w:val="center"/>
        <w:rPr>
          <w:rFonts w:ascii="Arial" w:hAnsi="Arial" w:cs="Arial"/>
          <w:b/>
          <w:sz w:val="22"/>
          <w:szCs w:val="22"/>
        </w:rPr>
      </w:pPr>
      <w:r w:rsidRPr="001735D9">
        <w:rPr>
          <w:rFonts w:ascii="Arial" w:hAnsi="Arial" w:cs="Arial"/>
          <w:b/>
          <w:sz w:val="22"/>
          <w:szCs w:val="22"/>
        </w:rPr>
        <w:t>Článek I.</w:t>
      </w:r>
    </w:p>
    <w:p w14:paraId="4ED223DE" w14:textId="77777777" w:rsidR="00063FEA" w:rsidRPr="001735D9" w:rsidRDefault="00063FEA" w:rsidP="00063FEA">
      <w:pPr>
        <w:jc w:val="center"/>
        <w:rPr>
          <w:rFonts w:ascii="Arial" w:hAnsi="Arial" w:cs="Arial"/>
          <w:b/>
          <w:sz w:val="22"/>
          <w:szCs w:val="22"/>
        </w:rPr>
      </w:pPr>
      <w:r w:rsidRPr="001735D9">
        <w:rPr>
          <w:rFonts w:ascii="Arial" w:hAnsi="Arial" w:cs="Arial"/>
          <w:b/>
          <w:sz w:val="22"/>
          <w:szCs w:val="22"/>
        </w:rPr>
        <w:t>Definice pojmů</w:t>
      </w:r>
    </w:p>
    <w:p w14:paraId="6EB6E931" w14:textId="77777777" w:rsidR="00063FEA" w:rsidRPr="001735D9" w:rsidRDefault="00063FEA" w:rsidP="00063FEA">
      <w:pPr>
        <w:rPr>
          <w:rFonts w:ascii="Arial" w:hAnsi="Arial" w:cs="Arial"/>
          <w:sz w:val="22"/>
          <w:szCs w:val="22"/>
        </w:rPr>
      </w:pPr>
      <w:r w:rsidRPr="001735D9">
        <w:rPr>
          <w:rFonts w:ascii="Arial" w:hAnsi="Arial" w:cs="Arial"/>
          <w:sz w:val="22"/>
          <w:szCs w:val="22"/>
        </w:rPr>
        <w:t>Pro účely této Smlouvy se rozumí</w:t>
      </w:r>
    </w:p>
    <w:p w14:paraId="7A1CEC11" w14:textId="77777777" w:rsidR="00063FEA" w:rsidRPr="001735D9" w:rsidRDefault="00063FEA" w:rsidP="00063FEA">
      <w:pPr>
        <w:rPr>
          <w:rFonts w:ascii="Arial" w:hAnsi="Arial" w:cs="Arial"/>
          <w:sz w:val="22"/>
          <w:szCs w:val="22"/>
        </w:rPr>
      </w:pPr>
    </w:p>
    <w:p w14:paraId="42993E56" w14:textId="77777777" w:rsidR="00063FEA" w:rsidRPr="001735D9" w:rsidRDefault="00063FEA" w:rsidP="00063FEA">
      <w:pPr>
        <w:pStyle w:val="ListParagraph"/>
        <w:numPr>
          <w:ilvl w:val="0"/>
          <w:numId w:val="4"/>
        </w:numPr>
        <w:jc w:val="both"/>
        <w:rPr>
          <w:rFonts w:ascii="Arial" w:hAnsi="Arial" w:cs="Arial"/>
          <w:b/>
          <w:sz w:val="22"/>
          <w:szCs w:val="22"/>
        </w:rPr>
      </w:pPr>
      <w:r w:rsidRPr="001735D9">
        <w:rPr>
          <w:rFonts w:ascii="Arial" w:hAnsi="Arial" w:cs="Arial"/>
          <w:b/>
          <w:sz w:val="22"/>
          <w:szCs w:val="22"/>
        </w:rPr>
        <w:t xml:space="preserve">Přípravkem </w:t>
      </w:r>
      <w:r w:rsidRPr="001735D9">
        <w:rPr>
          <w:rFonts w:ascii="Arial" w:hAnsi="Arial" w:cs="Arial"/>
          <w:sz w:val="22"/>
          <w:szCs w:val="22"/>
        </w:rPr>
        <w:t>léčivý přípravek uvedený v PREAMBULI této Smlouvy hrazený z veřejného zdravotního pojištění při poskytování zdravotních služeb;</w:t>
      </w:r>
    </w:p>
    <w:p w14:paraId="0BF95451" w14:textId="77777777" w:rsidR="00063FEA" w:rsidRPr="001735D9" w:rsidRDefault="00063FEA" w:rsidP="00063FEA">
      <w:pPr>
        <w:pStyle w:val="ListParagraph"/>
        <w:jc w:val="both"/>
        <w:rPr>
          <w:rFonts w:ascii="Arial" w:hAnsi="Arial" w:cs="Arial"/>
          <w:b/>
          <w:sz w:val="22"/>
          <w:szCs w:val="22"/>
        </w:rPr>
      </w:pPr>
    </w:p>
    <w:p w14:paraId="7724708E" w14:textId="77777777" w:rsidR="00063FEA" w:rsidRPr="001735D9" w:rsidRDefault="00063FEA" w:rsidP="00063FEA">
      <w:pPr>
        <w:pStyle w:val="ListParagraph"/>
        <w:numPr>
          <w:ilvl w:val="0"/>
          <w:numId w:val="4"/>
        </w:numPr>
        <w:jc w:val="both"/>
        <w:rPr>
          <w:rFonts w:ascii="Arial" w:hAnsi="Arial" w:cs="Arial"/>
          <w:sz w:val="22"/>
          <w:szCs w:val="22"/>
        </w:rPr>
      </w:pPr>
      <w:r w:rsidRPr="001735D9">
        <w:rPr>
          <w:rFonts w:ascii="Arial" w:hAnsi="Arial" w:cs="Arial"/>
          <w:b/>
          <w:sz w:val="22"/>
          <w:szCs w:val="22"/>
        </w:rPr>
        <w:t xml:space="preserve">Poskytovatelem </w:t>
      </w:r>
      <w:r w:rsidRPr="001735D9">
        <w:rPr>
          <w:rFonts w:ascii="Arial" w:hAnsi="Arial" w:cs="Arial"/>
          <w:sz w:val="22"/>
          <w:szCs w:val="22"/>
        </w:rPr>
        <w:t>poskytovatel zdravotních služeb, který má v den poskytnutí zdravotní služby zahrnující předepsání, podání či použití Přípravku s Pojišťovnou uzavřenou platnou smlouvu o poskytování a úhradě zdravotních služeb (smlouvu o poskytování a úhradě zdravotní péče) zahrnující hrazení Přípravku;</w:t>
      </w:r>
    </w:p>
    <w:p w14:paraId="4BFEDC37" w14:textId="77777777" w:rsidR="00063FEA" w:rsidRPr="001735D9" w:rsidRDefault="00063FEA" w:rsidP="00063FEA">
      <w:pPr>
        <w:pStyle w:val="ListParagraph"/>
        <w:rPr>
          <w:rFonts w:ascii="Arial" w:hAnsi="Arial" w:cs="Arial"/>
          <w:sz w:val="22"/>
          <w:szCs w:val="22"/>
        </w:rPr>
      </w:pPr>
    </w:p>
    <w:p w14:paraId="0B5301BA" w14:textId="77777777" w:rsidR="00063FEA" w:rsidRPr="001735D9" w:rsidRDefault="00063FEA" w:rsidP="00063FEA">
      <w:pPr>
        <w:pStyle w:val="ListParagraph"/>
        <w:numPr>
          <w:ilvl w:val="0"/>
          <w:numId w:val="4"/>
        </w:numPr>
        <w:jc w:val="both"/>
        <w:rPr>
          <w:rFonts w:ascii="Arial" w:hAnsi="Arial" w:cs="Arial"/>
          <w:sz w:val="22"/>
          <w:szCs w:val="22"/>
        </w:rPr>
      </w:pPr>
      <w:r w:rsidRPr="001735D9">
        <w:rPr>
          <w:rFonts w:ascii="Arial" w:hAnsi="Arial" w:cs="Arial"/>
          <w:b/>
          <w:sz w:val="22"/>
          <w:szCs w:val="22"/>
        </w:rPr>
        <w:t xml:space="preserve">Pojištěncem </w:t>
      </w:r>
      <w:r w:rsidRPr="001735D9">
        <w:rPr>
          <w:rFonts w:ascii="Arial" w:hAnsi="Arial" w:cs="Arial"/>
          <w:sz w:val="22"/>
          <w:szCs w:val="22"/>
        </w:rPr>
        <w:t xml:space="preserve">osoba dle </w:t>
      </w:r>
      <w:r>
        <w:rPr>
          <w:rFonts w:ascii="Arial" w:hAnsi="Arial" w:cs="Arial"/>
          <w:sz w:val="22"/>
          <w:szCs w:val="22"/>
        </w:rPr>
        <w:t>Z</w:t>
      </w:r>
      <w:r w:rsidRPr="001735D9">
        <w:rPr>
          <w:rFonts w:ascii="Arial" w:hAnsi="Arial" w:cs="Arial"/>
          <w:sz w:val="22"/>
          <w:szCs w:val="22"/>
        </w:rPr>
        <w:t>ákona o veřejném zdravotním pojištění registrovaná u Pojišťovny ke dni poskytnutí zdravotní služby;</w:t>
      </w:r>
    </w:p>
    <w:p w14:paraId="0A75E496" w14:textId="77777777" w:rsidR="00063FEA" w:rsidRPr="001735D9" w:rsidRDefault="00063FEA" w:rsidP="00063FEA">
      <w:pPr>
        <w:pStyle w:val="ListParagraph"/>
        <w:rPr>
          <w:rFonts w:ascii="Arial" w:hAnsi="Arial" w:cs="Arial"/>
          <w:sz w:val="22"/>
          <w:szCs w:val="22"/>
        </w:rPr>
      </w:pPr>
    </w:p>
    <w:p w14:paraId="67CF01D1" w14:textId="77777777" w:rsidR="00063FEA" w:rsidRPr="001735D9" w:rsidRDefault="00063FEA" w:rsidP="00063FEA">
      <w:pPr>
        <w:pStyle w:val="ListParagraph"/>
        <w:numPr>
          <w:ilvl w:val="0"/>
          <w:numId w:val="4"/>
        </w:numPr>
        <w:jc w:val="both"/>
        <w:textAlignment w:val="auto"/>
        <w:rPr>
          <w:rFonts w:ascii="Arial" w:hAnsi="Arial" w:cs="Arial"/>
          <w:sz w:val="22"/>
          <w:szCs w:val="22"/>
        </w:rPr>
      </w:pPr>
      <w:r w:rsidRPr="001735D9">
        <w:rPr>
          <w:rFonts w:ascii="Arial" w:hAnsi="Arial" w:cs="Arial"/>
          <w:b/>
          <w:sz w:val="22"/>
          <w:szCs w:val="22"/>
        </w:rPr>
        <w:t xml:space="preserve">Zpětnou platbou </w:t>
      </w:r>
      <w:r w:rsidRPr="001735D9">
        <w:rPr>
          <w:rFonts w:ascii="Arial" w:hAnsi="Arial" w:cs="Arial"/>
          <w:sz w:val="22"/>
          <w:szCs w:val="22"/>
        </w:rPr>
        <w:t>částka určená touto Smlouvou, kterou je Pojišťovna oprávněna přijmout do základního fondu Pojišťovny</w:t>
      </w:r>
      <w:r w:rsidRPr="00B719B7">
        <w:rPr>
          <w:rFonts w:ascii="Arial" w:hAnsi="Arial" w:cs="Arial"/>
          <w:sz w:val="22"/>
          <w:szCs w:val="22"/>
        </w:rPr>
        <w:t>;</w:t>
      </w:r>
    </w:p>
    <w:p w14:paraId="0B859907" w14:textId="77777777" w:rsidR="00063FEA" w:rsidRPr="001735D9" w:rsidRDefault="00063FEA" w:rsidP="00063FEA">
      <w:pPr>
        <w:pStyle w:val="ListParagraph"/>
        <w:rPr>
          <w:rFonts w:ascii="Arial" w:hAnsi="Arial" w:cs="Arial"/>
          <w:sz w:val="22"/>
          <w:szCs w:val="22"/>
        </w:rPr>
      </w:pPr>
    </w:p>
    <w:p w14:paraId="1F4C5CD0" w14:textId="77777777" w:rsidR="00063FEA" w:rsidRPr="001735D9" w:rsidRDefault="00063FEA" w:rsidP="00063FEA">
      <w:pPr>
        <w:pStyle w:val="ListParagraph"/>
        <w:numPr>
          <w:ilvl w:val="0"/>
          <w:numId w:val="4"/>
        </w:numPr>
        <w:jc w:val="both"/>
        <w:textAlignment w:val="auto"/>
        <w:rPr>
          <w:rFonts w:ascii="Arial" w:hAnsi="Arial" w:cs="Arial"/>
          <w:sz w:val="22"/>
          <w:szCs w:val="22"/>
        </w:rPr>
      </w:pPr>
      <w:r w:rsidRPr="001735D9">
        <w:rPr>
          <w:rFonts w:ascii="Arial" w:hAnsi="Arial" w:cs="Arial"/>
          <w:b/>
          <w:sz w:val="22"/>
          <w:szCs w:val="22"/>
        </w:rPr>
        <w:t xml:space="preserve">Ústavem </w:t>
      </w:r>
      <w:r w:rsidRPr="001735D9">
        <w:rPr>
          <w:rFonts w:ascii="Arial" w:hAnsi="Arial" w:cs="Arial"/>
          <w:sz w:val="22"/>
          <w:szCs w:val="22"/>
        </w:rPr>
        <w:t>Státní ústav pro kontrolu léčiv</w:t>
      </w:r>
      <w:r w:rsidRPr="00B719B7">
        <w:rPr>
          <w:rFonts w:ascii="Arial" w:hAnsi="Arial" w:cs="Arial"/>
          <w:sz w:val="22"/>
          <w:szCs w:val="22"/>
          <w:lang w:val="de-DE"/>
        </w:rPr>
        <w:t>;</w:t>
      </w:r>
    </w:p>
    <w:p w14:paraId="4F91650A" w14:textId="77777777" w:rsidR="00063FEA" w:rsidRPr="001735D9" w:rsidRDefault="00063FEA" w:rsidP="00063FEA">
      <w:pPr>
        <w:pStyle w:val="ListParagraph"/>
        <w:rPr>
          <w:rFonts w:ascii="Arial" w:hAnsi="Arial" w:cs="Arial"/>
          <w:sz w:val="22"/>
          <w:szCs w:val="22"/>
        </w:rPr>
      </w:pPr>
    </w:p>
    <w:p w14:paraId="17DE036E" w14:textId="77777777" w:rsidR="00063FEA" w:rsidRPr="001735D9" w:rsidRDefault="00063FEA" w:rsidP="00063FEA">
      <w:pPr>
        <w:pStyle w:val="ListParagraph"/>
        <w:numPr>
          <w:ilvl w:val="0"/>
          <w:numId w:val="4"/>
        </w:numPr>
        <w:jc w:val="both"/>
        <w:textAlignment w:val="auto"/>
        <w:rPr>
          <w:rFonts w:ascii="Arial" w:hAnsi="Arial" w:cs="Arial"/>
          <w:sz w:val="22"/>
          <w:szCs w:val="22"/>
        </w:rPr>
      </w:pPr>
      <w:r w:rsidRPr="001735D9">
        <w:rPr>
          <w:rFonts w:ascii="Arial" w:hAnsi="Arial" w:cs="Arial"/>
          <w:b/>
          <w:sz w:val="22"/>
          <w:szCs w:val="22"/>
        </w:rPr>
        <w:t xml:space="preserve">Rozhodnutím </w:t>
      </w:r>
      <w:r w:rsidRPr="001735D9">
        <w:rPr>
          <w:rFonts w:ascii="Arial" w:hAnsi="Arial" w:cs="Arial"/>
          <w:sz w:val="22"/>
          <w:szCs w:val="22"/>
        </w:rPr>
        <w:t>vykonatelné rozhodnutí Ústavu, kterým jsou stanoveny výše a podmínky úhrady Přípravku, přičemž výší úhrady se rozumí tzv. „jádrová“ úhrada;</w:t>
      </w:r>
    </w:p>
    <w:p w14:paraId="3B3661C9" w14:textId="77777777" w:rsidR="00063FEA" w:rsidRPr="001735D9" w:rsidRDefault="00063FEA" w:rsidP="00063FEA">
      <w:pPr>
        <w:pStyle w:val="ListParagraph"/>
        <w:rPr>
          <w:rFonts w:ascii="Arial" w:hAnsi="Arial" w:cs="Arial"/>
          <w:sz w:val="22"/>
          <w:szCs w:val="22"/>
        </w:rPr>
      </w:pPr>
    </w:p>
    <w:p w14:paraId="30523928" w14:textId="77777777" w:rsidR="00063FEA" w:rsidRPr="001735D9" w:rsidRDefault="00063FEA" w:rsidP="00063FEA">
      <w:pPr>
        <w:pStyle w:val="ListParagraph"/>
        <w:numPr>
          <w:ilvl w:val="0"/>
          <w:numId w:val="4"/>
        </w:numPr>
        <w:jc w:val="both"/>
        <w:textAlignment w:val="auto"/>
        <w:rPr>
          <w:rFonts w:ascii="Arial" w:hAnsi="Arial" w:cs="Arial"/>
          <w:sz w:val="22"/>
          <w:szCs w:val="22"/>
        </w:rPr>
      </w:pPr>
      <w:r w:rsidRPr="001735D9">
        <w:rPr>
          <w:rFonts w:ascii="Arial" w:hAnsi="Arial" w:cs="Arial"/>
          <w:b/>
          <w:sz w:val="22"/>
          <w:szCs w:val="22"/>
        </w:rPr>
        <w:t>Referenční skupinou</w:t>
      </w:r>
      <w:r w:rsidRPr="001735D9">
        <w:rPr>
          <w:rFonts w:ascii="Arial" w:hAnsi="Arial" w:cs="Arial"/>
          <w:sz w:val="22"/>
          <w:szCs w:val="22"/>
        </w:rPr>
        <w:t xml:space="preserve"> referenční skupina č. 69/3 (</w:t>
      </w:r>
      <w:r w:rsidRPr="001735D9">
        <w:rPr>
          <w:rFonts w:ascii="Arial" w:hAnsi="Arial" w:cs="Arial"/>
          <w:i/>
          <w:sz w:val="22"/>
          <w:szCs w:val="22"/>
        </w:rPr>
        <w:t>Interferony a ostatní léčiva k terapii roztroušené sklerózy, parenterální</w:t>
      </w:r>
      <w:r w:rsidRPr="001735D9">
        <w:rPr>
          <w:rFonts w:ascii="Arial" w:hAnsi="Arial" w:cs="Arial"/>
          <w:sz w:val="22"/>
          <w:szCs w:val="22"/>
        </w:rPr>
        <w:t>)</w:t>
      </w:r>
      <w:r w:rsidRPr="00B719B7">
        <w:rPr>
          <w:rFonts w:ascii="Arial" w:hAnsi="Arial" w:cs="Arial"/>
          <w:sz w:val="22"/>
          <w:szCs w:val="22"/>
        </w:rPr>
        <w:t>;</w:t>
      </w:r>
    </w:p>
    <w:p w14:paraId="5D6784E7" w14:textId="77777777" w:rsidR="00063FEA" w:rsidRPr="001735D9" w:rsidRDefault="00063FEA" w:rsidP="00063FEA">
      <w:pPr>
        <w:pStyle w:val="ListParagraph"/>
        <w:rPr>
          <w:rFonts w:ascii="Arial" w:hAnsi="Arial" w:cs="Arial"/>
          <w:sz w:val="22"/>
          <w:szCs w:val="22"/>
        </w:rPr>
      </w:pPr>
    </w:p>
    <w:p w14:paraId="676275CC" w14:textId="77777777" w:rsidR="00063FEA" w:rsidRPr="001735D9" w:rsidRDefault="00063FEA" w:rsidP="00063FEA">
      <w:pPr>
        <w:pStyle w:val="ListParagraph"/>
        <w:numPr>
          <w:ilvl w:val="0"/>
          <w:numId w:val="4"/>
        </w:numPr>
        <w:jc w:val="both"/>
        <w:textAlignment w:val="auto"/>
        <w:rPr>
          <w:rFonts w:ascii="Arial" w:hAnsi="Arial" w:cs="Arial"/>
          <w:sz w:val="22"/>
          <w:szCs w:val="22"/>
        </w:rPr>
      </w:pPr>
      <w:r w:rsidRPr="001735D9">
        <w:rPr>
          <w:rFonts w:ascii="Arial" w:hAnsi="Arial" w:cs="Arial"/>
          <w:b/>
          <w:sz w:val="22"/>
          <w:szCs w:val="22"/>
        </w:rPr>
        <w:t xml:space="preserve">Rozhodnutím o RS </w:t>
      </w:r>
      <w:r w:rsidRPr="001735D9">
        <w:rPr>
          <w:rFonts w:ascii="Arial" w:hAnsi="Arial" w:cs="Arial"/>
          <w:sz w:val="22"/>
          <w:szCs w:val="22"/>
        </w:rPr>
        <w:t xml:space="preserve">vykonatelné rozhodnutí Ústavu, kterým je stanovena základní úhrada Referenční skupiny, přičemž výší úhrady se rozumí tzv. „jádrová“ základní úhrada. </w:t>
      </w:r>
    </w:p>
    <w:p w14:paraId="474DF1D2" w14:textId="77777777" w:rsidR="00063FEA" w:rsidRPr="001735D9" w:rsidRDefault="00063FEA" w:rsidP="00063FEA">
      <w:pPr>
        <w:jc w:val="center"/>
        <w:rPr>
          <w:rFonts w:ascii="Arial" w:hAnsi="Arial" w:cs="Arial"/>
          <w:b/>
          <w:sz w:val="22"/>
          <w:szCs w:val="22"/>
        </w:rPr>
      </w:pPr>
    </w:p>
    <w:p w14:paraId="6220E18F" w14:textId="2D60C45B" w:rsidR="00063FEA" w:rsidRDefault="00063FEA" w:rsidP="00063FEA">
      <w:pPr>
        <w:overflowPunct/>
        <w:autoSpaceDE/>
        <w:autoSpaceDN/>
        <w:adjustRightInd/>
        <w:textAlignment w:val="auto"/>
        <w:rPr>
          <w:rFonts w:ascii="Arial" w:hAnsi="Arial" w:cs="Arial"/>
          <w:b/>
          <w:sz w:val="22"/>
          <w:szCs w:val="22"/>
        </w:rPr>
      </w:pPr>
    </w:p>
    <w:p w14:paraId="227A1187" w14:textId="77777777" w:rsidR="00063FEA" w:rsidRPr="001735D9" w:rsidRDefault="00063FEA" w:rsidP="00063FEA">
      <w:pPr>
        <w:jc w:val="center"/>
        <w:rPr>
          <w:rFonts w:ascii="Arial" w:hAnsi="Arial" w:cs="Arial"/>
          <w:b/>
          <w:sz w:val="22"/>
          <w:szCs w:val="22"/>
        </w:rPr>
      </w:pPr>
      <w:r w:rsidRPr="001735D9">
        <w:rPr>
          <w:rFonts w:ascii="Arial" w:hAnsi="Arial" w:cs="Arial"/>
          <w:b/>
          <w:sz w:val="22"/>
          <w:szCs w:val="22"/>
        </w:rPr>
        <w:lastRenderedPageBreak/>
        <w:t>Článek II.</w:t>
      </w:r>
    </w:p>
    <w:p w14:paraId="3FFF3512" w14:textId="77777777" w:rsidR="00063FEA" w:rsidRPr="001735D9" w:rsidRDefault="00063FEA" w:rsidP="00063FEA">
      <w:pPr>
        <w:jc w:val="center"/>
        <w:rPr>
          <w:rFonts w:ascii="Arial" w:hAnsi="Arial" w:cs="Arial"/>
          <w:b/>
          <w:sz w:val="22"/>
          <w:szCs w:val="22"/>
        </w:rPr>
      </w:pPr>
      <w:r w:rsidRPr="001735D9">
        <w:rPr>
          <w:rFonts w:ascii="Arial" w:hAnsi="Arial" w:cs="Arial"/>
          <w:b/>
          <w:sz w:val="22"/>
          <w:szCs w:val="22"/>
        </w:rPr>
        <w:t>Předmět smlouvy</w:t>
      </w:r>
    </w:p>
    <w:p w14:paraId="3CA3C2E3" w14:textId="77777777" w:rsidR="00063FEA" w:rsidRPr="001735D9" w:rsidRDefault="00063FEA" w:rsidP="00063FEA">
      <w:pPr>
        <w:jc w:val="center"/>
        <w:rPr>
          <w:rFonts w:ascii="Arial" w:hAnsi="Arial" w:cs="Arial"/>
          <w:b/>
          <w:sz w:val="22"/>
          <w:szCs w:val="22"/>
        </w:rPr>
      </w:pPr>
    </w:p>
    <w:p w14:paraId="71786603" w14:textId="77777777" w:rsidR="00063FEA" w:rsidRPr="001735D9" w:rsidRDefault="00063FEA" w:rsidP="00063FEA">
      <w:pPr>
        <w:pStyle w:val="Zkladntext21"/>
        <w:spacing w:before="0" w:line="240" w:lineRule="auto"/>
        <w:rPr>
          <w:rFonts w:ascii="Arial" w:hAnsi="Arial" w:cs="Arial"/>
          <w:sz w:val="22"/>
          <w:szCs w:val="22"/>
        </w:rPr>
      </w:pPr>
      <w:r w:rsidRPr="001735D9">
        <w:rPr>
          <w:rFonts w:ascii="Arial" w:hAnsi="Arial" w:cs="Arial"/>
          <w:sz w:val="22"/>
          <w:szCs w:val="22"/>
        </w:rPr>
        <w:t xml:space="preserve">Předmětem této Smlouvy je na straně jedné závazek Pojišťovny nastavit účtovací a kontrolní procesy Pojišťovny tak, aby, pokud Pojišťovna uhradila Poskytovateli v souladu s §16 Zákona o veřejném zdravotním pojištění Přípravek, který byl Poskytovatelem poskytnut nebo podán při poskytnutí zdravotní služby pojištěncům Pojišťovny, kteří byli současně subjekty Klinického hodnocení, o tom byl v souladu s touto Smlouvou včas spraven Držitel a aby současně byla dodržena všechna ustanovení platného práva pro takové poskytnutí úhrady takového Přípravku. </w:t>
      </w:r>
    </w:p>
    <w:p w14:paraId="32EE8258" w14:textId="77777777" w:rsidR="00063FEA" w:rsidRPr="001735D9" w:rsidRDefault="00063FEA" w:rsidP="00063FEA">
      <w:pPr>
        <w:pStyle w:val="Zkladntext21"/>
        <w:spacing w:before="0" w:line="240" w:lineRule="auto"/>
        <w:rPr>
          <w:rFonts w:ascii="Arial" w:hAnsi="Arial" w:cs="Arial"/>
          <w:sz w:val="22"/>
          <w:szCs w:val="22"/>
        </w:rPr>
      </w:pPr>
    </w:p>
    <w:p w14:paraId="030B2A30" w14:textId="77777777" w:rsidR="00063FEA" w:rsidRPr="001735D9" w:rsidRDefault="00063FEA" w:rsidP="00063FEA">
      <w:pPr>
        <w:pStyle w:val="Zkladntext21"/>
        <w:spacing w:before="0" w:line="240" w:lineRule="auto"/>
        <w:rPr>
          <w:rFonts w:ascii="Arial" w:hAnsi="Arial" w:cs="Arial"/>
          <w:sz w:val="22"/>
          <w:szCs w:val="22"/>
        </w:rPr>
      </w:pPr>
      <w:r w:rsidRPr="001735D9">
        <w:rPr>
          <w:rFonts w:ascii="Arial" w:hAnsi="Arial" w:cs="Arial"/>
          <w:sz w:val="22"/>
          <w:szCs w:val="22"/>
        </w:rPr>
        <w:t>Na straně druhé je předmětem této Smlouvy závazek Držitele poskytnout Pojišťovně do základního fondu zpětnou platbu ve výši a v termínu určeném touto Smlouvou</w:t>
      </w:r>
      <w:r>
        <w:rPr>
          <w:rFonts w:ascii="Arial" w:hAnsi="Arial" w:cs="Arial"/>
          <w:sz w:val="22"/>
          <w:szCs w:val="22"/>
        </w:rPr>
        <w:t>.</w:t>
      </w:r>
    </w:p>
    <w:p w14:paraId="5E5E1A19" w14:textId="77777777" w:rsidR="00063FEA" w:rsidRPr="001735D9" w:rsidRDefault="00063FEA" w:rsidP="00063FEA">
      <w:pPr>
        <w:spacing w:before="120"/>
        <w:jc w:val="center"/>
        <w:rPr>
          <w:rFonts w:ascii="Arial" w:hAnsi="Arial" w:cs="Arial"/>
          <w:b/>
          <w:sz w:val="24"/>
          <w:szCs w:val="24"/>
        </w:rPr>
      </w:pPr>
    </w:p>
    <w:p w14:paraId="5B1C26CC" w14:textId="77777777" w:rsidR="00063FEA" w:rsidRPr="001735D9" w:rsidRDefault="00063FEA" w:rsidP="00063FEA">
      <w:pPr>
        <w:jc w:val="center"/>
        <w:rPr>
          <w:rFonts w:ascii="Arial" w:hAnsi="Arial" w:cs="Arial"/>
          <w:b/>
          <w:sz w:val="22"/>
          <w:szCs w:val="22"/>
        </w:rPr>
      </w:pPr>
      <w:r w:rsidRPr="001735D9">
        <w:rPr>
          <w:rFonts w:ascii="Arial" w:hAnsi="Arial" w:cs="Arial"/>
          <w:b/>
          <w:sz w:val="22"/>
          <w:szCs w:val="22"/>
        </w:rPr>
        <w:t>Článek III.</w:t>
      </w:r>
    </w:p>
    <w:p w14:paraId="6209384C" w14:textId="77777777" w:rsidR="00063FEA" w:rsidRPr="001735D9" w:rsidRDefault="00063FEA" w:rsidP="00063FEA">
      <w:pPr>
        <w:pStyle w:val="Zkladntext21"/>
        <w:spacing w:before="0" w:line="240" w:lineRule="auto"/>
        <w:jc w:val="center"/>
        <w:rPr>
          <w:rFonts w:ascii="Arial" w:hAnsi="Arial" w:cs="Arial"/>
          <w:b/>
          <w:sz w:val="22"/>
          <w:szCs w:val="22"/>
        </w:rPr>
      </w:pPr>
      <w:r w:rsidRPr="001735D9">
        <w:rPr>
          <w:rFonts w:ascii="Arial" w:hAnsi="Arial" w:cs="Arial"/>
          <w:b/>
          <w:sz w:val="22"/>
          <w:szCs w:val="22"/>
        </w:rPr>
        <w:t>Práva a povinnosti smluvních stran</w:t>
      </w:r>
    </w:p>
    <w:p w14:paraId="16C1B3CC" w14:textId="77777777" w:rsidR="00063FEA" w:rsidRPr="001735D9" w:rsidRDefault="00063FEA" w:rsidP="00063FEA">
      <w:pPr>
        <w:pStyle w:val="ListParagraph"/>
        <w:ind w:left="567"/>
        <w:contextualSpacing w:val="0"/>
        <w:jc w:val="both"/>
        <w:rPr>
          <w:rFonts w:ascii="Arial" w:hAnsi="Arial" w:cs="Arial"/>
          <w:sz w:val="22"/>
          <w:szCs w:val="22"/>
        </w:rPr>
      </w:pPr>
    </w:p>
    <w:p w14:paraId="201B5A13" w14:textId="77777777" w:rsidR="00063FEA" w:rsidRPr="001735D9" w:rsidRDefault="00063FEA" w:rsidP="00063FEA">
      <w:pPr>
        <w:pStyle w:val="ListParagraph"/>
        <w:numPr>
          <w:ilvl w:val="0"/>
          <w:numId w:val="5"/>
        </w:numPr>
        <w:ind w:left="567" w:hanging="567"/>
        <w:contextualSpacing w:val="0"/>
        <w:jc w:val="both"/>
        <w:rPr>
          <w:rFonts w:ascii="Arial" w:hAnsi="Arial" w:cs="Arial"/>
          <w:sz w:val="22"/>
          <w:szCs w:val="22"/>
        </w:rPr>
      </w:pPr>
      <w:r w:rsidRPr="001735D9">
        <w:rPr>
          <w:rFonts w:ascii="Arial" w:hAnsi="Arial" w:cs="Arial"/>
          <w:sz w:val="22"/>
          <w:szCs w:val="22"/>
        </w:rPr>
        <w:t>Držitel se zavazuje poskytnout Pojišťovně zpětnou platbu ve výši a v termínu určeném dále touto Smlouvou.</w:t>
      </w:r>
    </w:p>
    <w:p w14:paraId="545B50E2" w14:textId="77777777" w:rsidR="00063FEA" w:rsidRPr="001735D9" w:rsidRDefault="00063FEA" w:rsidP="00063FEA">
      <w:pPr>
        <w:pStyle w:val="ListParagraph"/>
        <w:rPr>
          <w:rFonts w:ascii="Arial" w:hAnsi="Arial" w:cs="Arial"/>
          <w:sz w:val="22"/>
          <w:szCs w:val="22"/>
        </w:rPr>
      </w:pPr>
    </w:p>
    <w:p w14:paraId="4E3AE0F7" w14:textId="77777777" w:rsidR="00063FEA" w:rsidRPr="001735D9" w:rsidRDefault="00063FEA" w:rsidP="00063FEA">
      <w:pPr>
        <w:pStyle w:val="ListParagraph"/>
        <w:numPr>
          <w:ilvl w:val="0"/>
          <w:numId w:val="5"/>
        </w:numPr>
        <w:ind w:left="567" w:hanging="567"/>
        <w:contextualSpacing w:val="0"/>
        <w:jc w:val="both"/>
        <w:rPr>
          <w:rFonts w:ascii="Arial" w:hAnsi="Arial" w:cs="Arial"/>
          <w:sz w:val="22"/>
          <w:szCs w:val="22"/>
        </w:rPr>
      </w:pPr>
      <w:r w:rsidRPr="001735D9">
        <w:rPr>
          <w:rFonts w:ascii="Arial" w:hAnsi="Arial" w:cs="Arial"/>
          <w:sz w:val="22"/>
          <w:szCs w:val="22"/>
        </w:rPr>
        <w:t>Zpětná platba a podmínky jejího poskytnutí Pojišťovně jsou touto Smlouvou sjednány takto:</w:t>
      </w:r>
    </w:p>
    <w:p w14:paraId="43D54F07" w14:textId="77777777" w:rsidR="00063FEA" w:rsidRPr="001735D9" w:rsidRDefault="00063FEA" w:rsidP="00063FEA">
      <w:pPr>
        <w:pStyle w:val="ListParagraph"/>
        <w:ind w:left="1418"/>
        <w:contextualSpacing w:val="0"/>
        <w:jc w:val="both"/>
        <w:rPr>
          <w:rFonts w:ascii="Arial" w:hAnsi="Arial" w:cs="Arial"/>
          <w:sz w:val="22"/>
          <w:szCs w:val="22"/>
        </w:rPr>
      </w:pPr>
    </w:p>
    <w:p w14:paraId="69459D93" w14:textId="77777777" w:rsidR="00063FEA" w:rsidRDefault="00063FEA" w:rsidP="00063FEA">
      <w:pPr>
        <w:pStyle w:val="ListParagraph"/>
        <w:numPr>
          <w:ilvl w:val="1"/>
          <w:numId w:val="5"/>
        </w:numPr>
        <w:jc w:val="both"/>
        <w:rPr>
          <w:rFonts w:ascii="Arial" w:hAnsi="Arial" w:cs="Arial"/>
          <w:sz w:val="22"/>
          <w:szCs w:val="22"/>
        </w:rPr>
      </w:pPr>
      <w:r w:rsidRPr="00740D50">
        <w:rPr>
          <w:rFonts w:ascii="Arial" w:hAnsi="Arial" w:cs="Arial"/>
          <w:sz w:val="22"/>
          <w:szCs w:val="22"/>
        </w:rPr>
        <w:t>zpětná platba</w:t>
      </w:r>
      <w:r w:rsidRPr="001735D9">
        <w:rPr>
          <w:rFonts w:ascii="Arial" w:hAnsi="Arial" w:cs="Arial"/>
          <w:sz w:val="22"/>
          <w:szCs w:val="22"/>
        </w:rPr>
        <w:t xml:space="preserve"> bude poskytnuta za každé balení Přípravku, které bude Pojišťovnou v době trvání této smlouvy uhrazeno Poskytovateli v rámci hrazení Přípravku, a to </w:t>
      </w:r>
      <w:r w:rsidRPr="000D6BDD">
        <w:rPr>
          <w:rFonts w:ascii="Arial" w:hAnsi="Arial" w:cs="Arial"/>
          <w:sz w:val="22"/>
          <w:szCs w:val="22"/>
        </w:rPr>
        <w:t xml:space="preserve">výhradně pokud bude Přípravek hrazen podle §16 Zákona o veřejném zdravotním pojištění, a pokud Přípravek bude podán pojištěnci Pojišťovny, který byl současně subjektem klinického hodnocení, </w:t>
      </w:r>
    </w:p>
    <w:p w14:paraId="2EBB0F08" w14:textId="77777777" w:rsidR="00063FEA" w:rsidRDefault="00063FEA" w:rsidP="00063FEA">
      <w:pPr>
        <w:pStyle w:val="ListParagraph"/>
        <w:ind w:left="360"/>
        <w:jc w:val="both"/>
        <w:rPr>
          <w:rFonts w:ascii="Arial" w:hAnsi="Arial" w:cs="Arial"/>
          <w:sz w:val="22"/>
          <w:szCs w:val="22"/>
        </w:rPr>
      </w:pPr>
    </w:p>
    <w:p w14:paraId="63F4FFD5" w14:textId="14A9A59F" w:rsidR="00F408D2" w:rsidRPr="008073EA" w:rsidRDefault="00F408D2" w:rsidP="00F408D2">
      <w:pPr>
        <w:pStyle w:val="ListParagraph"/>
        <w:numPr>
          <w:ilvl w:val="1"/>
          <w:numId w:val="5"/>
        </w:numPr>
        <w:jc w:val="both"/>
        <w:rPr>
          <w:rFonts w:ascii="Arial" w:hAnsi="Arial" w:cs="Arial"/>
          <w:sz w:val="22"/>
          <w:szCs w:val="22"/>
        </w:rPr>
      </w:pPr>
      <w:r w:rsidRPr="008073EA">
        <w:rPr>
          <w:rFonts w:ascii="Arial" w:hAnsi="Arial" w:cs="Arial"/>
          <w:sz w:val="22"/>
          <w:szCs w:val="22"/>
        </w:rPr>
        <w:t xml:space="preserve">výše zpětné platby podle odst. 2.1. se určuje dohodou stran jako částka odpovídající </w:t>
      </w:r>
      <w:proofErr w:type="spellStart"/>
      <w:r w:rsidR="005A3969" w:rsidRPr="005A3969">
        <w:rPr>
          <w:rFonts w:ascii="Arial" w:hAnsi="Arial" w:cs="Arial"/>
          <w:sz w:val="22"/>
          <w:szCs w:val="22"/>
          <w:highlight w:val="black"/>
        </w:rPr>
        <w:t>xxxxx</w:t>
      </w:r>
      <w:proofErr w:type="spellEnd"/>
      <w:r w:rsidRPr="008073EA">
        <w:rPr>
          <w:rFonts w:ascii="Arial" w:hAnsi="Arial" w:cs="Arial"/>
          <w:sz w:val="22"/>
          <w:szCs w:val="22"/>
        </w:rPr>
        <w:t xml:space="preserve"> z částky, kterou Pojišťovna za takové balení uhradila Poskytovateli. Pro odstranění jakýchkoliv nejasností při interpretaci tohoto ustanovení strany uvádí výchozí stav počtu pacientů a současně platnou úhradu Přípravku v </w:t>
      </w:r>
      <w:r>
        <w:rPr>
          <w:rFonts w:ascii="Arial" w:hAnsi="Arial" w:cs="Arial"/>
          <w:sz w:val="22"/>
          <w:szCs w:val="22"/>
        </w:rPr>
        <w:t>P</w:t>
      </w:r>
      <w:r w:rsidRPr="008073EA">
        <w:rPr>
          <w:rFonts w:ascii="Arial" w:hAnsi="Arial" w:cs="Arial"/>
          <w:sz w:val="22"/>
          <w:szCs w:val="22"/>
        </w:rPr>
        <w:t>říloze č. 1 této Smlouvy.</w:t>
      </w:r>
      <w:r w:rsidRPr="008073EA" w:rsidDel="0079750A">
        <w:rPr>
          <w:rFonts w:ascii="Arial" w:hAnsi="Arial" w:cs="Arial"/>
          <w:sz w:val="22"/>
          <w:szCs w:val="22"/>
        </w:rPr>
        <w:t xml:space="preserve"> </w:t>
      </w:r>
    </w:p>
    <w:p w14:paraId="49076E96" w14:textId="77777777" w:rsidR="00F408D2" w:rsidRPr="000D6BDD" w:rsidRDefault="00F408D2" w:rsidP="00F408D2">
      <w:pPr>
        <w:pStyle w:val="ListParagraph"/>
        <w:rPr>
          <w:rFonts w:ascii="Arial" w:hAnsi="Arial" w:cs="Arial"/>
          <w:sz w:val="22"/>
          <w:szCs w:val="22"/>
        </w:rPr>
      </w:pPr>
    </w:p>
    <w:p w14:paraId="3D2A5306" w14:textId="77777777" w:rsidR="00F408D2" w:rsidRPr="000D6BDD" w:rsidRDefault="00F408D2" w:rsidP="00F408D2">
      <w:pPr>
        <w:pStyle w:val="ListParagraph"/>
        <w:numPr>
          <w:ilvl w:val="1"/>
          <w:numId w:val="5"/>
        </w:numPr>
        <w:jc w:val="both"/>
        <w:rPr>
          <w:rFonts w:ascii="Arial" w:hAnsi="Arial" w:cs="Arial"/>
          <w:sz w:val="22"/>
          <w:szCs w:val="22"/>
        </w:rPr>
      </w:pPr>
      <w:r w:rsidRPr="000D6BDD">
        <w:rPr>
          <w:rFonts w:ascii="Arial" w:hAnsi="Arial" w:cs="Arial"/>
          <w:sz w:val="22"/>
          <w:szCs w:val="22"/>
        </w:rPr>
        <w:t xml:space="preserve">Zpětná platba bude Držitelem Pojišťovně uhrazena na základě </w:t>
      </w:r>
      <w:r>
        <w:rPr>
          <w:rFonts w:ascii="Arial" w:hAnsi="Arial" w:cs="Arial"/>
          <w:sz w:val="22"/>
          <w:szCs w:val="22"/>
        </w:rPr>
        <w:t>P</w:t>
      </w:r>
      <w:r w:rsidRPr="000D6BDD">
        <w:rPr>
          <w:rFonts w:ascii="Arial" w:hAnsi="Arial" w:cs="Arial"/>
          <w:sz w:val="22"/>
          <w:szCs w:val="22"/>
        </w:rPr>
        <w:t xml:space="preserve">ojišťovnou vystavených faktur, a to </w:t>
      </w:r>
      <w:r>
        <w:rPr>
          <w:rFonts w:ascii="Arial" w:hAnsi="Arial" w:cs="Arial"/>
          <w:sz w:val="22"/>
          <w:szCs w:val="22"/>
        </w:rPr>
        <w:t>čtyřikrát</w:t>
      </w:r>
      <w:r w:rsidRPr="000D6BDD">
        <w:rPr>
          <w:rFonts w:ascii="Arial" w:hAnsi="Arial" w:cs="Arial"/>
          <w:sz w:val="22"/>
          <w:szCs w:val="22"/>
        </w:rPr>
        <w:t xml:space="preserve"> za dobu trvání této smlouvy. První část zpětné platby bude vyplacena podle množství uhrazeného </w:t>
      </w:r>
      <w:r>
        <w:rPr>
          <w:rFonts w:ascii="Arial" w:hAnsi="Arial" w:cs="Arial"/>
          <w:sz w:val="22"/>
          <w:szCs w:val="22"/>
        </w:rPr>
        <w:t>P</w:t>
      </w:r>
      <w:r w:rsidRPr="000D6BDD">
        <w:rPr>
          <w:rFonts w:ascii="Arial" w:hAnsi="Arial" w:cs="Arial"/>
          <w:sz w:val="22"/>
          <w:szCs w:val="22"/>
        </w:rPr>
        <w:t>řípravku</w:t>
      </w:r>
      <w:r>
        <w:rPr>
          <w:rFonts w:ascii="Arial" w:hAnsi="Arial" w:cs="Arial"/>
          <w:sz w:val="22"/>
          <w:szCs w:val="22"/>
        </w:rPr>
        <w:t xml:space="preserve"> podle ustanovení 2.2.1.</w:t>
      </w:r>
      <w:r w:rsidRPr="000D6BDD">
        <w:rPr>
          <w:rFonts w:ascii="Arial" w:hAnsi="Arial" w:cs="Arial"/>
          <w:sz w:val="22"/>
          <w:szCs w:val="22"/>
        </w:rPr>
        <w:t xml:space="preserve"> za období od 1. 2. 2014 do 30. </w:t>
      </w:r>
      <w:r>
        <w:rPr>
          <w:rFonts w:ascii="Arial" w:hAnsi="Arial" w:cs="Arial"/>
          <w:sz w:val="22"/>
          <w:szCs w:val="22"/>
        </w:rPr>
        <w:t>6.</w:t>
      </w:r>
      <w:r w:rsidRPr="000D6BDD">
        <w:rPr>
          <w:rFonts w:ascii="Arial" w:hAnsi="Arial" w:cs="Arial"/>
          <w:sz w:val="22"/>
          <w:szCs w:val="22"/>
        </w:rPr>
        <w:t xml:space="preserve"> 2014</w:t>
      </w:r>
      <w:r>
        <w:rPr>
          <w:rFonts w:ascii="Arial" w:hAnsi="Arial" w:cs="Arial"/>
          <w:sz w:val="22"/>
          <w:szCs w:val="22"/>
        </w:rPr>
        <w:t>,</w:t>
      </w:r>
      <w:r w:rsidRPr="000D6BDD">
        <w:rPr>
          <w:rFonts w:ascii="Arial" w:hAnsi="Arial" w:cs="Arial"/>
          <w:sz w:val="22"/>
          <w:szCs w:val="22"/>
        </w:rPr>
        <w:t xml:space="preserve"> druhá část bude vyplacena podle množství uhrazeného </w:t>
      </w:r>
      <w:r>
        <w:rPr>
          <w:rFonts w:ascii="Arial" w:hAnsi="Arial" w:cs="Arial"/>
          <w:sz w:val="22"/>
          <w:szCs w:val="22"/>
        </w:rPr>
        <w:t>P</w:t>
      </w:r>
      <w:r w:rsidRPr="000D6BDD">
        <w:rPr>
          <w:rFonts w:ascii="Arial" w:hAnsi="Arial" w:cs="Arial"/>
          <w:sz w:val="22"/>
          <w:szCs w:val="22"/>
        </w:rPr>
        <w:t>řípravku</w:t>
      </w:r>
      <w:r>
        <w:rPr>
          <w:rFonts w:ascii="Arial" w:hAnsi="Arial" w:cs="Arial"/>
          <w:sz w:val="22"/>
          <w:szCs w:val="22"/>
        </w:rPr>
        <w:t xml:space="preserve"> podle ustanovení 2.2.1.</w:t>
      </w:r>
      <w:r w:rsidRPr="000D6BDD">
        <w:rPr>
          <w:rFonts w:ascii="Arial" w:hAnsi="Arial" w:cs="Arial"/>
          <w:sz w:val="22"/>
          <w:szCs w:val="22"/>
        </w:rPr>
        <w:t xml:space="preserve"> za období od 1. </w:t>
      </w:r>
      <w:r>
        <w:rPr>
          <w:rFonts w:ascii="Arial" w:hAnsi="Arial" w:cs="Arial"/>
          <w:sz w:val="22"/>
          <w:szCs w:val="22"/>
        </w:rPr>
        <w:t>7</w:t>
      </w:r>
      <w:r w:rsidRPr="000D6BDD">
        <w:rPr>
          <w:rFonts w:ascii="Arial" w:hAnsi="Arial" w:cs="Arial"/>
          <w:sz w:val="22"/>
          <w:szCs w:val="22"/>
        </w:rPr>
        <w:t xml:space="preserve">. 2014 do </w:t>
      </w:r>
      <w:r>
        <w:rPr>
          <w:rFonts w:ascii="Arial" w:hAnsi="Arial" w:cs="Arial"/>
          <w:sz w:val="22"/>
          <w:szCs w:val="22"/>
        </w:rPr>
        <w:t xml:space="preserve">31. 12. </w:t>
      </w:r>
      <w:r w:rsidRPr="000D6BDD">
        <w:rPr>
          <w:rFonts w:ascii="Arial" w:hAnsi="Arial" w:cs="Arial"/>
          <w:sz w:val="22"/>
          <w:szCs w:val="22"/>
        </w:rPr>
        <w:t>201</w:t>
      </w:r>
      <w:r>
        <w:rPr>
          <w:rFonts w:ascii="Arial" w:hAnsi="Arial" w:cs="Arial"/>
          <w:sz w:val="22"/>
          <w:szCs w:val="22"/>
        </w:rPr>
        <w:t>4, třetí část zpětné platby bude vyplacena podle množství uhrazeného Přípravku podle ustanovení 2.2.1 za období od 1. 1. 2015 do 30. 6. 2015 a čtvrtá část zpětné platby bude vyplacena podle množství uhrazeného Přípravku podle ustanovení 2.2.1 za období od 1. 7. 2015 do 31. 12. 2015</w:t>
      </w:r>
      <w:r w:rsidRPr="000D6BDD">
        <w:rPr>
          <w:rFonts w:ascii="Arial" w:hAnsi="Arial" w:cs="Arial"/>
          <w:sz w:val="22"/>
          <w:szCs w:val="22"/>
        </w:rPr>
        <w:t>. Faktury vystavené Pojišťovnou budou splatné ve lhůtě 30 dnů ode dne doručení.</w:t>
      </w:r>
    </w:p>
    <w:p w14:paraId="1BBFE18D" w14:textId="77777777" w:rsidR="00F408D2" w:rsidRPr="000D6BDD" w:rsidRDefault="00F408D2" w:rsidP="00F408D2">
      <w:pPr>
        <w:pStyle w:val="ListParagraph"/>
        <w:rPr>
          <w:rFonts w:ascii="Arial" w:hAnsi="Arial" w:cs="Arial"/>
          <w:sz w:val="22"/>
          <w:szCs w:val="22"/>
        </w:rPr>
      </w:pPr>
    </w:p>
    <w:p w14:paraId="2B3CA5EE" w14:textId="77777777" w:rsidR="00F408D2" w:rsidRPr="000D6BDD" w:rsidRDefault="00F408D2" w:rsidP="00F408D2">
      <w:pPr>
        <w:pStyle w:val="ListParagraph"/>
        <w:numPr>
          <w:ilvl w:val="1"/>
          <w:numId w:val="5"/>
        </w:numPr>
        <w:jc w:val="both"/>
        <w:rPr>
          <w:rFonts w:ascii="Arial" w:hAnsi="Arial" w:cs="Arial"/>
          <w:sz w:val="22"/>
          <w:szCs w:val="22"/>
        </w:rPr>
      </w:pPr>
      <w:r w:rsidRPr="000D6BDD">
        <w:rPr>
          <w:rFonts w:ascii="Arial" w:hAnsi="Arial" w:cs="Arial"/>
          <w:sz w:val="22"/>
          <w:szCs w:val="22"/>
        </w:rPr>
        <w:t xml:space="preserve">Pojišťovna se zavazuje do 1. </w:t>
      </w:r>
      <w:r>
        <w:rPr>
          <w:rFonts w:ascii="Arial" w:hAnsi="Arial" w:cs="Arial"/>
          <w:sz w:val="22"/>
          <w:szCs w:val="22"/>
        </w:rPr>
        <w:t>10</w:t>
      </w:r>
      <w:r w:rsidRPr="000D6BDD">
        <w:rPr>
          <w:rFonts w:ascii="Arial" w:hAnsi="Arial" w:cs="Arial"/>
          <w:sz w:val="22"/>
          <w:szCs w:val="22"/>
        </w:rPr>
        <w:t>. 2014</w:t>
      </w:r>
      <w:r>
        <w:rPr>
          <w:rFonts w:ascii="Arial" w:hAnsi="Arial" w:cs="Arial"/>
          <w:sz w:val="22"/>
          <w:szCs w:val="22"/>
        </w:rPr>
        <w:t>,</w:t>
      </w:r>
      <w:r w:rsidRPr="000D6BDD">
        <w:rPr>
          <w:rFonts w:ascii="Arial" w:hAnsi="Arial" w:cs="Arial"/>
          <w:sz w:val="22"/>
          <w:szCs w:val="22"/>
        </w:rPr>
        <w:t xml:space="preserve"> do 1. </w:t>
      </w:r>
      <w:r>
        <w:rPr>
          <w:rFonts w:ascii="Arial" w:hAnsi="Arial" w:cs="Arial"/>
          <w:sz w:val="22"/>
          <w:szCs w:val="22"/>
        </w:rPr>
        <w:t>4</w:t>
      </w:r>
      <w:r w:rsidRPr="000D6BDD">
        <w:rPr>
          <w:rFonts w:ascii="Arial" w:hAnsi="Arial" w:cs="Arial"/>
          <w:sz w:val="22"/>
          <w:szCs w:val="22"/>
        </w:rPr>
        <w:t>. 2015</w:t>
      </w:r>
      <w:r>
        <w:rPr>
          <w:rFonts w:ascii="Arial" w:hAnsi="Arial" w:cs="Arial"/>
          <w:sz w:val="22"/>
          <w:szCs w:val="22"/>
        </w:rPr>
        <w:t>, do 1. 10. 2015 a do 1. 4. 2016</w:t>
      </w:r>
      <w:r w:rsidRPr="000D6BDD">
        <w:rPr>
          <w:rFonts w:ascii="Arial" w:hAnsi="Arial" w:cs="Arial"/>
          <w:sz w:val="22"/>
          <w:szCs w:val="22"/>
        </w:rPr>
        <w:t xml:space="preserve"> předložit Držiteli informace o počtu balení Přípravku, které uhradila Poskytovatelům v daném období podle §16 </w:t>
      </w:r>
      <w:r>
        <w:rPr>
          <w:rFonts w:ascii="Arial" w:hAnsi="Arial" w:cs="Arial"/>
          <w:sz w:val="22"/>
          <w:szCs w:val="22"/>
        </w:rPr>
        <w:t>Z</w:t>
      </w:r>
      <w:r w:rsidRPr="000D6BDD">
        <w:rPr>
          <w:rFonts w:ascii="Arial" w:hAnsi="Arial" w:cs="Arial"/>
          <w:sz w:val="22"/>
          <w:szCs w:val="22"/>
        </w:rPr>
        <w:t>ákona</w:t>
      </w:r>
      <w:r>
        <w:rPr>
          <w:rFonts w:ascii="Arial" w:hAnsi="Arial" w:cs="Arial"/>
          <w:sz w:val="22"/>
          <w:szCs w:val="22"/>
        </w:rPr>
        <w:t xml:space="preserve"> o veřejném zdravotním pojištění</w:t>
      </w:r>
      <w:r w:rsidRPr="000D6BDD">
        <w:rPr>
          <w:rFonts w:ascii="Arial" w:hAnsi="Arial" w:cs="Arial"/>
          <w:sz w:val="22"/>
          <w:szCs w:val="22"/>
        </w:rPr>
        <w:t xml:space="preserve">, a které současně byly předepsány a podány pojištěncům Pojišťovny, kteří byli zároveň subjekty klinického hodnocení. Tato informace bude podkladem pro provedení fakturace zpětné platby. </w:t>
      </w:r>
    </w:p>
    <w:p w14:paraId="47221053" w14:textId="77777777" w:rsidR="00063FEA" w:rsidRPr="000D6BDD" w:rsidRDefault="00063FEA" w:rsidP="00063FEA">
      <w:pPr>
        <w:ind w:left="360"/>
        <w:jc w:val="both"/>
        <w:rPr>
          <w:rFonts w:ascii="Arial" w:hAnsi="Arial" w:cs="Arial"/>
          <w:sz w:val="22"/>
          <w:szCs w:val="22"/>
        </w:rPr>
      </w:pPr>
    </w:p>
    <w:p w14:paraId="00D91DE4" w14:textId="77777777" w:rsidR="00063FEA" w:rsidRPr="000D6BDD" w:rsidRDefault="00063FEA" w:rsidP="00063FEA">
      <w:pPr>
        <w:pStyle w:val="ListParagraph"/>
        <w:numPr>
          <w:ilvl w:val="0"/>
          <w:numId w:val="5"/>
        </w:numPr>
        <w:ind w:left="567" w:hanging="567"/>
        <w:contextualSpacing w:val="0"/>
        <w:jc w:val="both"/>
        <w:rPr>
          <w:rFonts w:ascii="Arial" w:hAnsi="Arial" w:cs="Arial"/>
          <w:sz w:val="22"/>
          <w:szCs w:val="22"/>
        </w:rPr>
      </w:pPr>
      <w:r w:rsidRPr="000D6BDD">
        <w:rPr>
          <w:rFonts w:ascii="Arial" w:hAnsi="Arial" w:cs="Arial"/>
          <w:sz w:val="22"/>
          <w:szCs w:val="22"/>
        </w:rPr>
        <w:t>Jakákoliv zpětná platba podle této Smlouvy je sjednána jako konečná.</w:t>
      </w:r>
    </w:p>
    <w:p w14:paraId="245C7039" w14:textId="77777777" w:rsidR="00063FEA" w:rsidRPr="000D6BDD" w:rsidRDefault="00063FEA" w:rsidP="00063FEA">
      <w:pPr>
        <w:jc w:val="both"/>
        <w:rPr>
          <w:rFonts w:ascii="Arial" w:hAnsi="Arial" w:cs="Arial"/>
          <w:sz w:val="22"/>
          <w:szCs w:val="22"/>
        </w:rPr>
      </w:pPr>
    </w:p>
    <w:p w14:paraId="0949FD9F" w14:textId="77777777" w:rsidR="00063FEA" w:rsidRPr="000D6BDD" w:rsidRDefault="00063FEA" w:rsidP="00063FEA">
      <w:pPr>
        <w:pStyle w:val="ListParagraph"/>
        <w:numPr>
          <w:ilvl w:val="0"/>
          <w:numId w:val="5"/>
        </w:numPr>
        <w:ind w:left="567" w:hanging="567"/>
        <w:contextualSpacing w:val="0"/>
        <w:jc w:val="both"/>
        <w:rPr>
          <w:rFonts w:ascii="Arial" w:hAnsi="Arial" w:cs="Arial"/>
          <w:sz w:val="22"/>
          <w:szCs w:val="22"/>
        </w:rPr>
      </w:pPr>
      <w:r w:rsidRPr="000D6BDD">
        <w:rPr>
          <w:rFonts w:ascii="Arial" w:hAnsi="Arial" w:cs="Arial"/>
          <w:sz w:val="22"/>
          <w:szCs w:val="22"/>
        </w:rPr>
        <w:t>Zpětná platba bude poskytnuta na účet Pojišťovny, jehož bankovní spojení bude uvedeno v záhlaví této smlouvy.</w:t>
      </w:r>
    </w:p>
    <w:p w14:paraId="7693839A" w14:textId="77777777" w:rsidR="00063FEA" w:rsidRPr="000D6BDD" w:rsidRDefault="00063FEA" w:rsidP="00063FEA">
      <w:pPr>
        <w:pStyle w:val="ListParagraph"/>
        <w:rPr>
          <w:rFonts w:ascii="Arial" w:hAnsi="Arial" w:cs="Arial"/>
          <w:sz w:val="22"/>
          <w:szCs w:val="22"/>
        </w:rPr>
      </w:pPr>
    </w:p>
    <w:p w14:paraId="142CB467" w14:textId="77777777" w:rsidR="00063FEA" w:rsidRPr="000D6BDD" w:rsidRDefault="00063FEA" w:rsidP="00063FEA">
      <w:pPr>
        <w:pStyle w:val="ListParagraph"/>
        <w:rPr>
          <w:rFonts w:ascii="Arial" w:hAnsi="Arial" w:cs="Arial"/>
          <w:sz w:val="22"/>
          <w:szCs w:val="22"/>
        </w:rPr>
      </w:pPr>
    </w:p>
    <w:p w14:paraId="1211A29F" w14:textId="77777777" w:rsidR="00063FEA" w:rsidRPr="000D6BDD" w:rsidRDefault="00063FEA" w:rsidP="00063FEA">
      <w:pPr>
        <w:pStyle w:val="ListParagraph"/>
        <w:numPr>
          <w:ilvl w:val="0"/>
          <w:numId w:val="5"/>
        </w:numPr>
        <w:ind w:left="567" w:hanging="567"/>
        <w:contextualSpacing w:val="0"/>
        <w:jc w:val="both"/>
        <w:rPr>
          <w:rFonts w:ascii="Arial" w:hAnsi="Arial" w:cs="Arial"/>
          <w:sz w:val="22"/>
          <w:szCs w:val="22"/>
        </w:rPr>
      </w:pPr>
      <w:r w:rsidRPr="000D6BDD">
        <w:rPr>
          <w:rFonts w:ascii="Arial" w:hAnsi="Arial" w:cs="Arial"/>
          <w:sz w:val="22"/>
          <w:szCs w:val="22"/>
        </w:rPr>
        <w:t xml:space="preserve">Držitel se zavazuje informovat Pojišťovnu v případě, kdy došlo ke změně rozhodnutí o registraci nebo k převodu registrace Přípravku. Pokud se změnou registrace nebo převodem registrace došlo i ke změně, která může mít přímý vliv na dohodnutou zpětnou platbu, zejména jde-li o změnu ve velikosti balení, obsahu léčivé látky, cesty podání, nebo lékové formy </w:t>
      </w:r>
      <w:r>
        <w:rPr>
          <w:rFonts w:ascii="Arial" w:hAnsi="Arial" w:cs="Arial"/>
          <w:sz w:val="22"/>
          <w:szCs w:val="22"/>
        </w:rPr>
        <w:t>Přípravku</w:t>
      </w:r>
      <w:r w:rsidRPr="000D6BDD">
        <w:rPr>
          <w:rFonts w:ascii="Arial" w:hAnsi="Arial" w:cs="Arial"/>
          <w:sz w:val="22"/>
          <w:szCs w:val="22"/>
        </w:rPr>
        <w:t xml:space="preserve">, strany písemným dodatkem v souladu s čl. </w:t>
      </w:r>
      <w:r>
        <w:rPr>
          <w:rFonts w:ascii="Arial" w:hAnsi="Arial" w:cs="Arial"/>
          <w:sz w:val="22"/>
          <w:szCs w:val="22"/>
        </w:rPr>
        <w:t>IX</w:t>
      </w:r>
      <w:r w:rsidRPr="000D6BDD">
        <w:rPr>
          <w:rFonts w:ascii="Arial" w:hAnsi="Arial" w:cs="Arial"/>
          <w:sz w:val="22"/>
          <w:szCs w:val="22"/>
        </w:rPr>
        <w:t>. Smlouvu upraví.</w:t>
      </w:r>
    </w:p>
    <w:p w14:paraId="49986103" w14:textId="77777777" w:rsidR="00063FEA" w:rsidRPr="000D6BDD" w:rsidRDefault="00063FEA" w:rsidP="00063FEA">
      <w:pPr>
        <w:jc w:val="both"/>
        <w:rPr>
          <w:rFonts w:ascii="Arial" w:hAnsi="Arial" w:cs="Arial"/>
          <w:sz w:val="22"/>
          <w:szCs w:val="22"/>
        </w:rPr>
      </w:pPr>
    </w:p>
    <w:p w14:paraId="75CE9338" w14:textId="77777777" w:rsidR="00063FEA" w:rsidRPr="000D6BDD" w:rsidRDefault="00063FEA" w:rsidP="00063FEA">
      <w:pPr>
        <w:jc w:val="both"/>
        <w:rPr>
          <w:rFonts w:ascii="Arial" w:hAnsi="Arial" w:cs="Arial"/>
          <w:sz w:val="22"/>
          <w:szCs w:val="22"/>
        </w:rPr>
      </w:pPr>
    </w:p>
    <w:p w14:paraId="10F2B119" w14:textId="77777777" w:rsidR="00063FEA" w:rsidRPr="000D6BDD" w:rsidRDefault="00063FEA" w:rsidP="00063FEA">
      <w:pPr>
        <w:jc w:val="both"/>
        <w:rPr>
          <w:rFonts w:ascii="Arial" w:hAnsi="Arial" w:cs="Arial"/>
          <w:sz w:val="22"/>
          <w:szCs w:val="22"/>
        </w:rPr>
      </w:pPr>
    </w:p>
    <w:p w14:paraId="4980D955" w14:textId="77777777" w:rsidR="00063FEA" w:rsidRPr="000D6BDD" w:rsidRDefault="00063FEA" w:rsidP="00063FEA">
      <w:pPr>
        <w:pStyle w:val="Stylpravidel"/>
        <w:tabs>
          <w:tab w:val="left" w:pos="381"/>
        </w:tabs>
        <w:spacing w:before="120" w:line="240" w:lineRule="auto"/>
        <w:ind w:left="3"/>
        <w:jc w:val="center"/>
        <w:rPr>
          <w:rFonts w:ascii="Arial" w:hAnsi="Arial" w:cs="Arial"/>
          <w:b/>
          <w:sz w:val="22"/>
          <w:szCs w:val="22"/>
          <w:shd w:val="clear" w:color="auto" w:fill="FFFF00"/>
        </w:rPr>
      </w:pPr>
      <w:r w:rsidRPr="000D6BDD">
        <w:rPr>
          <w:rFonts w:ascii="Arial" w:hAnsi="Arial" w:cs="Arial"/>
          <w:b/>
          <w:sz w:val="22"/>
          <w:szCs w:val="22"/>
        </w:rPr>
        <w:t>Článek IV.</w:t>
      </w:r>
    </w:p>
    <w:p w14:paraId="6F1E7621" w14:textId="77777777" w:rsidR="00063FEA" w:rsidRPr="000D6BDD" w:rsidRDefault="00063FEA" w:rsidP="00063FEA">
      <w:pPr>
        <w:pStyle w:val="Stylpravidel"/>
        <w:tabs>
          <w:tab w:val="left" w:pos="381"/>
        </w:tabs>
        <w:spacing w:before="0" w:line="240" w:lineRule="auto"/>
        <w:ind w:left="3"/>
        <w:jc w:val="center"/>
        <w:rPr>
          <w:rFonts w:ascii="Arial" w:hAnsi="Arial" w:cs="Arial"/>
          <w:b/>
          <w:sz w:val="22"/>
          <w:szCs w:val="22"/>
        </w:rPr>
      </w:pPr>
      <w:r w:rsidRPr="000D6BDD">
        <w:rPr>
          <w:rFonts w:ascii="Arial" w:hAnsi="Arial" w:cs="Arial"/>
          <w:b/>
          <w:sz w:val="22"/>
          <w:szCs w:val="22"/>
        </w:rPr>
        <w:t>Kontrola</w:t>
      </w:r>
    </w:p>
    <w:p w14:paraId="7EA6D189" w14:textId="77777777" w:rsidR="00063FEA" w:rsidRPr="000D6BDD" w:rsidRDefault="00063FEA" w:rsidP="00063FEA">
      <w:pPr>
        <w:pStyle w:val="ListParagraph"/>
        <w:numPr>
          <w:ilvl w:val="0"/>
          <w:numId w:val="12"/>
        </w:numPr>
        <w:spacing w:before="120"/>
        <w:ind w:left="567" w:hanging="567"/>
        <w:jc w:val="both"/>
        <w:rPr>
          <w:rFonts w:ascii="Arial" w:hAnsi="Arial" w:cs="Arial"/>
          <w:sz w:val="22"/>
          <w:szCs w:val="22"/>
        </w:rPr>
      </w:pPr>
      <w:r w:rsidRPr="000D6BDD">
        <w:rPr>
          <w:rFonts w:ascii="Arial" w:hAnsi="Arial" w:cs="Arial"/>
          <w:sz w:val="22"/>
          <w:szCs w:val="22"/>
        </w:rPr>
        <w:t>Na základě písemné žádosti Pojišťovny umožní Držitel nahlédnout pověřeným pracovníkům Pojišťovny do dokladů, které se vztahují k plnění předmětu této Smlouvy. Těmito doklady se pro účely této Smlouvy rozumí faktury a dodací listy prokazující účtované ceny.</w:t>
      </w:r>
    </w:p>
    <w:p w14:paraId="60C17738" w14:textId="77777777" w:rsidR="00063FEA" w:rsidRPr="001735D9" w:rsidRDefault="00063FEA" w:rsidP="00063FEA">
      <w:pPr>
        <w:pStyle w:val="ListParagraph"/>
        <w:ind w:left="1843"/>
        <w:contextualSpacing w:val="0"/>
        <w:jc w:val="both"/>
        <w:rPr>
          <w:rFonts w:ascii="Arial" w:hAnsi="Arial" w:cs="Arial"/>
          <w:sz w:val="22"/>
          <w:szCs w:val="22"/>
        </w:rPr>
      </w:pPr>
    </w:p>
    <w:p w14:paraId="79078252" w14:textId="77777777" w:rsidR="00063FEA" w:rsidRPr="001735D9" w:rsidRDefault="00063FEA" w:rsidP="00063FEA">
      <w:pPr>
        <w:pStyle w:val="ListParagraph"/>
        <w:ind w:left="567"/>
        <w:contextualSpacing w:val="0"/>
        <w:jc w:val="both"/>
        <w:rPr>
          <w:rFonts w:ascii="Arial" w:hAnsi="Arial" w:cs="Arial"/>
          <w:sz w:val="22"/>
          <w:szCs w:val="22"/>
        </w:rPr>
      </w:pPr>
    </w:p>
    <w:p w14:paraId="301F81F8" w14:textId="77777777" w:rsidR="00063FEA" w:rsidRPr="001735D9" w:rsidRDefault="00063FEA" w:rsidP="00063FEA">
      <w:pPr>
        <w:pStyle w:val="ListParagraph"/>
        <w:rPr>
          <w:rFonts w:ascii="Arial" w:hAnsi="Arial" w:cs="Arial"/>
          <w:sz w:val="22"/>
          <w:szCs w:val="22"/>
        </w:rPr>
      </w:pPr>
    </w:p>
    <w:p w14:paraId="43C9DC70" w14:textId="77777777" w:rsidR="00063FEA" w:rsidRPr="001735D9" w:rsidRDefault="00063FEA" w:rsidP="00063FEA">
      <w:pPr>
        <w:jc w:val="center"/>
        <w:rPr>
          <w:rFonts w:ascii="Arial" w:hAnsi="Arial" w:cs="Arial"/>
          <w:b/>
          <w:sz w:val="22"/>
          <w:szCs w:val="22"/>
        </w:rPr>
      </w:pPr>
      <w:r>
        <w:rPr>
          <w:rFonts w:ascii="Arial" w:hAnsi="Arial" w:cs="Arial"/>
          <w:b/>
          <w:sz w:val="22"/>
          <w:szCs w:val="22"/>
        </w:rPr>
        <w:t>Č</w:t>
      </w:r>
      <w:r w:rsidRPr="001735D9">
        <w:rPr>
          <w:rFonts w:ascii="Arial" w:hAnsi="Arial" w:cs="Arial"/>
          <w:b/>
          <w:sz w:val="22"/>
          <w:szCs w:val="22"/>
        </w:rPr>
        <w:t xml:space="preserve">lánek V. </w:t>
      </w:r>
    </w:p>
    <w:p w14:paraId="321A8A42" w14:textId="77777777" w:rsidR="00063FEA" w:rsidRPr="001735D9" w:rsidRDefault="00063FEA" w:rsidP="00063FEA">
      <w:pPr>
        <w:jc w:val="center"/>
        <w:rPr>
          <w:rFonts w:ascii="Arial" w:hAnsi="Arial" w:cs="Arial"/>
          <w:b/>
          <w:sz w:val="22"/>
          <w:szCs w:val="22"/>
        </w:rPr>
      </w:pPr>
      <w:r w:rsidRPr="001735D9">
        <w:rPr>
          <w:rFonts w:ascii="Arial" w:hAnsi="Arial" w:cs="Arial"/>
          <w:b/>
          <w:sz w:val="22"/>
          <w:szCs w:val="22"/>
        </w:rPr>
        <w:t>Povinnost mlčenlivosti</w:t>
      </w:r>
    </w:p>
    <w:p w14:paraId="3F36CA16" w14:textId="77777777" w:rsidR="00063FEA" w:rsidRPr="001735D9" w:rsidRDefault="00063FEA" w:rsidP="00063FEA">
      <w:pPr>
        <w:jc w:val="center"/>
        <w:rPr>
          <w:rFonts w:ascii="Arial" w:hAnsi="Arial" w:cs="Arial"/>
          <w:b/>
          <w:sz w:val="22"/>
          <w:szCs w:val="22"/>
        </w:rPr>
      </w:pPr>
    </w:p>
    <w:p w14:paraId="33F38C1A" w14:textId="77777777" w:rsidR="00063FEA" w:rsidRPr="001735D9" w:rsidRDefault="00063FEA" w:rsidP="00063FEA">
      <w:pPr>
        <w:pStyle w:val="ListParagraph"/>
        <w:numPr>
          <w:ilvl w:val="0"/>
          <w:numId w:val="10"/>
        </w:numPr>
        <w:ind w:left="567" w:hanging="567"/>
        <w:jc w:val="both"/>
        <w:rPr>
          <w:rFonts w:ascii="Arial" w:hAnsi="Arial" w:cs="Arial"/>
          <w:sz w:val="22"/>
          <w:szCs w:val="22"/>
        </w:rPr>
      </w:pPr>
      <w:r w:rsidRPr="001735D9">
        <w:rPr>
          <w:rFonts w:ascii="Arial" w:hAnsi="Arial" w:cs="Arial"/>
          <w:sz w:val="22"/>
          <w:szCs w:val="22"/>
        </w:rPr>
        <w:t>Každá smluvní strana se zavazuje uchovávat veškeré informace týkající se druhé smluvní strany, jejich výrobků, služeb, fungování, bez ohledu na to, zda jsou označeny jako důvěrné či nikoliv, a bez ohledu na formu, kterou jsou sděleny, dále též jen „</w:t>
      </w:r>
      <w:r w:rsidRPr="001735D9">
        <w:rPr>
          <w:rFonts w:ascii="Arial" w:hAnsi="Arial" w:cs="Arial"/>
          <w:b/>
          <w:sz w:val="22"/>
          <w:szCs w:val="22"/>
        </w:rPr>
        <w:t>Důvěrné informace</w:t>
      </w:r>
      <w:r w:rsidRPr="001735D9">
        <w:rPr>
          <w:rFonts w:ascii="Arial" w:hAnsi="Arial" w:cs="Arial"/>
          <w:sz w:val="22"/>
          <w:szCs w:val="22"/>
        </w:rPr>
        <w:t xml:space="preserve">“, v přísné tajnosti, nepoužít je pro žádné jiné účely než plnění této Smlouvy a nepředat je ani je nezpřístupnit žádné třetí osobě. </w:t>
      </w:r>
    </w:p>
    <w:p w14:paraId="2152A0AE" w14:textId="77777777" w:rsidR="00063FEA" w:rsidRPr="001735D9" w:rsidRDefault="00063FEA" w:rsidP="00063FEA">
      <w:pPr>
        <w:pStyle w:val="ListParagraph"/>
        <w:rPr>
          <w:rFonts w:ascii="Arial" w:hAnsi="Arial" w:cs="Arial"/>
          <w:sz w:val="22"/>
          <w:szCs w:val="22"/>
        </w:rPr>
      </w:pPr>
    </w:p>
    <w:p w14:paraId="79EB07E0" w14:textId="77777777" w:rsidR="00063FEA" w:rsidRPr="001735D9" w:rsidRDefault="00063FEA" w:rsidP="00063FEA">
      <w:pPr>
        <w:pStyle w:val="ListParagraph"/>
        <w:numPr>
          <w:ilvl w:val="0"/>
          <w:numId w:val="10"/>
        </w:numPr>
        <w:ind w:left="567" w:hanging="567"/>
        <w:jc w:val="both"/>
        <w:rPr>
          <w:rFonts w:ascii="Arial" w:hAnsi="Arial" w:cs="Arial"/>
          <w:sz w:val="22"/>
          <w:szCs w:val="22"/>
        </w:rPr>
      </w:pPr>
      <w:r w:rsidRPr="001735D9">
        <w:rPr>
          <w:rFonts w:ascii="Arial" w:hAnsi="Arial" w:cs="Arial"/>
          <w:sz w:val="22"/>
          <w:szCs w:val="22"/>
        </w:rPr>
        <w:t>Ustanovení odst. 1 se nevztahuje na Důvěrné informace, jestliže Přijímající strana doloží, že:</w:t>
      </w:r>
    </w:p>
    <w:p w14:paraId="489A2651" w14:textId="77777777" w:rsidR="00063FEA" w:rsidRPr="001735D9" w:rsidRDefault="00063FEA" w:rsidP="00063FEA">
      <w:pPr>
        <w:pStyle w:val="ListParagraph"/>
        <w:numPr>
          <w:ilvl w:val="1"/>
          <w:numId w:val="10"/>
        </w:numPr>
        <w:jc w:val="both"/>
        <w:rPr>
          <w:rFonts w:ascii="Arial" w:hAnsi="Arial" w:cs="Arial"/>
          <w:sz w:val="22"/>
          <w:szCs w:val="22"/>
        </w:rPr>
      </w:pPr>
      <w:r w:rsidRPr="001735D9">
        <w:rPr>
          <w:rFonts w:ascii="Arial" w:hAnsi="Arial" w:cs="Arial"/>
          <w:sz w:val="22"/>
          <w:szCs w:val="22"/>
        </w:rPr>
        <w:t>Důvěrná informace je nebo se stala veřejně známou jinak než porušením této Smlouvy;</w:t>
      </w:r>
    </w:p>
    <w:p w14:paraId="5CBCDAB3" w14:textId="77777777" w:rsidR="00063FEA" w:rsidRPr="001735D9" w:rsidRDefault="00063FEA" w:rsidP="00063FEA">
      <w:pPr>
        <w:pStyle w:val="ListParagraph"/>
        <w:numPr>
          <w:ilvl w:val="1"/>
          <w:numId w:val="10"/>
        </w:numPr>
        <w:jc w:val="both"/>
        <w:rPr>
          <w:rFonts w:ascii="Arial" w:hAnsi="Arial" w:cs="Arial"/>
          <w:sz w:val="22"/>
          <w:szCs w:val="22"/>
        </w:rPr>
      </w:pPr>
      <w:r w:rsidRPr="001735D9">
        <w:rPr>
          <w:rFonts w:ascii="Arial" w:hAnsi="Arial" w:cs="Arial"/>
          <w:sz w:val="22"/>
          <w:szCs w:val="22"/>
        </w:rPr>
        <w:t>Přijímající strana prokazatelně disponovala Důvěrnou informací dříve, než ji obdržela od Sdělující strany;</w:t>
      </w:r>
    </w:p>
    <w:p w14:paraId="541EE6BC" w14:textId="77777777" w:rsidR="00063FEA" w:rsidRPr="001735D9" w:rsidRDefault="00063FEA" w:rsidP="00063FEA">
      <w:pPr>
        <w:pStyle w:val="ListParagraph"/>
        <w:numPr>
          <w:ilvl w:val="1"/>
          <w:numId w:val="10"/>
        </w:numPr>
        <w:jc w:val="both"/>
        <w:rPr>
          <w:rFonts w:ascii="Arial" w:hAnsi="Arial" w:cs="Arial"/>
          <w:sz w:val="22"/>
          <w:szCs w:val="22"/>
        </w:rPr>
      </w:pPr>
      <w:r w:rsidRPr="001735D9">
        <w:rPr>
          <w:rFonts w:ascii="Arial" w:hAnsi="Arial" w:cs="Arial"/>
          <w:sz w:val="22"/>
          <w:szCs w:val="22"/>
        </w:rPr>
        <w:t>Přijímající strana prokazatelně získala Důvěrnou informaci od třetí strany nevázané povinností mlčenlivosti;</w:t>
      </w:r>
    </w:p>
    <w:p w14:paraId="40868EBE" w14:textId="77777777" w:rsidR="00063FEA" w:rsidRPr="001735D9" w:rsidRDefault="00063FEA" w:rsidP="00063FEA">
      <w:pPr>
        <w:pStyle w:val="ListParagraph"/>
        <w:numPr>
          <w:ilvl w:val="1"/>
          <w:numId w:val="10"/>
        </w:numPr>
        <w:jc w:val="both"/>
        <w:rPr>
          <w:rFonts w:ascii="Arial" w:hAnsi="Arial" w:cs="Arial"/>
          <w:sz w:val="22"/>
          <w:szCs w:val="22"/>
        </w:rPr>
      </w:pPr>
      <w:r w:rsidRPr="001735D9">
        <w:rPr>
          <w:rFonts w:ascii="Arial" w:hAnsi="Arial" w:cs="Arial"/>
          <w:sz w:val="22"/>
          <w:szCs w:val="22"/>
        </w:rPr>
        <w:t xml:space="preserve">Poskytnutí Důvěrné informace je povinné dle platného práva a/nebo vykonatelného rozhodnutí soudu či jiného orgánu </w:t>
      </w:r>
    </w:p>
    <w:p w14:paraId="051EDDB4" w14:textId="77777777" w:rsidR="00063FEA" w:rsidRPr="001735D9" w:rsidRDefault="00063FEA" w:rsidP="00063FEA">
      <w:pPr>
        <w:pStyle w:val="ListParagraph"/>
        <w:numPr>
          <w:ilvl w:val="1"/>
          <w:numId w:val="10"/>
        </w:numPr>
        <w:jc w:val="both"/>
        <w:rPr>
          <w:rFonts w:ascii="Arial" w:hAnsi="Arial" w:cs="Arial"/>
          <w:sz w:val="22"/>
          <w:szCs w:val="22"/>
        </w:rPr>
      </w:pPr>
      <w:r w:rsidRPr="001735D9">
        <w:rPr>
          <w:rFonts w:ascii="Arial" w:hAnsi="Arial" w:cs="Arial"/>
          <w:sz w:val="22"/>
          <w:szCs w:val="22"/>
        </w:rPr>
        <w:t>Důvěrnou informaci vytvořila vlastní činností Přijímající strana, aniž by přitom použila jiné Důvěrné informace.</w:t>
      </w:r>
    </w:p>
    <w:p w14:paraId="0C2BEB3B" w14:textId="77777777" w:rsidR="00063FEA" w:rsidRPr="001735D9" w:rsidRDefault="00063FEA" w:rsidP="00063FEA">
      <w:pPr>
        <w:pStyle w:val="ListParagraph"/>
        <w:ind w:left="1440"/>
        <w:jc w:val="both"/>
        <w:rPr>
          <w:rFonts w:ascii="Arial" w:hAnsi="Arial" w:cs="Arial"/>
          <w:sz w:val="22"/>
          <w:szCs w:val="22"/>
        </w:rPr>
      </w:pPr>
    </w:p>
    <w:p w14:paraId="0BEBE9B0" w14:textId="77777777" w:rsidR="00063FEA" w:rsidRPr="0079750A" w:rsidRDefault="00063FEA" w:rsidP="00063FEA">
      <w:pPr>
        <w:pStyle w:val="ListParagraph"/>
        <w:numPr>
          <w:ilvl w:val="0"/>
          <w:numId w:val="10"/>
        </w:numPr>
        <w:ind w:left="567" w:hanging="567"/>
        <w:jc w:val="both"/>
        <w:rPr>
          <w:rFonts w:ascii="Arial" w:hAnsi="Arial" w:cs="Arial"/>
          <w:sz w:val="22"/>
          <w:szCs w:val="22"/>
        </w:rPr>
      </w:pPr>
      <w:r w:rsidRPr="0079750A">
        <w:rPr>
          <w:rFonts w:ascii="Arial" w:hAnsi="Arial" w:cs="Arial"/>
          <w:sz w:val="22"/>
          <w:szCs w:val="22"/>
        </w:rPr>
        <w:t>Ustanovení odst. 2 písm. d. nebude představovat porušení odst. 1 pouze tehdy, pokud jedna strana podle tohoto ustanovení Důvěrnou informaci musí poskytnout, jestliže bude druhá strana o nutnosti takového poskytnutí informována okamžitě, jak je to možné, pokud možno před poskytnutím, jestliže poskytnutí je omezeno striktně na požadované informace a jestliže strana povinná informace poskytnout současně poskytne plnou součinnost k úplnému zabránění poskytnutí Důvěrných informací nebo alespoň omezení jejich poskytnutí na nejmenší nutnou míru.</w:t>
      </w:r>
    </w:p>
    <w:p w14:paraId="7470C1B4" w14:textId="77777777" w:rsidR="00063FEA" w:rsidRPr="001735D9" w:rsidRDefault="00063FEA" w:rsidP="00063FEA">
      <w:pPr>
        <w:jc w:val="both"/>
        <w:rPr>
          <w:rFonts w:ascii="Arial" w:hAnsi="Arial" w:cs="Arial"/>
          <w:sz w:val="22"/>
          <w:szCs w:val="22"/>
        </w:rPr>
      </w:pPr>
    </w:p>
    <w:p w14:paraId="24C3FC25" w14:textId="77777777" w:rsidR="00063FEA" w:rsidRDefault="00063FEA" w:rsidP="00063FEA">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0DACE4B2" w14:textId="77777777" w:rsidR="00063FEA" w:rsidRPr="001735D9" w:rsidRDefault="00063FEA" w:rsidP="00063FEA">
      <w:pPr>
        <w:overflowPunct/>
        <w:autoSpaceDE/>
        <w:autoSpaceDN/>
        <w:adjustRightInd/>
        <w:jc w:val="center"/>
        <w:textAlignment w:val="auto"/>
        <w:rPr>
          <w:rFonts w:ascii="Arial" w:hAnsi="Arial" w:cs="Arial"/>
          <w:b/>
          <w:sz w:val="22"/>
          <w:szCs w:val="22"/>
        </w:rPr>
      </w:pPr>
      <w:r w:rsidRPr="001735D9">
        <w:rPr>
          <w:rFonts w:ascii="Arial" w:hAnsi="Arial" w:cs="Arial"/>
          <w:b/>
          <w:sz w:val="22"/>
          <w:szCs w:val="22"/>
        </w:rPr>
        <w:lastRenderedPageBreak/>
        <w:t>Článek VI.</w:t>
      </w:r>
    </w:p>
    <w:p w14:paraId="3CCE3E8E" w14:textId="77777777" w:rsidR="00063FEA" w:rsidRPr="001735D9" w:rsidRDefault="00063FEA" w:rsidP="00063FEA">
      <w:pPr>
        <w:pStyle w:val="Stylpravidel"/>
        <w:spacing w:before="0" w:line="240" w:lineRule="auto"/>
        <w:jc w:val="center"/>
        <w:rPr>
          <w:rFonts w:ascii="Arial" w:hAnsi="Arial" w:cs="Arial"/>
          <w:b/>
          <w:sz w:val="22"/>
          <w:szCs w:val="22"/>
        </w:rPr>
      </w:pPr>
      <w:r w:rsidRPr="001735D9">
        <w:rPr>
          <w:rFonts w:ascii="Arial" w:hAnsi="Arial" w:cs="Arial"/>
          <w:b/>
          <w:sz w:val="22"/>
          <w:szCs w:val="22"/>
        </w:rPr>
        <w:t>Doba trvání smlouvy, způsoby a důvody ukončení smlouvy</w:t>
      </w:r>
    </w:p>
    <w:p w14:paraId="4F42A8C6" w14:textId="77777777" w:rsidR="00063FEA" w:rsidRPr="001735D9" w:rsidRDefault="00063FEA" w:rsidP="00063FEA">
      <w:pPr>
        <w:pStyle w:val="Stylpravidel"/>
        <w:spacing w:before="0" w:line="240" w:lineRule="auto"/>
        <w:jc w:val="center"/>
        <w:rPr>
          <w:rFonts w:ascii="Arial" w:hAnsi="Arial" w:cs="Arial"/>
          <w:b/>
          <w:sz w:val="22"/>
          <w:szCs w:val="22"/>
        </w:rPr>
      </w:pPr>
    </w:p>
    <w:p w14:paraId="4B518FF1" w14:textId="77777777" w:rsidR="00063FEA" w:rsidRPr="001735D9" w:rsidRDefault="00063FEA" w:rsidP="00063FEA">
      <w:pPr>
        <w:pStyle w:val="ListParagraph"/>
        <w:numPr>
          <w:ilvl w:val="0"/>
          <w:numId w:val="11"/>
        </w:numPr>
        <w:overflowPunct/>
        <w:autoSpaceDE/>
        <w:autoSpaceDN/>
        <w:adjustRightInd/>
        <w:ind w:left="567" w:hanging="567"/>
        <w:jc w:val="both"/>
        <w:textAlignment w:val="auto"/>
        <w:rPr>
          <w:rFonts w:ascii="Arial" w:hAnsi="Arial" w:cs="Arial"/>
          <w:color w:val="1F497D"/>
        </w:rPr>
      </w:pPr>
      <w:r w:rsidRPr="001735D9">
        <w:rPr>
          <w:rFonts w:ascii="Arial" w:hAnsi="Arial" w:cs="Arial"/>
          <w:sz w:val="22"/>
          <w:szCs w:val="22"/>
        </w:rPr>
        <w:t xml:space="preserve">Tato Smlouva se uzavírá na dobu určitou do </w:t>
      </w:r>
      <w:r>
        <w:rPr>
          <w:rFonts w:ascii="Arial" w:hAnsi="Arial" w:cs="Arial"/>
          <w:sz w:val="22"/>
          <w:szCs w:val="22"/>
        </w:rPr>
        <w:t xml:space="preserve">31. prosince </w:t>
      </w:r>
      <w:r w:rsidRPr="001735D9">
        <w:rPr>
          <w:rFonts w:ascii="Arial" w:hAnsi="Arial" w:cs="Arial"/>
          <w:sz w:val="22"/>
          <w:szCs w:val="22"/>
        </w:rPr>
        <w:t xml:space="preserve">2015. Tato Smlouva nabývá platnosti dnem podpisu poslední smluvní stranou. Smluvní strany souhlasí, že tato Smlouva upravuje jejich vzájemné vztahy od okamžiku své platnosti do budoucna po celé své trvání. Současně </w:t>
      </w:r>
      <w:r>
        <w:rPr>
          <w:rFonts w:ascii="Arial" w:hAnsi="Arial" w:cs="Arial"/>
          <w:sz w:val="22"/>
          <w:szCs w:val="22"/>
        </w:rPr>
        <w:t>smluvní s</w:t>
      </w:r>
      <w:r w:rsidRPr="001735D9">
        <w:rPr>
          <w:rFonts w:ascii="Arial" w:hAnsi="Arial" w:cs="Arial"/>
          <w:sz w:val="22"/>
          <w:szCs w:val="22"/>
        </w:rPr>
        <w:t xml:space="preserve">trany souhlasí, že principy spolupráce popsané v této Smlouvě mají být na základě jejich shodné vůle aplikovány již na období od 1. února 2014. </w:t>
      </w:r>
    </w:p>
    <w:p w14:paraId="130BEC7E" w14:textId="77777777" w:rsidR="00063FEA" w:rsidRPr="001735D9" w:rsidRDefault="00063FEA" w:rsidP="00063FEA">
      <w:pPr>
        <w:ind w:left="567"/>
        <w:jc w:val="both"/>
        <w:rPr>
          <w:rFonts w:ascii="Arial" w:hAnsi="Arial" w:cs="Arial"/>
          <w:sz w:val="22"/>
          <w:szCs w:val="22"/>
        </w:rPr>
      </w:pPr>
    </w:p>
    <w:p w14:paraId="4B7C4C61" w14:textId="77777777" w:rsidR="00063FEA" w:rsidRPr="001735D9" w:rsidRDefault="00063FEA" w:rsidP="00063FEA">
      <w:pPr>
        <w:pStyle w:val="ListParagraph"/>
        <w:numPr>
          <w:ilvl w:val="0"/>
          <w:numId w:val="11"/>
        </w:numPr>
        <w:ind w:left="567" w:hanging="567"/>
        <w:jc w:val="both"/>
        <w:rPr>
          <w:rFonts w:ascii="Arial" w:hAnsi="Arial" w:cs="Arial"/>
          <w:sz w:val="22"/>
          <w:szCs w:val="22"/>
        </w:rPr>
      </w:pPr>
      <w:r w:rsidRPr="003F3B34">
        <w:rPr>
          <w:rFonts w:ascii="Arial" w:hAnsi="Arial" w:cs="Arial"/>
          <w:sz w:val="22"/>
          <w:szCs w:val="22"/>
        </w:rPr>
        <w:t>Před uplynutím lhůty podle odst. 1. tuto Smlouvu mohou smluvní strany vypovědět i bez uvedení důvodu, výpovědní lhůta činí 1 měsíc a počne běžet prvním dnem kalendářního měsíce následujícího po doručení písemné výpovědi druhé smluvní straně.</w:t>
      </w:r>
      <w:r>
        <w:rPr>
          <w:rFonts w:ascii="Arial" w:hAnsi="Arial" w:cs="Arial"/>
          <w:sz w:val="22"/>
          <w:szCs w:val="22"/>
        </w:rPr>
        <w:t xml:space="preserve"> Před uplynutím lhůty podle odst. 1 tato Smlouva dále zaniká vykonatelností Rozhodnutí </w:t>
      </w:r>
      <w:r w:rsidRPr="001735D9">
        <w:rPr>
          <w:rFonts w:ascii="Arial" w:hAnsi="Arial" w:cs="Arial"/>
          <w:sz w:val="22"/>
          <w:szCs w:val="22"/>
        </w:rPr>
        <w:t>Státního ústavu pro kontrolu léčiv</w:t>
      </w:r>
      <w:r>
        <w:rPr>
          <w:rFonts w:ascii="Arial" w:hAnsi="Arial" w:cs="Arial"/>
          <w:sz w:val="22"/>
          <w:szCs w:val="22"/>
        </w:rPr>
        <w:t xml:space="preserve">, kterým dojde ke změně výše nebo podmínek úhrady Přípravku nebo jeho maximální ceny a vykonatelností rozhodnutí </w:t>
      </w:r>
      <w:r w:rsidRPr="001735D9">
        <w:rPr>
          <w:rFonts w:ascii="Arial" w:hAnsi="Arial" w:cs="Arial"/>
          <w:sz w:val="22"/>
          <w:szCs w:val="22"/>
        </w:rPr>
        <w:t>Státního ústavu pro kontrolu léčiv</w:t>
      </w:r>
      <w:r>
        <w:rPr>
          <w:rFonts w:ascii="Arial" w:hAnsi="Arial" w:cs="Arial"/>
          <w:sz w:val="22"/>
          <w:szCs w:val="22"/>
        </w:rPr>
        <w:t xml:space="preserve">, kterým dojde ke změně výše nebo podmínek úhrady Referenční skupiny, ledaže se strany výslovně dohodnou jinak. </w:t>
      </w:r>
    </w:p>
    <w:p w14:paraId="7A8AFE53" w14:textId="77777777" w:rsidR="00063FEA" w:rsidRPr="001735D9" w:rsidRDefault="00063FEA" w:rsidP="00063FEA">
      <w:pPr>
        <w:pStyle w:val="ListParagraph"/>
        <w:rPr>
          <w:rFonts w:ascii="Arial" w:hAnsi="Arial" w:cs="Arial"/>
          <w:sz w:val="22"/>
          <w:szCs w:val="22"/>
        </w:rPr>
      </w:pPr>
    </w:p>
    <w:p w14:paraId="414BB53B" w14:textId="77777777" w:rsidR="00063FEA" w:rsidRPr="001735D9" w:rsidRDefault="00063FEA" w:rsidP="00063FEA">
      <w:pPr>
        <w:pStyle w:val="ListParagraph"/>
        <w:numPr>
          <w:ilvl w:val="0"/>
          <w:numId w:val="11"/>
        </w:numPr>
        <w:ind w:left="574" w:hanging="570"/>
        <w:jc w:val="both"/>
        <w:rPr>
          <w:rFonts w:ascii="Arial" w:hAnsi="Arial" w:cs="Arial"/>
          <w:sz w:val="22"/>
          <w:szCs w:val="22"/>
        </w:rPr>
      </w:pPr>
      <w:r w:rsidRPr="001735D9">
        <w:rPr>
          <w:rFonts w:ascii="Arial" w:hAnsi="Arial" w:cs="Arial"/>
          <w:sz w:val="22"/>
          <w:szCs w:val="22"/>
        </w:rPr>
        <w:t>Pokud bude kterékoliv ustanovení této Smlouvy prohlášeno příslušným správním nebo soudním orgánem za neplatné, neúčinné nebo nevykonatelné, zavazují se smluvní strany nahradit takové ustanovení novým ustanovením, které bude obsahově co nejbližší ustanovení, které bylo prohlášeno za neplatné, neúčinné nebo nevykonatelné. Pokud však za neplatné nebo neúčinné bude prohlášeno ustanovení, ze kterého vyplývá právo Pojišťovny přijmout zpětnou platbu nebo povinnost Držitele poskytnout zpětnou platbu, nejpozději dnem právní moci takového prohlášení tato Smlouva zaniká.</w:t>
      </w:r>
    </w:p>
    <w:p w14:paraId="107474AC" w14:textId="77777777" w:rsidR="00063FEA" w:rsidRPr="001735D9" w:rsidRDefault="00063FEA" w:rsidP="00063FEA">
      <w:pPr>
        <w:spacing w:before="120"/>
        <w:jc w:val="center"/>
        <w:rPr>
          <w:rFonts w:ascii="Arial" w:hAnsi="Arial" w:cs="Arial"/>
          <w:b/>
          <w:sz w:val="24"/>
        </w:rPr>
      </w:pPr>
    </w:p>
    <w:p w14:paraId="5EACB4F6" w14:textId="77777777" w:rsidR="00063FEA" w:rsidRPr="001735D9" w:rsidRDefault="00063FEA" w:rsidP="00063FEA">
      <w:pPr>
        <w:pStyle w:val="NoSpacing"/>
        <w:jc w:val="center"/>
        <w:rPr>
          <w:rFonts w:ascii="Arial" w:hAnsi="Arial" w:cs="Arial"/>
          <w:b/>
          <w:sz w:val="24"/>
          <w:szCs w:val="24"/>
        </w:rPr>
      </w:pPr>
      <w:r w:rsidRPr="001735D9">
        <w:rPr>
          <w:rFonts w:ascii="Arial" w:hAnsi="Arial" w:cs="Arial"/>
          <w:b/>
          <w:sz w:val="24"/>
          <w:szCs w:val="24"/>
        </w:rPr>
        <w:t>Článek VI</w:t>
      </w:r>
      <w:r>
        <w:rPr>
          <w:rFonts w:ascii="Arial" w:hAnsi="Arial" w:cs="Arial"/>
          <w:b/>
          <w:sz w:val="24"/>
          <w:szCs w:val="24"/>
        </w:rPr>
        <w:t>I</w:t>
      </w:r>
      <w:r w:rsidRPr="001735D9">
        <w:rPr>
          <w:rFonts w:ascii="Arial" w:hAnsi="Arial" w:cs="Arial"/>
          <w:b/>
          <w:sz w:val="24"/>
          <w:szCs w:val="24"/>
        </w:rPr>
        <w:t>.</w:t>
      </w:r>
    </w:p>
    <w:p w14:paraId="22A73057" w14:textId="77777777" w:rsidR="00063FEA" w:rsidRPr="001735D9" w:rsidRDefault="00063FEA" w:rsidP="00063FEA">
      <w:pPr>
        <w:pStyle w:val="NoSpacing"/>
        <w:jc w:val="center"/>
        <w:rPr>
          <w:rFonts w:ascii="Arial" w:hAnsi="Arial" w:cs="Arial"/>
          <w:b/>
          <w:sz w:val="24"/>
          <w:szCs w:val="24"/>
        </w:rPr>
      </w:pPr>
      <w:r w:rsidRPr="001735D9">
        <w:rPr>
          <w:rFonts w:ascii="Arial" w:hAnsi="Arial" w:cs="Arial"/>
          <w:b/>
          <w:sz w:val="24"/>
          <w:szCs w:val="24"/>
        </w:rPr>
        <w:t>Sankční ujednání</w:t>
      </w:r>
    </w:p>
    <w:p w14:paraId="02F62D76" w14:textId="77777777" w:rsidR="00063FEA" w:rsidRPr="001735D9" w:rsidRDefault="00063FEA" w:rsidP="00063FEA">
      <w:pPr>
        <w:pStyle w:val="Stylpravidel"/>
        <w:numPr>
          <w:ilvl w:val="0"/>
          <w:numId w:val="7"/>
        </w:numPr>
        <w:spacing w:before="120" w:line="276" w:lineRule="auto"/>
        <w:rPr>
          <w:rFonts w:ascii="Arial" w:hAnsi="Arial" w:cs="Arial"/>
          <w:sz w:val="22"/>
          <w:szCs w:val="22"/>
        </w:rPr>
      </w:pPr>
      <w:r w:rsidRPr="001735D9">
        <w:rPr>
          <w:rFonts w:ascii="Arial" w:hAnsi="Arial" w:cs="Arial"/>
          <w:sz w:val="22"/>
          <w:szCs w:val="22"/>
        </w:rPr>
        <w:t>Smluvní strany se dohodly, že:</w:t>
      </w:r>
    </w:p>
    <w:p w14:paraId="393AAFA8" w14:textId="2BFD01CE" w:rsidR="00063FEA" w:rsidRPr="00FA1BD5" w:rsidRDefault="00063FEA" w:rsidP="00642579">
      <w:pPr>
        <w:pStyle w:val="ListParagraph"/>
        <w:numPr>
          <w:ilvl w:val="1"/>
          <w:numId w:val="7"/>
        </w:numPr>
        <w:jc w:val="both"/>
        <w:rPr>
          <w:rFonts w:ascii="Arial" w:hAnsi="Arial" w:cs="Arial"/>
          <w:sz w:val="22"/>
          <w:szCs w:val="22"/>
          <w:lang w:eastAsia="ar-SA"/>
        </w:rPr>
      </w:pPr>
      <w:r w:rsidRPr="00FA1BD5">
        <w:rPr>
          <w:rFonts w:ascii="Arial" w:hAnsi="Arial" w:cs="Arial"/>
          <w:sz w:val="22"/>
          <w:szCs w:val="22"/>
          <w:lang w:eastAsia="ar-SA"/>
        </w:rPr>
        <w:t>Za porušení závazku uvedeného v článku V. je smluvní strana, která závazek porušila, povinna zaplatit druhé smluvní straně smluvní pokutu ve výši 50.000,- Kč (slovy: padesát tisíc korun českých). Ujednáním o smluvní pokutě ani</w:t>
      </w:r>
      <w:r w:rsidR="00642579">
        <w:rPr>
          <w:rFonts w:ascii="Arial" w:hAnsi="Arial" w:cs="Arial"/>
          <w:sz w:val="22"/>
          <w:szCs w:val="22"/>
          <w:lang w:eastAsia="ar-SA"/>
        </w:rPr>
        <w:t xml:space="preserve"> </w:t>
      </w:r>
      <w:r w:rsidRPr="00FA1BD5">
        <w:rPr>
          <w:rFonts w:ascii="Arial" w:hAnsi="Arial" w:cs="Arial"/>
          <w:sz w:val="22"/>
          <w:szCs w:val="22"/>
          <w:lang w:eastAsia="ar-SA"/>
        </w:rPr>
        <w:t xml:space="preserve">zaplacením smluvní pokuty není dotčeno právo druhé smluvní strany na náhradu škody.  </w:t>
      </w:r>
    </w:p>
    <w:p w14:paraId="1B7184D2" w14:textId="77777777" w:rsidR="00063FEA" w:rsidRDefault="00063FEA" w:rsidP="00063FEA">
      <w:pPr>
        <w:pStyle w:val="ListParagraph"/>
        <w:numPr>
          <w:ilvl w:val="1"/>
          <w:numId w:val="7"/>
        </w:numPr>
        <w:spacing w:before="120" w:line="276" w:lineRule="auto"/>
        <w:jc w:val="both"/>
        <w:rPr>
          <w:rFonts w:ascii="Arial" w:hAnsi="Arial" w:cs="Arial"/>
          <w:sz w:val="22"/>
          <w:szCs w:val="22"/>
          <w:lang w:eastAsia="ar-SA"/>
        </w:rPr>
      </w:pPr>
      <w:r>
        <w:rPr>
          <w:rFonts w:ascii="Arial" w:hAnsi="Arial" w:cs="Arial"/>
          <w:sz w:val="22"/>
          <w:szCs w:val="22"/>
          <w:lang w:eastAsia="ar-SA"/>
        </w:rPr>
        <w:t>Pokud s</w:t>
      </w:r>
      <w:r w:rsidRPr="001735D9">
        <w:rPr>
          <w:rFonts w:ascii="Arial" w:hAnsi="Arial" w:cs="Arial"/>
          <w:sz w:val="22"/>
          <w:szCs w:val="22"/>
          <w:lang w:eastAsia="ar-SA"/>
        </w:rPr>
        <w:t>e</w:t>
      </w:r>
      <w:r>
        <w:rPr>
          <w:rFonts w:ascii="Arial" w:hAnsi="Arial" w:cs="Arial"/>
          <w:sz w:val="22"/>
          <w:szCs w:val="22"/>
          <w:lang w:eastAsia="ar-SA"/>
        </w:rPr>
        <w:t xml:space="preserve"> </w:t>
      </w:r>
      <w:r w:rsidRPr="001735D9">
        <w:rPr>
          <w:rFonts w:ascii="Arial" w:hAnsi="Arial" w:cs="Arial"/>
          <w:sz w:val="22"/>
          <w:szCs w:val="22"/>
          <w:lang w:eastAsia="ar-SA"/>
        </w:rPr>
        <w:t xml:space="preserve">Držitel ocitne v prodlení s poskytnutím celkové výše zpětné platby po dobu delší než 15 dní, je Pojišťovna oprávněna požadovat zaplacení smluvní pokuty ve výši </w:t>
      </w:r>
      <w:r>
        <w:rPr>
          <w:rFonts w:ascii="Arial" w:hAnsi="Arial" w:cs="Arial"/>
          <w:sz w:val="22"/>
          <w:szCs w:val="22"/>
          <w:lang w:eastAsia="ar-SA"/>
        </w:rPr>
        <w:t xml:space="preserve">50 000 </w:t>
      </w:r>
      <w:r w:rsidRPr="001735D9">
        <w:rPr>
          <w:rFonts w:ascii="Arial" w:hAnsi="Arial" w:cs="Arial"/>
          <w:sz w:val="22"/>
          <w:szCs w:val="22"/>
          <w:lang w:eastAsia="ar-SA"/>
        </w:rPr>
        <w:t>Kč</w:t>
      </w:r>
      <w:r>
        <w:rPr>
          <w:rFonts w:ascii="Arial" w:hAnsi="Arial" w:cs="Arial"/>
          <w:sz w:val="22"/>
          <w:szCs w:val="22"/>
          <w:lang w:eastAsia="ar-SA"/>
        </w:rPr>
        <w:t>, a to jednorázově za každé jednotlivý případ prodlení</w:t>
      </w:r>
      <w:r w:rsidRPr="001735D9">
        <w:rPr>
          <w:rFonts w:ascii="Arial" w:hAnsi="Arial" w:cs="Arial"/>
          <w:sz w:val="22"/>
          <w:szCs w:val="22"/>
          <w:lang w:eastAsia="ar-SA"/>
        </w:rPr>
        <w:t xml:space="preserve">. </w:t>
      </w:r>
    </w:p>
    <w:p w14:paraId="6D012D06" w14:textId="77777777" w:rsidR="00063FEA" w:rsidRPr="008073EA" w:rsidRDefault="00063FEA" w:rsidP="00063FEA">
      <w:pPr>
        <w:pStyle w:val="ListParagraph"/>
        <w:spacing w:before="120" w:line="276" w:lineRule="auto"/>
        <w:ind w:left="1080"/>
        <w:rPr>
          <w:rFonts w:ascii="Arial" w:hAnsi="Arial" w:cs="Arial"/>
          <w:b/>
          <w:sz w:val="24"/>
        </w:rPr>
      </w:pPr>
    </w:p>
    <w:p w14:paraId="61293CFC" w14:textId="77777777" w:rsidR="00063FEA" w:rsidRDefault="00063FEA" w:rsidP="00063FEA">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0615687E" w14:textId="77777777" w:rsidR="00063FEA" w:rsidRPr="000D6BDD" w:rsidRDefault="00063FEA" w:rsidP="00063FEA">
      <w:pPr>
        <w:spacing w:before="120"/>
        <w:jc w:val="center"/>
        <w:rPr>
          <w:rFonts w:ascii="Arial" w:hAnsi="Arial" w:cs="Arial"/>
          <w:b/>
          <w:sz w:val="22"/>
          <w:szCs w:val="22"/>
        </w:rPr>
      </w:pPr>
      <w:r w:rsidRPr="000D6BDD">
        <w:rPr>
          <w:rFonts w:ascii="Arial" w:hAnsi="Arial" w:cs="Arial"/>
          <w:b/>
          <w:sz w:val="22"/>
          <w:szCs w:val="22"/>
        </w:rPr>
        <w:lastRenderedPageBreak/>
        <w:t>Článek VI</w:t>
      </w:r>
      <w:r>
        <w:rPr>
          <w:rFonts w:ascii="Arial" w:hAnsi="Arial" w:cs="Arial"/>
          <w:b/>
          <w:sz w:val="22"/>
          <w:szCs w:val="22"/>
        </w:rPr>
        <w:t>I</w:t>
      </w:r>
      <w:r w:rsidRPr="000D6BDD">
        <w:rPr>
          <w:rFonts w:ascii="Arial" w:hAnsi="Arial" w:cs="Arial"/>
          <w:b/>
          <w:sz w:val="22"/>
          <w:szCs w:val="22"/>
        </w:rPr>
        <w:t>I.</w:t>
      </w:r>
    </w:p>
    <w:p w14:paraId="7E564E2F" w14:textId="77777777" w:rsidR="00063FEA" w:rsidRPr="000D6BDD" w:rsidRDefault="00063FEA" w:rsidP="00063FEA">
      <w:pPr>
        <w:jc w:val="center"/>
        <w:rPr>
          <w:rFonts w:ascii="Arial" w:hAnsi="Arial" w:cs="Arial"/>
          <w:b/>
          <w:sz w:val="22"/>
          <w:szCs w:val="22"/>
        </w:rPr>
      </w:pPr>
      <w:r w:rsidRPr="000D6BDD">
        <w:rPr>
          <w:rFonts w:ascii="Arial" w:hAnsi="Arial" w:cs="Arial"/>
          <w:b/>
          <w:sz w:val="22"/>
          <w:szCs w:val="22"/>
        </w:rPr>
        <w:t>Podpisy smluvních stran</w:t>
      </w:r>
    </w:p>
    <w:p w14:paraId="50026BEA" w14:textId="77777777" w:rsidR="00063FEA" w:rsidRPr="000D6BDD" w:rsidRDefault="00063FEA" w:rsidP="00063FEA">
      <w:pPr>
        <w:numPr>
          <w:ilvl w:val="0"/>
          <w:numId w:val="2"/>
        </w:numPr>
        <w:spacing w:before="120"/>
        <w:ind w:left="284" w:hanging="284"/>
        <w:jc w:val="both"/>
        <w:rPr>
          <w:rFonts w:ascii="Arial" w:hAnsi="Arial" w:cs="Arial"/>
          <w:sz w:val="22"/>
          <w:szCs w:val="22"/>
        </w:rPr>
      </w:pPr>
      <w:r w:rsidRPr="000D6BDD">
        <w:rPr>
          <w:rFonts w:ascii="Arial" w:hAnsi="Arial" w:cs="Arial"/>
          <w:sz w:val="22"/>
          <w:szCs w:val="22"/>
        </w:rPr>
        <w:t>Smluvní strany prokázaly svoji právní subjektivitu takto:</w:t>
      </w:r>
    </w:p>
    <w:p w14:paraId="07F2E02E" w14:textId="09F1752A" w:rsidR="00063FEA" w:rsidRPr="000D6BDD" w:rsidRDefault="00063FEA" w:rsidP="00063FEA">
      <w:pPr>
        <w:numPr>
          <w:ilvl w:val="0"/>
          <w:numId w:val="3"/>
        </w:numPr>
        <w:spacing w:before="120"/>
        <w:ind w:left="658" w:hanging="336"/>
        <w:jc w:val="both"/>
        <w:rPr>
          <w:rFonts w:ascii="Arial" w:hAnsi="Arial" w:cs="Arial"/>
          <w:sz w:val="22"/>
          <w:szCs w:val="22"/>
        </w:rPr>
      </w:pPr>
      <w:r w:rsidRPr="000D6BDD">
        <w:rPr>
          <w:rFonts w:ascii="Arial" w:hAnsi="Arial" w:cs="Arial"/>
          <w:sz w:val="22"/>
          <w:szCs w:val="22"/>
        </w:rPr>
        <w:t xml:space="preserve">Pojišťovna platným výpisem z obchodního rejstříku vedeného u </w:t>
      </w:r>
      <w:r w:rsidR="00D73A23">
        <w:rPr>
          <w:rFonts w:ascii="Arial" w:hAnsi="Arial" w:cs="Arial"/>
          <w:sz w:val="22"/>
          <w:szCs w:val="22"/>
        </w:rPr>
        <w:t>K</w:t>
      </w:r>
      <w:r w:rsidR="001D610C">
        <w:rPr>
          <w:rFonts w:ascii="Arial" w:hAnsi="Arial" w:cs="Arial"/>
          <w:sz w:val="22"/>
          <w:szCs w:val="22"/>
        </w:rPr>
        <w:t>rajské</w:t>
      </w:r>
      <w:r w:rsidR="00D73A23">
        <w:rPr>
          <w:rFonts w:ascii="Arial" w:hAnsi="Arial" w:cs="Arial"/>
          <w:sz w:val="22"/>
          <w:szCs w:val="22"/>
        </w:rPr>
        <w:t>ho soudu v Ostravě, oddíl AXIV, vložka 545</w:t>
      </w:r>
    </w:p>
    <w:p w14:paraId="0B8EF4F8" w14:textId="77777777" w:rsidR="00063FEA" w:rsidRPr="000D6BDD" w:rsidRDefault="00063FEA" w:rsidP="00063FEA">
      <w:pPr>
        <w:spacing w:before="120"/>
        <w:ind w:left="658" w:hanging="336"/>
        <w:jc w:val="both"/>
        <w:rPr>
          <w:rFonts w:ascii="Arial" w:hAnsi="Arial" w:cs="Arial"/>
          <w:sz w:val="22"/>
          <w:szCs w:val="22"/>
        </w:rPr>
      </w:pPr>
    </w:p>
    <w:p w14:paraId="065880AD" w14:textId="77777777" w:rsidR="00063FEA" w:rsidRPr="000D6BDD" w:rsidRDefault="00063FEA" w:rsidP="00063FEA">
      <w:pPr>
        <w:numPr>
          <w:ilvl w:val="0"/>
          <w:numId w:val="3"/>
        </w:numPr>
        <w:ind w:left="658" w:hanging="336"/>
        <w:jc w:val="both"/>
        <w:rPr>
          <w:rFonts w:ascii="Arial" w:hAnsi="Arial" w:cs="Arial"/>
          <w:sz w:val="22"/>
          <w:szCs w:val="22"/>
        </w:rPr>
      </w:pPr>
      <w:r w:rsidRPr="000D6BDD">
        <w:rPr>
          <w:rFonts w:ascii="Arial" w:hAnsi="Arial" w:cs="Arial"/>
          <w:sz w:val="22"/>
          <w:szCs w:val="22"/>
        </w:rPr>
        <w:t>Držitel – platným výpisem zmocněnce z veřejného rejstříku, vedeného u Městského soudu v Praze, kde je zapsán v oddíle C, vložka 114396 a plnou mocí.</w:t>
      </w:r>
    </w:p>
    <w:p w14:paraId="0C4D1144" w14:textId="77777777" w:rsidR="00063FEA" w:rsidRPr="000D6BDD" w:rsidRDefault="00063FEA" w:rsidP="00063FEA">
      <w:pPr>
        <w:ind w:left="658" w:hanging="336"/>
        <w:jc w:val="both"/>
        <w:rPr>
          <w:rFonts w:ascii="Arial" w:hAnsi="Arial" w:cs="Arial"/>
          <w:sz w:val="22"/>
          <w:szCs w:val="22"/>
        </w:rPr>
      </w:pPr>
    </w:p>
    <w:p w14:paraId="12E26A04" w14:textId="77777777" w:rsidR="00D73A23" w:rsidRPr="00D73A23" w:rsidRDefault="00063FEA" w:rsidP="00D73A23">
      <w:pPr>
        <w:pStyle w:val="ListParagraph"/>
        <w:numPr>
          <w:ilvl w:val="0"/>
          <w:numId w:val="7"/>
        </w:numPr>
        <w:jc w:val="both"/>
        <w:rPr>
          <w:rFonts w:ascii="Arial" w:hAnsi="Arial" w:cs="Arial"/>
          <w:sz w:val="22"/>
          <w:szCs w:val="22"/>
        </w:rPr>
      </w:pPr>
      <w:r w:rsidRPr="00D73A23">
        <w:rPr>
          <w:rFonts w:ascii="Arial" w:hAnsi="Arial" w:cs="Arial"/>
          <w:sz w:val="22"/>
          <w:szCs w:val="22"/>
        </w:rPr>
        <w:t>Za Pojišťovnu jsou zmocněni k jednání ve věci plnění této Smlouvy:</w:t>
      </w:r>
    </w:p>
    <w:p w14:paraId="7B6EC2DA" w14:textId="1C94C8A7" w:rsidR="00D73A23" w:rsidRPr="00BE5C56" w:rsidRDefault="00D73A23" w:rsidP="00D73A23">
      <w:pPr>
        <w:ind w:firstLine="350"/>
        <w:jc w:val="both"/>
        <w:rPr>
          <w:rFonts w:ascii="Arial" w:hAnsi="Arial" w:cs="Arial"/>
          <w:b/>
          <w:sz w:val="22"/>
          <w:szCs w:val="22"/>
        </w:rPr>
      </w:pPr>
      <w:proofErr w:type="spellStart"/>
      <w:r w:rsidRPr="00BE5C56">
        <w:rPr>
          <w:rFonts w:ascii="Arial" w:hAnsi="Arial" w:cs="Arial"/>
          <w:sz w:val="22"/>
          <w:szCs w:val="22"/>
          <w:highlight w:val="black"/>
        </w:rPr>
        <w:t>xxxxxxxxxxxxxxxx</w:t>
      </w:r>
      <w:proofErr w:type="spellEnd"/>
    </w:p>
    <w:p w14:paraId="179F4DA7" w14:textId="77777777" w:rsidR="00063FEA" w:rsidRPr="000D6BDD" w:rsidRDefault="00063FEA" w:rsidP="00063FEA">
      <w:pPr>
        <w:ind w:left="658" w:hanging="336"/>
        <w:jc w:val="both"/>
        <w:rPr>
          <w:rFonts w:ascii="Arial" w:hAnsi="Arial" w:cs="Arial"/>
          <w:sz w:val="22"/>
          <w:szCs w:val="22"/>
        </w:rPr>
      </w:pPr>
    </w:p>
    <w:p w14:paraId="5572C161" w14:textId="77777777" w:rsidR="00063FEA" w:rsidRPr="00D73A23" w:rsidRDefault="00063FEA" w:rsidP="00D73A23">
      <w:pPr>
        <w:ind w:left="284"/>
        <w:jc w:val="both"/>
        <w:rPr>
          <w:rFonts w:ascii="Arial" w:hAnsi="Arial" w:cs="Arial"/>
          <w:sz w:val="22"/>
          <w:szCs w:val="22"/>
        </w:rPr>
      </w:pPr>
      <w:r w:rsidRPr="00D73A23">
        <w:rPr>
          <w:rFonts w:ascii="Arial" w:hAnsi="Arial" w:cs="Arial"/>
          <w:sz w:val="22"/>
          <w:szCs w:val="22"/>
        </w:rPr>
        <w:t>Za Držitele jsou zmocněni k jednání ve věci plnění této Smlouvy:</w:t>
      </w:r>
    </w:p>
    <w:p w14:paraId="55031D26" w14:textId="6F49B2CD" w:rsidR="00063FEA" w:rsidRPr="00BE5C56" w:rsidRDefault="0080006D" w:rsidP="00BE5C56">
      <w:pPr>
        <w:ind w:firstLine="350"/>
        <w:jc w:val="both"/>
        <w:rPr>
          <w:rFonts w:ascii="Arial" w:hAnsi="Arial" w:cs="Arial"/>
          <w:b/>
          <w:sz w:val="22"/>
          <w:szCs w:val="22"/>
        </w:rPr>
      </w:pPr>
      <w:proofErr w:type="spellStart"/>
      <w:r w:rsidRPr="00BE5C56">
        <w:rPr>
          <w:rFonts w:ascii="Arial" w:hAnsi="Arial" w:cs="Arial"/>
          <w:sz w:val="22"/>
          <w:szCs w:val="22"/>
          <w:highlight w:val="black"/>
        </w:rPr>
        <w:t>xxxxxxxxxxxxxxxx</w:t>
      </w:r>
      <w:proofErr w:type="spellEnd"/>
    </w:p>
    <w:p w14:paraId="738229D8" w14:textId="77777777" w:rsidR="00063FEA" w:rsidRPr="000D6BDD" w:rsidRDefault="00063FEA" w:rsidP="00063FEA">
      <w:pPr>
        <w:spacing w:before="240"/>
        <w:jc w:val="center"/>
        <w:rPr>
          <w:rFonts w:ascii="Arial" w:hAnsi="Arial" w:cs="Arial"/>
          <w:b/>
          <w:sz w:val="22"/>
          <w:szCs w:val="22"/>
        </w:rPr>
      </w:pPr>
      <w:r w:rsidRPr="000D6BDD">
        <w:rPr>
          <w:rFonts w:ascii="Arial" w:hAnsi="Arial" w:cs="Arial"/>
          <w:b/>
          <w:sz w:val="22"/>
          <w:szCs w:val="22"/>
        </w:rPr>
        <w:t>Článek IX.</w:t>
      </w:r>
    </w:p>
    <w:p w14:paraId="638C4B03" w14:textId="77777777" w:rsidR="00063FEA" w:rsidRPr="000D6BDD" w:rsidRDefault="00063FEA" w:rsidP="00063FEA">
      <w:pPr>
        <w:jc w:val="center"/>
        <w:rPr>
          <w:rFonts w:ascii="Arial" w:hAnsi="Arial" w:cs="Arial"/>
          <w:b/>
          <w:sz w:val="22"/>
          <w:szCs w:val="22"/>
        </w:rPr>
      </w:pPr>
      <w:r w:rsidRPr="000D6BDD">
        <w:rPr>
          <w:rFonts w:ascii="Arial" w:hAnsi="Arial" w:cs="Arial"/>
          <w:b/>
          <w:sz w:val="22"/>
          <w:szCs w:val="22"/>
        </w:rPr>
        <w:t>Závěrečná ustanovení</w:t>
      </w:r>
    </w:p>
    <w:p w14:paraId="1826A28F" w14:textId="77777777" w:rsidR="00063FEA" w:rsidRPr="000D6BDD" w:rsidRDefault="00063FEA" w:rsidP="00063FEA">
      <w:pPr>
        <w:numPr>
          <w:ilvl w:val="0"/>
          <w:numId w:val="6"/>
        </w:numPr>
        <w:tabs>
          <w:tab w:val="left" w:pos="0"/>
        </w:tabs>
        <w:spacing w:before="120"/>
        <w:jc w:val="both"/>
        <w:rPr>
          <w:rFonts w:ascii="Arial" w:hAnsi="Arial" w:cs="Arial"/>
          <w:sz w:val="22"/>
          <w:szCs w:val="22"/>
        </w:rPr>
      </w:pPr>
      <w:r w:rsidRPr="000D6BDD">
        <w:rPr>
          <w:rFonts w:ascii="Arial" w:hAnsi="Arial" w:cs="Arial"/>
          <w:sz w:val="22"/>
          <w:szCs w:val="22"/>
        </w:rPr>
        <w:t>Právní vztahy mezi smluvními stranami ve věcech neupravených právními předpisy upravujícími veřejné zdravotní pojištění a poskytování zdravotních služeb touto Smlouvou, se řídí zákonem č. 89/2012 Sb., občanský zákoník a dalšími příslušnými právními předpisy.</w:t>
      </w:r>
      <w:r w:rsidRPr="00F1024F">
        <w:rPr>
          <w:rFonts w:ascii="Arial" w:hAnsi="Arial" w:cs="Arial"/>
          <w:sz w:val="22"/>
          <w:szCs w:val="22"/>
        </w:rPr>
        <w:t xml:space="preserve"> </w:t>
      </w:r>
      <w:r>
        <w:rPr>
          <w:rFonts w:ascii="Arial" w:hAnsi="Arial" w:cs="Arial"/>
          <w:sz w:val="22"/>
          <w:szCs w:val="22"/>
        </w:rPr>
        <w:t>Případné spory vyplývající ze spolupráce stran budou rozhodovány výhradně českými soudy podle českého práva, nedohodnou-li se strany ad hoc písemně jinak.</w:t>
      </w:r>
    </w:p>
    <w:p w14:paraId="1D371414" w14:textId="77777777" w:rsidR="00063FEA" w:rsidRPr="000D6BDD" w:rsidRDefault="00063FEA" w:rsidP="00063FEA">
      <w:pPr>
        <w:numPr>
          <w:ilvl w:val="0"/>
          <w:numId w:val="6"/>
        </w:numPr>
        <w:spacing w:before="120"/>
        <w:jc w:val="both"/>
        <w:rPr>
          <w:rFonts w:ascii="Arial" w:hAnsi="Arial" w:cs="Arial"/>
          <w:sz w:val="22"/>
          <w:szCs w:val="22"/>
        </w:rPr>
      </w:pPr>
      <w:r w:rsidRPr="000D6BDD">
        <w:rPr>
          <w:rFonts w:ascii="Arial" w:hAnsi="Arial" w:cs="Arial"/>
          <w:sz w:val="22"/>
          <w:szCs w:val="22"/>
        </w:rPr>
        <w:t>Tato Smlouva může být měněna nebo doplňována pouze formou písemného smluvního dodatku odsouhlaseného a podepsaného oběma smluvními stranami.</w:t>
      </w:r>
    </w:p>
    <w:p w14:paraId="650A0BB8" w14:textId="77777777" w:rsidR="00063FEA" w:rsidRDefault="00063FEA" w:rsidP="00063FEA">
      <w:pPr>
        <w:numPr>
          <w:ilvl w:val="0"/>
          <w:numId w:val="6"/>
        </w:numPr>
        <w:spacing w:before="120"/>
        <w:jc w:val="both"/>
        <w:rPr>
          <w:rFonts w:ascii="Arial" w:hAnsi="Arial" w:cs="Arial"/>
          <w:sz w:val="22"/>
          <w:szCs w:val="22"/>
        </w:rPr>
      </w:pPr>
      <w:r w:rsidRPr="00BE23C8">
        <w:rPr>
          <w:rFonts w:ascii="Arial" w:hAnsi="Arial" w:cs="Arial"/>
          <w:sz w:val="22"/>
          <w:szCs w:val="22"/>
        </w:rPr>
        <w:t xml:space="preserve">Tato Smlouva je vyhotovena ve čtyřech stejnopisech včetně </w:t>
      </w:r>
      <w:r>
        <w:rPr>
          <w:rFonts w:ascii="Arial" w:hAnsi="Arial" w:cs="Arial"/>
          <w:sz w:val="22"/>
          <w:szCs w:val="22"/>
        </w:rPr>
        <w:t>P</w:t>
      </w:r>
      <w:r w:rsidRPr="00BE23C8">
        <w:rPr>
          <w:rFonts w:ascii="Arial" w:hAnsi="Arial" w:cs="Arial"/>
          <w:sz w:val="22"/>
          <w:szCs w:val="22"/>
        </w:rPr>
        <w:t>řílohy č. 1, která je její nedílnou součástí. Každá ze smluvních stran obdrží po dvou stejnopisech této Smlouvy.</w:t>
      </w:r>
    </w:p>
    <w:p w14:paraId="4D70847C" w14:textId="77777777" w:rsidR="00063FEA" w:rsidRPr="00BE23C8" w:rsidRDefault="00063FEA" w:rsidP="00063FEA">
      <w:pPr>
        <w:numPr>
          <w:ilvl w:val="0"/>
          <w:numId w:val="6"/>
        </w:numPr>
        <w:spacing w:before="120"/>
        <w:jc w:val="both"/>
        <w:rPr>
          <w:rFonts w:ascii="Arial" w:hAnsi="Arial" w:cs="Arial"/>
          <w:sz w:val="22"/>
          <w:szCs w:val="22"/>
        </w:rPr>
      </w:pPr>
      <w:r w:rsidRPr="00BE23C8">
        <w:rPr>
          <w:rFonts w:ascii="Arial" w:hAnsi="Arial" w:cs="Arial"/>
          <w:sz w:val="22"/>
          <w:szCs w:val="22"/>
        </w:rPr>
        <w:t>Smluvní strany si před podpisem tuto Smlouvu řádně přečetly a svůj souhlas s obsahem jednotlivých ustanovení této Smlouvy stvrzují svým podpisem.</w:t>
      </w:r>
    </w:p>
    <w:p w14:paraId="70975F70" w14:textId="77777777" w:rsidR="00063FEA" w:rsidRPr="000D6BDD" w:rsidRDefault="00063FEA" w:rsidP="00063FEA">
      <w:pPr>
        <w:numPr>
          <w:ilvl w:val="0"/>
          <w:numId w:val="6"/>
        </w:numPr>
        <w:tabs>
          <w:tab w:val="left" w:pos="0"/>
        </w:tabs>
        <w:spacing w:before="120"/>
        <w:jc w:val="both"/>
        <w:rPr>
          <w:rFonts w:ascii="Arial" w:hAnsi="Arial" w:cs="Arial"/>
          <w:sz w:val="22"/>
          <w:szCs w:val="22"/>
        </w:rPr>
      </w:pPr>
      <w:r w:rsidRPr="000D6BDD">
        <w:rPr>
          <w:rFonts w:ascii="Arial" w:hAnsi="Arial" w:cs="Arial"/>
          <w:sz w:val="22"/>
          <w:szCs w:val="22"/>
        </w:rPr>
        <w:t>Smluvní strany souhlasí, že jako Příloha č. 1 je k této Smlouvě připojen přehled počtu Pojištěnců Pojišťovny, kteří se účastnili Klinického hodnocení. Strany jsou si vědomy, že tento údaj je pouze orientační a může se v čase měnit s ohledem na možnost Pojištěnců změnit zdravotní pojišťovnu a s ohledem na možnou změnu zdravotního stavu Pojištěnců. O změně tohoto počtu Pojištěnců se budou Strany průběžně informovat.</w:t>
      </w:r>
    </w:p>
    <w:p w14:paraId="6668C122" w14:textId="77777777" w:rsidR="00063FEA" w:rsidRPr="001735D9" w:rsidRDefault="00063FEA" w:rsidP="00063FEA">
      <w:pPr>
        <w:tabs>
          <w:tab w:val="left" w:pos="5670"/>
        </w:tabs>
        <w:rPr>
          <w:rFonts w:ascii="Arial" w:hAnsi="Arial" w:cs="Arial"/>
          <w:sz w:val="24"/>
        </w:rPr>
      </w:pPr>
    </w:p>
    <w:p w14:paraId="5BC618C8" w14:textId="77777777" w:rsidR="00063FEA" w:rsidRPr="00D6394B" w:rsidRDefault="00063FEA" w:rsidP="00063FEA">
      <w:pPr>
        <w:tabs>
          <w:tab w:val="left" w:pos="5670"/>
        </w:tabs>
        <w:rPr>
          <w:rFonts w:ascii="Arial" w:hAnsi="Arial" w:cs="Arial"/>
          <w:sz w:val="22"/>
          <w:szCs w:val="22"/>
        </w:rPr>
      </w:pPr>
    </w:p>
    <w:p w14:paraId="59B18BEB" w14:textId="61224CFF" w:rsidR="00063FEA" w:rsidRPr="00D6394B" w:rsidRDefault="00063FEA" w:rsidP="00063FEA">
      <w:pPr>
        <w:tabs>
          <w:tab w:val="left" w:pos="5245"/>
        </w:tabs>
        <w:rPr>
          <w:rFonts w:ascii="Arial" w:hAnsi="Arial" w:cs="Arial"/>
          <w:sz w:val="22"/>
          <w:szCs w:val="22"/>
        </w:rPr>
      </w:pPr>
      <w:r w:rsidRPr="00D6394B">
        <w:rPr>
          <w:rFonts w:ascii="Arial" w:hAnsi="Arial" w:cs="Arial"/>
          <w:sz w:val="22"/>
          <w:szCs w:val="22"/>
        </w:rPr>
        <w:t xml:space="preserve">V </w:t>
      </w:r>
      <w:proofErr w:type="spellStart"/>
      <w:r w:rsidR="00E504E0">
        <w:rPr>
          <w:rFonts w:ascii="Arial" w:hAnsi="Arial" w:cs="Arial"/>
          <w:sz w:val="22"/>
          <w:szCs w:val="22"/>
        </w:rPr>
        <w:t>Ostravě</w:t>
      </w:r>
      <w:r w:rsidRPr="00D6394B">
        <w:rPr>
          <w:rFonts w:ascii="Arial" w:hAnsi="Arial" w:cs="Arial"/>
          <w:sz w:val="22"/>
          <w:szCs w:val="22"/>
        </w:rPr>
        <w:t>.dne</w:t>
      </w:r>
      <w:proofErr w:type="spellEnd"/>
      <w:r w:rsidRPr="00D6394B">
        <w:rPr>
          <w:rFonts w:ascii="Arial" w:hAnsi="Arial" w:cs="Arial"/>
          <w:sz w:val="22"/>
          <w:szCs w:val="22"/>
        </w:rPr>
        <w:t xml:space="preserve"> </w:t>
      </w:r>
      <w:r w:rsidR="00E504E0">
        <w:rPr>
          <w:rFonts w:ascii="Arial" w:hAnsi="Arial" w:cs="Arial"/>
          <w:sz w:val="22"/>
          <w:szCs w:val="22"/>
        </w:rPr>
        <w:t>24. 10. 2014</w:t>
      </w:r>
      <w:r w:rsidRPr="00D6394B">
        <w:rPr>
          <w:rFonts w:ascii="Arial" w:hAnsi="Arial" w:cs="Arial"/>
          <w:sz w:val="22"/>
          <w:szCs w:val="22"/>
        </w:rPr>
        <w:tab/>
        <w:t xml:space="preserve">V </w:t>
      </w:r>
      <w:r w:rsidR="00E504E0">
        <w:rPr>
          <w:rFonts w:ascii="Arial" w:hAnsi="Arial" w:cs="Arial"/>
          <w:sz w:val="22"/>
          <w:szCs w:val="22"/>
        </w:rPr>
        <w:t>Praze</w:t>
      </w:r>
      <w:r w:rsidRPr="00D6394B">
        <w:rPr>
          <w:rFonts w:ascii="Arial" w:hAnsi="Arial" w:cs="Arial"/>
          <w:sz w:val="22"/>
          <w:szCs w:val="22"/>
        </w:rPr>
        <w:t xml:space="preserve"> dne </w:t>
      </w:r>
      <w:r w:rsidR="00E504E0">
        <w:rPr>
          <w:rFonts w:ascii="Arial" w:hAnsi="Arial" w:cs="Arial"/>
          <w:sz w:val="22"/>
          <w:szCs w:val="22"/>
        </w:rPr>
        <w:t>6. 10. 2014</w:t>
      </w:r>
    </w:p>
    <w:p w14:paraId="0B51995B" w14:textId="77777777" w:rsidR="00063FEA" w:rsidRPr="00D6394B" w:rsidRDefault="00063FEA" w:rsidP="00063FEA">
      <w:pPr>
        <w:tabs>
          <w:tab w:val="left" w:pos="5245"/>
        </w:tabs>
        <w:rPr>
          <w:rFonts w:ascii="Arial" w:hAnsi="Arial" w:cs="Arial"/>
          <w:sz w:val="22"/>
          <w:szCs w:val="22"/>
        </w:rPr>
      </w:pPr>
    </w:p>
    <w:p w14:paraId="062916C2" w14:textId="77777777" w:rsidR="00CA0A78" w:rsidRPr="00826B59" w:rsidRDefault="00CA0A78" w:rsidP="00CA0A78">
      <w:pPr>
        <w:tabs>
          <w:tab w:val="left" w:pos="4253"/>
          <w:tab w:val="left" w:pos="5245"/>
        </w:tabs>
        <w:spacing w:line="276" w:lineRule="auto"/>
        <w:rPr>
          <w:rFonts w:ascii="Arial" w:hAnsi="Arial" w:cs="Arial"/>
          <w:sz w:val="22"/>
          <w:szCs w:val="22"/>
        </w:rPr>
      </w:pPr>
      <w:r w:rsidRPr="00826B59">
        <w:rPr>
          <w:rFonts w:ascii="Arial" w:hAnsi="Arial" w:cs="Arial"/>
          <w:sz w:val="22"/>
          <w:szCs w:val="22"/>
        </w:rPr>
        <w:t>Za Pojišťovnu:</w:t>
      </w:r>
      <w:r>
        <w:rPr>
          <w:rFonts w:ascii="Arial" w:hAnsi="Arial" w:cs="Arial"/>
          <w:sz w:val="22"/>
          <w:szCs w:val="22"/>
        </w:rPr>
        <w:tab/>
      </w:r>
      <w:r>
        <w:rPr>
          <w:rFonts w:ascii="Arial" w:hAnsi="Arial" w:cs="Arial"/>
          <w:sz w:val="22"/>
          <w:szCs w:val="22"/>
        </w:rPr>
        <w:tab/>
      </w:r>
      <w:r w:rsidRPr="00826B59">
        <w:rPr>
          <w:rFonts w:ascii="Arial" w:hAnsi="Arial" w:cs="Arial"/>
          <w:sz w:val="22"/>
          <w:szCs w:val="22"/>
        </w:rPr>
        <w:t>Za držitele:</w:t>
      </w:r>
    </w:p>
    <w:p w14:paraId="715AC30D" w14:textId="77777777" w:rsidR="00CA0A78" w:rsidRPr="00826B59" w:rsidRDefault="00CA0A78" w:rsidP="00CA0A78">
      <w:pPr>
        <w:tabs>
          <w:tab w:val="left" w:pos="4253"/>
          <w:tab w:val="left" w:pos="5245"/>
        </w:tabs>
        <w:spacing w:line="276" w:lineRule="auto"/>
        <w:rPr>
          <w:rFonts w:ascii="Arial" w:hAnsi="Arial" w:cs="Arial"/>
          <w:sz w:val="22"/>
          <w:szCs w:val="22"/>
        </w:rPr>
      </w:pPr>
    </w:p>
    <w:p w14:paraId="41F9BADD" w14:textId="77777777" w:rsidR="00CA0A78" w:rsidRDefault="00CA0A78" w:rsidP="00CA0A78">
      <w:pPr>
        <w:tabs>
          <w:tab w:val="left" w:pos="4253"/>
          <w:tab w:val="left" w:pos="5245"/>
        </w:tabs>
        <w:spacing w:line="276" w:lineRule="auto"/>
        <w:rPr>
          <w:rFonts w:ascii="Arial" w:hAnsi="Arial" w:cs="Arial"/>
          <w:sz w:val="22"/>
          <w:szCs w:val="22"/>
        </w:rPr>
      </w:pPr>
    </w:p>
    <w:p w14:paraId="248294EA" w14:textId="77777777" w:rsidR="00CA0A78" w:rsidRPr="00826B59" w:rsidRDefault="00CA0A78" w:rsidP="00CA0A78">
      <w:pPr>
        <w:tabs>
          <w:tab w:val="left" w:pos="4253"/>
          <w:tab w:val="left" w:pos="5245"/>
        </w:tabs>
        <w:spacing w:line="276" w:lineRule="auto"/>
        <w:rPr>
          <w:rFonts w:ascii="Arial" w:hAnsi="Arial" w:cs="Arial"/>
          <w:sz w:val="22"/>
          <w:szCs w:val="22"/>
        </w:rPr>
      </w:pPr>
      <w:r w:rsidRPr="00826B5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p>
    <w:p w14:paraId="4097ACAD" w14:textId="350DC586" w:rsidR="00CA0A78" w:rsidRPr="00826B59" w:rsidRDefault="00E504E0" w:rsidP="00CA0A78">
      <w:pPr>
        <w:tabs>
          <w:tab w:val="left" w:pos="4253"/>
          <w:tab w:val="left" w:pos="5245"/>
        </w:tabs>
        <w:spacing w:line="276" w:lineRule="auto"/>
        <w:rPr>
          <w:rFonts w:ascii="Arial" w:hAnsi="Arial" w:cs="Arial"/>
          <w:sz w:val="22"/>
          <w:szCs w:val="22"/>
        </w:rPr>
      </w:pPr>
      <w:r>
        <w:rPr>
          <w:rFonts w:ascii="Arial" w:hAnsi="Arial" w:cs="Arial"/>
          <w:b/>
          <w:sz w:val="22"/>
          <w:szCs w:val="22"/>
        </w:rPr>
        <w:t>JUDr. Petr Vaněk, Ph.D.</w:t>
      </w:r>
      <w:r w:rsidR="006B74EC">
        <w:rPr>
          <w:rFonts w:ascii="Arial" w:hAnsi="Arial" w:cs="Arial"/>
          <w:b/>
          <w:sz w:val="22"/>
          <w:szCs w:val="22"/>
        </w:rPr>
        <w:tab/>
      </w:r>
      <w:r w:rsidR="006B74EC">
        <w:rPr>
          <w:rFonts w:ascii="Arial" w:hAnsi="Arial" w:cs="Arial"/>
          <w:b/>
          <w:sz w:val="22"/>
          <w:szCs w:val="22"/>
        </w:rPr>
        <w:tab/>
      </w:r>
      <w:r>
        <w:rPr>
          <w:rFonts w:ascii="Arial" w:hAnsi="Arial" w:cs="Arial"/>
          <w:b/>
          <w:sz w:val="22"/>
          <w:szCs w:val="22"/>
        </w:rPr>
        <w:tab/>
      </w:r>
      <w:r w:rsidR="006B74EC" w:rsidRPr="00826B59">
        <w:rPr>
          <w:rFonts w:ascii="Arial" w:hAnsi="Arial" w:cs="Arial"/>
          <w:b/>
          <w:sz w:val="22"/>
          <w:szCs w:val="22"/>
        </w:rPr>
        <w:t xml:space="preserve">Biogen </w:t>
      </w:r>
      <w:proofErr w:type="spellStart"/>
      <w:r w:rsidR="006B74EC" w:rsidRPr="00826B59">
        <w:rPr>
          <w:rFonts w:ascii="Arial" w:hAnsi="Arial" w:cs="Arial"/>
          <w:b/>
          <w:sz w:val="22"/>
          <w:szCs w:val="22"/>
        </w:rPr>
        <w:t>Idec</w:t>
      </w:r>
      <w:proofErr w:type="spellEnd"/>
      <w:r w:rsidR="006B74EC" w:rsidRPr="00826B59">
        <w:rPr>
          <w:rFonts w:ascii="Arial" w:hAnsi="Arial" w:cs="Arial"/>
          <w:b/>
          <w:sz w:val="22"/>
          <w:szCs w:val="22"/>
        </w:rPr>
        <w:t xml:space="preserve"> Limited</w:t>
      </w:r>
    </w:p>
    <w:p w14:paraId="3BF00B6D" w14:textId="4712E7A7" w:rsidR="00CA0A78" w:rsidRPr="00E504E0" w:rsidRDefault="00E504E0" w:rsidP="006B74EC">
      <w:pPr>
        <w:tabs>
          <w:tab w:val="left" w:pos="5103"/>
        </w:tabs>
        <w:spacing w:line="276" w:lineRule="auto"/>
        <w:rPr>
          <w:rFonts w:ascii="Arial" w:hAnsi="Arial" w:cs="Arial"/>
          <w:sz w:val="22"/>
          <w:szCs w:val="22"/>
        </w:rPr>
      </w:pPr>
      <w:r>
        <w:rPr>
          <w:rFonts w:ascii="Arial" w:hAnsi="Arial" w:cs="Arial"/>
          <w:sz w:val="22"/>
          <w:szCs w:val="22"/>
        </w:rPr>
        <w:t>generální ředitel</w:t>
      </w:r>
      <w:r w:rsidR="006B74EC">
        <w:rPr>
          <w:rFonts w:ascii="Arial" w:hAnsi="Arial" w:cs="Arial"/>
          <w:sz w:val="22"/>
          <w:szCs w:val="22"/>
        </w:rPr>
        <w:tab/>
        <w:t xml:space="preserve">  </w:t>
      </w:r>
      <w:r w:rsidR="006B74EC" w:rsidRPr="00826B59">
        <w:rPr>
          <w:rFonts w:ascii="Arial" w:hAnsi="Arial" w:cs="Arial"/>
          <w:sz w:val="22"/>
          <w:szCs w:val="22"/>
        </w:rPr>
        <w:t xml:space="preserve">Biogen </w:t>
      </w:r>
      <w:proofErr w:type="spellStart"/>
      <w:r w:rsidR="006B74EC" w:rsidRPr="00826B59">
        <w:rPr>
          <w:rFonts w:ascii="Arial" w:hAnsi="Arial" w:cs="Arial"/>
          <w:sz w:val="22"/>
          <w:szCs w:val="22"/>
        </w:rPr>
        <w:t>Idec</w:t>
      </w:r>
      <w:proofErr w:type="spellEnd"/>
      <w:r w:rsidR="006B74EC" w:rsidRPr="00826B59">
        <w:rPr>
          <w:rFonts w:ascii="Arial" w:hAnsi="Arial" w:cs="Arial"/>
          <w:sz w:val="22"/>
          <w:szCs w:val="22"/>
        </w:rPr>
        <w:t xml:space="preserve"> (Czech Republic</w:t>
      </w:r>
      <w:r w:rsidR="006B74EC" w:rsidRPr="006B74EC">
        <w:rPr>
          <w:rFonts w:ascii="Arial" w:hAnsi="Arial" w:cs="Arial"/>
          <w:sz w:val="22"/>
          <w:szCs w:val="22"/>
        </w:rPr>
        <w:t>), s. r. o.</w:t>
      </w:r>
    </w:p>
    <w:p w14:paraId="02F317F6" w14:textId="3B5D7B54" w:rsidR="00CA0A78" w:rsidRPr="00826B59" w:rsidRDefault="00E504E0" w:rsidP="00E504E0">
      <w:pPr>
        <w:tabs>
          <w:tab w:val="left" w:pos="4678"/>
        </w:tabs>
        <w:spacing w:line="276" w:lineRule="auto"/>
        <w:rPr>
          <w:rFonts w:ascii="Arial" w:hAnsi="Arial" w:cs="Arial"/>
          <w:sz w:val="22"/>
          <w:szCs w:val="22"/>
        </w:rPr>
      </w:pPr>
      <w:r>
        <w:rPr>
          <w:rFonts w:ascii="Arial" w:hAnsi="Arial" w:cs="Arial"/>
          <w:sz w:val="22"/>
          <w:szCs w:val="22"/>
        </w:rPr>
        <w:t>České průmyslové zdravotní pojišťovny</w:t>
      </w:r>
      <w:r w:rsidR="00D34CC1">
        <w:rPr>
          <w:rFonts w:ascii="Arial" w:hAnsi="Arial" w:cs="Arial"/>
          <w:sz w:val="22"/>
          <w:szCs w:val="22"/>
        </w:rPr>
        <w:tab/>
      </w:r>
      <w:r>
        <w:rPr>
          <w:rFonts w:ascii="Arial" w:hAnsi="Arial" w:cs="Arial"/>
          <w:sz w:val="22"/>
          <w:szCs w:val="22"/>
        </w:rPr>
        <w:tab/>
      </w:r>
      <w:r>
        <w:rPr>
          <w:rFonts w:ascii="Arial" w:hAnsi="Arial" w:cs="Arial"/>
          <w:sz w:val="22"/>
          <w:szCs w:val="22"/>
        </w:rPr>
        <w:tab/>
      </w:r>
      <w:r w:rsidR="00CA0A78" w:rsidRPr="00826B59">
        <w:rPr>
          <w:rFonts w:ascii="Arial" w:hAnsi="Arial" w:cs="Arial"/>
          <w:sz w:val="22"/>
          <w:szCs w:val="22"/>
        </w:rPr>
        <w:t>zástupce v</w:t>
      </w:r>
      <w:r w:rsidR="00CA0A78">
        <w:rPr>
          <w:rFonts w:ascii="Arial" w:hAnsi="Arial" w:cs="Arial"/>
          <w:sz w:val="22"/>
          <w:szCs w:val="22"/>
        </w:rPr>
        <w:t> </w:t>
      </w:r>
      <w:r w:rsidR="00CA0A78" w:rsidRPr="00826B59">
        <w:rPr>
          <w:rFonts w:ascii="Arial" w:hAnsi="Arial" w:cs="Arial"/>
          <w:sz w:val="22"/>
          <w:szCs w:val="22"/>
        </w:rPr>
        <w:t xml:space="preserve">plné moci, zastoupen </w:t>
      </w:r>
    </w:p>
    <w:p w14:paraId="42EAF728" w14:textId="60301036" w:rsidR="00CA0A78" w:rsidRPr="00826B59" w:rsidRDefault="00CA0A78" w:rsidP="006B74EC">
      <w:pPr>
        <w:tabs>
          <w:tab w:val="left" w:pos="4253"/>
          <w:tab w:val="left" w:pos="4962"/>
        </w:tabs>
        <w:spacing w:line="276" w:lineRule="auto"/>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sidRPr="00826B59">
        <w:rPr>
          <w:rFonts w:ascii="Arial" w:hAnsi="Arial" w:cs="Arial"/>
          <w:b/>
          <w:sz w:val="22"/>
          <w:szCs w:val="22"/>
        </w:rPr>
        <w:t>RNDr. Michaela Hrdličková, MBA</w:t>
      </w:r>
    </w:p>
    <w:p w14:paraId="45A956A3" w14:textId="11DB9BDF" w:rsidR="00063FEA" w:rsidRPr="006B74EC" w:rsidRDefault="006B74EC" w:rsidP="006B74EC">
      <w:pPr>
        <w:tabs>
          <w:tab w:val="left" w:pos="4253"/>
        </w:tabs>
        <w:spacing w:line="276" w:lineRule="auto"/>
        <w:rPr>
          <w:rFonts w:ascii="Arial" w:hAnsi="Arial" w:cs="Arial"/>
          <w:sz w:val="22"/>
          <w:szCs w:val="22"/>
        </w:rPr>
      </w:pPr>
      <w:r>
        <w:rPr>
          <w:rFonts w:ascii="Arial" w:hAnsi="Arial" w:cs="Arial"/>
          <w:sz w:val="22"/>
          <w:szCs w:val="22"/>
        </w:rPr>
        <w:tab/>
        <w:t xml:space="preserve">                 </w:t>
      </w:r>
      <w:r w:rsidR="00E504E0">
        <w:rPr>
          <w:rFonts w:ascii="Arial" w:hAnsi="Arial" w:cs="Arial"/>
          <w:sz w:val="22"/>
          <w:szCs w:val="22"/>
        </w:rPr>
        <w:tab/>
      </w:r>
      <w:r w:rsidR="00E504E0">
        <w:rPr>
          <w:rFonts w:ascii="Arial" w:hAnsi="Arial" w:cs="Arial"/>
          <w:sz w:val="22"/>
          <w:szCs w:val="22"/>
        </w:rPr>
        <w:tab/>
      </w:r>
      <w:r w:rsidR="00CA0A78" w:rsidRPr="00826B59">
        <w:rPr>
          <w:rFonts w:ascii="Arial" w:hAnsi="Arial" w:cs="Arial"/>
          <w:sz w:val="22"/>
          <w:szCs w:val="22"/>
        </w:rPr>
        <w:t>jednatelk</w:t>
      </w:r>
      <w:r>
        <w:rPr>
          <w:rFonts w:ascii="Arial" w:hAnsi="Arial" w:cs="Arial"/>
          <w:sz w:val="22"/>
          <w:szCs w:val="22"/>
        </w:rPr>
        <w:t>a</w:t>
      </w:r>
    </w:p>
    <w:p w14:paraId="0C6D9445" w14:textId="77777777" w:rsidR="00063FEA" w:rsidRDefault="00063FEA" w:rsidP="00063FEA">
      <w:pPr>
        <w:tabs>
          <w:tab w:val="left" w:pos="4253"/>
          <w:tab w:val="left" w:pos="5245"/>
        </w:tabs>
        <w:rPr>
          <w:rFonts w:ascii="Arial" w:hAnsi="Arial" w:cs="Arial"/>
        </w:rPr>
      </w:pPr>
    </w:p>
    <w:p w14:paraId="62DDC181" w14:textId="77777777" w:rsidR="00063FEA" w:rsidRDefault="00063FEA" w:rsidP="00063FEA">
      <w:pPr>
        <w:tabs>
          <w:tab w:val="left" w:pos="4253"/>
          <w:tab w:val="left" w:pos="5245"/>
        </w:tabs>
        <w:jc w:val="center"/>
        <w:rPr>
          <w:rFonts w:ascii="Arial" w:hAnsi="Arial" w:cs="Arial"/>
          <w:b/>
          <w:sz w:val="22"/>
          <w:szCs w:val="22"/>
        </w:rPr>
      </w:pPr>
    </w:p>
    <w:p w14:paraId="220C5299" w14:textId="77777777" w:rsidR="003D0ED1" w:rsidRDefault="003D0ED1" w:rsidP="00063FEA">
      <w:pPr>
        <w:tabs>
          <w:tab w:val="left" w:pos="4253"/>
          <w:tab w:val="left" w:pos="5245"/>
        </w:tabs>
        <w:jc w:val="center"/>
        <w:rPr>
          <w:rFonts w:ascii="Arial" w:hAnsi="Arial" w:cs="Arial"/>
          <w:b/>
          <w:sz w:val="22"/>
          <w:szCs w:val="22"/>
        </w:rPr>
      </w:pPr>
    </w:p>
    <w:p w14:paraId="4311B29E" w14:textId="77777777" w:rsidR="001D610C" w:rsidRDefault="001D610C" w:rsidP="00063FEA">
      <w:pPr>
        <w:tabs>
          <w:tab w:val="left" w:pos="4253"/>
          <w:tab w:val="left" w:pos="5245"/>
        </w:tabs>
        <w:jc w:val="center"/>
        <w:rPr>
          <w:rFonts w:ascii="Arial" w:hAnsi="Arial" w:cs="Arial"/>
          <w:b/>
          <w:sz w:val="22"/>
          <w:szCs w:val="22"/>
        </w:rPr>
      </w:pPr>
    </w:p>
    <w:p w14:paraId="705552AB" w14:textId="6D1B156C" w:rsidR="00063FEA" w:rsidRPr="00F5103E" w:rsidRDefault="00063FEA" w:rsidP="00063FEA">
      <w:pPr>
        <w:tabs>
          <w:tab w:val="left" w:pos="4253"/>
          <w:tab w:val="left" w:pos="5245"/>
        </w:tabs>
        <w:jc w:val="center"/>
        <w:rPr>
          <w:rFonts w:ascii="Arial" w:hAnsi="Arial" w:cs="Arial"/>
          <w:b/>
          <w:sz w:val="22"/>
          <w:szCs w:val="22"/>
        </w:rPr>
      </w:pPr>
      <w:r w:rsidRPr="00F5103E">
        <w:rPr>
          <w:rFonts w:ascii="Arial" w:hAnsi="Arial" w:cs="Arial"/>
          <w:b/>
          <w:sz w:val="22"/>
          <w:szCs w:val="22"/>
        </w:rPr>
        <w:lastRenderedPageBreak/>
        <w:t>PŘÍLOHA Č. 1</w:t>
      </w:r>
    </w:p>
    <w:p w14:paraId="14515E0A" w14:textId="77777777" w:rsidR="00063FEA" w:rsidRPr="00F5103E" w:rsidRDefault="00063FEA" w:rsidP="00063FEA">
      <w:pPr>
        <w:tabs>
          <w:tab w:val="left" w:pos="4253"/>
          <w:tab w:val="left" w:pos="5245"/>
        </w:tabs>
        <w:jc w:val="center"/>
        <w:rPr>
          <w:rFonts w:ascii="Arial" w:hAnsi="Arial" w:cs="Arial"/>
          <w:b/>
          <w:sz w:val="22"/>
          <w:szCs w:val="22"/>
        </w:rPr>
      </w:pPr>
    </w:p>
    <w:p w14:paraId="1091591D" w14:textId="4AC179CF" w:rsidR="00063FEA" w:rsidRPr="00F5103E" w:rsidRDefault="00063FEA" w:rsidP="00063FEA">
      <w:pPr>
        <w:tabs>
          <w:tab w:val="left" w:pos="4253"/>
          <w:tab w:val="left" w:pos="5245"/>
        </w:tabs>
        <w:jc w:val="center"/>
        <w:rPr>
          <w:rFonts w:ascii="Arial" w:hAnsi="Arial" w:cs="Arial"/>
          <w:b/>
          <w:sz w:val="22"/>
          <w:szCs w:val="22"/>
        </w:rPr>
      </w:pPr>
      <w:r w:rsidRPr="00F5103E">
        <w:rPr>
          <w:rFonts w:ascii="Arial" w:hAnsi="Arial" w:cs="Arial"/>
          <w:b/>
          <w:sz w:val="22"/>
          <w:szCs w:val="22"/>
        </w:rPr>
        <w:t xml:space="preserve">SMLOUVY O HRAZENÍ LÉČIVÉHO PŘÍPRAVKU </w:t>
      </w:r>
      <w:proofErr w:type="spellStart"/>
      <w:r w:rsidR="007026F4" w:rsidRPr="006170F5">
        <w:rPr>
          <w:rFonts w:ascii="Calibri" w:hAnsi="Calibri"/>
          <w:highlight w:val="black"/>
        </w:rPr>
        <w:t>xxxxxxxxxxxxxxxx</w:t>
      </w:r>
      <w:proofErr w:type="spellEnd"/>
    </w:p>
    <w:p w14:paraId="331458D8" w14:textId="298B5E8D" w:rsidR="00063FEA" w:rsidRPr="00F5103E" w:rsidRDefault="00063FEA" w:rsidP="00063FEA">
      <w:pPr>
        <w:tabs>
          <w:tab w:val="left" w:pos="4253"/>
          <w:tab w:val="left" w:pos="5245"/>
        </w:tabs>
        <w:jc w:val="center"/>
        <w:rPr>
          <w:rFonts w:ascii="Arial" w:hAnsi="Arial" w:cs="Arial"/>
          <w:b/>
          <w:sz w:val="22"/>
          <w:szCs w:val="22"/>
        </w:rPr>
      </w:pPr>
      <w:r w:rsidRPr="00F5103E">
        <w:rPr>
          <w:rFonts w:ascii="Arial" w:hAnsi="Arial" w:cs="Arial"/>
          <w:b/>
          <w:sz w:val="22"/>
          <w:szCs w:val="22"/>
        </w:rPr>
        <w:t xml:space="preserve">PACIENTŮM Z UKONČENÉ STUDIE </w:t>
      </w:r>
      <w:proofErr w:type="spellStart"/>
      <w:r w:rsidR="007026F4" w:rsidRPr="006170F5">
        <w:rPr>
          <w:rFonts w:ascii="Calibri" w:hAnsi="Calibri"/>
          <w:highlight w:val="black"/>
        </w:rPr>
        <w:t>xxxxxxxxxxxxxxxx</w:t>
      </w:r>
      <w:proofErr w:type="spellEnd"/>
    </w:p>
    <w:p w14:paraId="2EA12FDC" w14:textId="77777777" w:rsidR="00063FEA" w:rsidRPr="00F5103E" w:rsidRDefault="00063FEA" w:rsidP="00063FEA">
      <w:pPr>
        <w:tabs>
          <w:tab w:val="left" w:pos="4253"/>
          <w:tab w:val="left" w:pos="5245"/>
        </w:tabs>
        <w:jc w:val="center"/>
        <w:rPr>
          <w:rFonts w:ascii="Arial" w:hAnsi="Arial" w:cs="Arial"/>
          <w:b/>
          <w:sz w:val="22"/>
          <w:szCs w:val="22"/>
        </w:rPr>
      </w:pPr>
    </w:p>
    <w:p w14:paraId="78B5D925" w14:textId="77777777" w:rsidR="00063FEA" w:rsidRDefault="00063FEA" w:rsidP="00063FEA">
      <w:pPr>
        <w:tabs>
          <w:tab w:val="left" w:pos="4253"/>
          <w:tab w:val="left" w:pos="5245"/>
        </w:tabs>
        <w:jc w:val="center"/>
        <w:rPr>
          <w:rFonts w:ascii="Arial" w:hAnsi="Arial" w:cs="Arial"/>
        </w:rPr>
      </w:pPr>
    </w:p>
    <w:p w14:paraId="7358528E" w14:textId="77777777" w:rsidR="00063FEA" w:rsidRDefault="00063FEA" w:rsidP="00063FEA">
      <w:pPr>
        <w:tabs>
          <w:tab w:val="left" w:pos="4253"/>
          <w:tab w:val="left" w:pos="5245"/>
        </w:tabs>
        <w:rPr>
          <w:rFonts w:ascii="Arial" w:hAnsi="Arial" w:cs="Arial"/>
        </w:rPr>
      </w:pPr>
    </w:p>
    <w:p w14:paraId="1E640401" w14:textId="77777777" w:rsidR="00063FEA" w:rsidRDefault="00063FEA" w:rsidP="00063FEA">
      <w:pPr>
        <w:tabs>
          <w:tab w:val="left" w:pos="4253"/>
          <w:tab w:val="left" w:pos="5245"/>
        </w:tabs>
        <w:rPr>
          <w:rFonts w:ascii="Arial" w:hAnsi="Arial" w:cs="Arial"/>
        </w:rPr>
      </w:pPr>
    </w:p>
    <w:p w14:paraId="7DFA5BEC" w14:textId="77777777" w:rsidR="00063FEA" w:rsidRPr="00F5103E" w:rsidRDefault="00063FEA" w:rsidP="00063FEA">
      <w:pPr>
        <w:tabs>
          <w:tab w:val="left" w:pos="4253"/>
          <w:tab w:val="left" w:pos="5245"/>
        </w:tabs>
        <w:rPr>
          <w:rFonts w:ascii="Arial" w:hAnsi="Arial" w:cs="Arial"/>
          <w:sz w:val="22"/>
          <w:szCs w:val="22"/>
        </w:rPr>
      </w:pPr>
      <w:r w:rsidRPr="00F5103E">
        <w:rPr>
          <w:rFonts w:ascii="Arial" w:hAnsi="Arial" w:cs="Arial"/>
          <w:sz w:val="22"/>
          <w:szCs w:val="22"/>
        </w:rPr>
        <w:t>uzavřená dohodou smluvních stran podle § 1746 odst</w:t>
      </w:r>
      <w:r>
        <w:rPr>
          <w:rFonts w:ascii="Arial" w:hAnsi="Arial" w:cs="Arial"/>
          <w:sz w:val="22"/>
          <w:szCs w:val="22"/>
        </w:rPr>
        <w:t>.</w:t>
      </w:r>
      <w:r w:rsidRPr="00F5103E">
        <w:rPr>
          <w:rFonts w:ascii="Arial" w:hAnsi="Arial" w:cs="Arial"/>
          <w:sz w:val="22"/>
          <w:szCs w:val="22"/>
        </w:rPr>
        <w:t xml:space="preserve"> 2 zákona č. 89/2012 Sb., občanský zákoník</w:t>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p>
    <w:p w14:paraId="08A56A78" w14:textId="77777777" w:rsidR="00063FEA" w:rsidRPr="00F5103E" w:rsidRDefault="00063FEA" w:rsidP="00063FEA">
      <w:pPr>
        <w:tabs>
          <w:tab w:val="left" w:pos="4253"/>
          <w:tab w:val="left" w:pos="5245"/>
        </w:tabs>
        <w:rPr>
          <w:rFonts w:ascii="Arial" w:hAnsi="Arial" w:cs="Arial"/>
          <w:sz w:val="22"/>
          <w:szCs w:val="22"/>
        </w:rPr>
      </w:pP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p>
    <w:p w14:paraId="4CF22947" w14:textId="77777777" w:rsidR="00063FEA" w:rsidRPr="00F5103E" w:rsidRDefault="00063FEA" w:rsidP="00063FEA">
      <w:pPr>
        <w:tabs>
          <w:tab w:val="left" w:pos="4253"/>
          <w:tab w:val="left" w:pos="5245"/>
        </w:tabs>
        <w:rPr>
          <w:rFonts w:ascii="Arial" w:hAnsi="Arial" w:cs="Arial"/>
          <w:sz w:val="22"/>
          <w:szCs w:val="22"/>
        </w:rPr>
      </w:pP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p>
    <w:p w14:paraId="01265EAA" w14:textId="77777777" w:rsidR="00063FEA" w:rsidRPr="00F5103E" w:rsidRDefault="00063FEA" w:rsidP="00063FEA">
      <w:pPr>
        <w:tabs>
          <w:tab w:val="left" w:pos="4253"/>
          <w:tab w:val="left" w:pos="5245"/>
        </w:tabs>
        <w:rPr>
          <w:rFonts w:ascii="Arial" w:hAnsi="Arial" w:cs="Arial"/>
          <w:b/>
          <w:sz w:val="22"/>
          <w:szCs w:val="22"/>
        </w:rPr>
      </w:pPr>
      <w:r w:rsidRPr="00F5103E">
        <w:rPr>
          <w:rFonts w:ascii="Arial" w:hAnsi="Arial" w:cs="Arial"/>
          <w:b/>
          <w:sz w:val="22"/>
          <w:szCs w:val="22"/>
        </w:rPr>
        <w:t>1. seznam léčivých přípravků s výší úhrady</w:t>
      </w:r>
      <w:r w:rsidRPr="00F5103E">
        <w:rPr>
          <w:rFonts w:ascii="Arial" w:hAnsi="Arial" w:cs="Arial"/>
          <w:b/>
          <w:sz w:val="22"/>
          <w:szCs w:val="22"/>
        </w:rPr>
        <w:tab/>
      </w:r>
      <w:r w:rsidRPr="00F5103E">
        <w:rPr>
          <w:rFonts w:ascii="Arial" w:hAnsi="Arial" w:cs="Arial"/>
          <w:b/>
          <w:sz w:val="22"/>
          <w:szCs w:val="22"/>
        </w:rPr>
        <w:tab/>
      </w:r>
      <w:r w:rsidRPr="00F5103E">
        <w:rPr>
          <w:rFonts w:ascii="Arial" w:hAnsi="Arial" w:cs="Arial"/>
          <w:b/>
          <w:sz w:val="22"/>
          <w:szCs w:val="22"/>
        </w:rPr>
        <w:tab/>
      </w:r>
      <w:r w:rsidRPr="00F5103E">
        <w:rPr>
          <w:rFonts w:ascii="Arial" w:hAnsi="Arial" w:cs="Arial"/>
          <w:b/>
          <w:sz w:val="22"/>
          <w:szCs w:val="22"/>
        </w:rPr>
        <w:tab/>
      </w:r>
      <w:r w:rsidRPr="00F5103E">
        <w:rPr>
          <w:rFonts w:ascii="Arial" w:hAnsi="Arial" w:cs="Arial"/>
          <w:b/>
          <w:sz w:val="22"/>
          <w:szCs w:val="22"/>
        </w:rPr>
        <w:tab/>
      </w:r>
    </w:p>
    <w:p w14:paraId="380A5961" w14:textId="77777777" w:rsidR="00063FEA" w:rsidRPr="00F5103E" w:rsidRDefault="00063FEA" w:rsidP="00063FEA">
      <w:pPr>
        <w:tabs>
          <w:tab w:val="left" w:pos="4253"/>
          <w:tab w:val="left" w:pos="5245"/>
        </w:tabs>
        <w:rPr>
          <w:rFonts w:ascii="Arial" w:hAnsi="Arial" w:cs="Arial"/>
          <w:sz w:val="22"/>
          <w:szCs w:val="22"/>
        </w:rPr>
      </w:pP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r w:rsidRPr="00F5103E">
        <w:rPr>
          <w:rFonts w:ascii="Arial" w:hAnsi="Arial" w:cs="Arial"/>
          <w:sz w:val="22"/>
          <w:szCs w:val="22"/>
        </w:rPr>
        <w:tab/>
      </w:r>
    </w:p>
    <w:p w14:paraId="0013ABDF" w14:textId="77777777" w:rsidR="00063FEA" w:rsidRPr="004525C7" w:rsidRDefault="00063FEA" w:rsidP="00063FEA">
      <w:pPr>
        <w:tabs>
          <w:tab w:val="left" w:pos="1134"/>
          <w:tab w:val="left" w:pos="2977"/>
        </w:tabs>
        <w:rPr>
          <w:rFonts w:ascii="Arial" w:hAnsi="Arial" w:cs="Arial"/>
        </w:rPr>
      </w:pPr>
      <w:r w:rsidRPr="004525C7">
        <w:rPr>
          <w:rFonts w:ascii="Arial" w:hAnsi="Arial" w:cs="Arial"/>
        </w:rPr>
        <w:t>KOD</w:t>
      </w:r>
      <w:r>
        <w:rPr>
          <w:rFonts w:ascii="Arial" w:hAnsi="Arial" w:cs="Arial"/>
        </w:rPr>
        <w:tab/>
      </w:r>
      <w:r w:rsidRPr="004525C7">
        <w:rPr>
          <w:rFonts w:ascii="Arial" w:hAnsi="Arial" w:cs="Arial"/>
        </w:rPr>
        <w:t>NAZ</w:t>
      </w:r>
      <w:r w:rsidRPr="004525C7">
        <w:rPr>
          <w:rFonts w:ascii="Arial" w:hAnsi="Arial" w:cs="Arial"/>
        </w:rPr>
        <w:tab/>
        <w:t>DOP</w:t>
      </w:r>
      <w:r w:rsidRPr="004525C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525C7">
        <w:rPr>
          <w:rFonts w:ascii="Arial" w:hAnsi="Arial" w:cs="Arial"/>
        </w:rPr>
        <w:t>DRZ</w:t>
      </w:r>
      <w:r w:rsidRPr="004525C7">
        <w:rPr>
          <w:rFonts w:ascii="Arial" w:hAnsi="Arial" w:cs="Arial"/>
        </w:rPr>
        <w:tab/>
        <w:t>ZEM</w:t>
      </w:r>
      <w:r w:rsidRPr="004525C7">
        <w:rPr>
          <w:rFonts w:ascii="Arial" w:hAnsi="Arial" w:cs="Arial"/>
        </w:rPr>
        <w:tab/>
        <w:t>UHR1</w:t>
      </w:r>
    </w:p>
    <w:p w14:paraId="0DB5297C" w14:textId="77777777" w:rsidR="00063FEA" w:rsidRPr="004525C7" w:rsidRDefault="00063FEA" w:rsidP="00063FEA">
      <w:pPr>
        <w:tabs>
          <w:tab w:val="left" w:pos="4253"/>
          <w:tab w:val="left" w:pos="5245"/>
        </w:tabs>
        <w:rPr>
          <w:rFonts w:ascii="Arial" w:hAnsi="Arial" w:cs="Arial"/>
        </w:rPr>
      </w:pPr>
      <w:r w:rsidRPr="004525C7">
        <w:rPr>
          <w:rFonts w:ascii="Arial" w:hAnsi="Arial" w:cs="Arial"/>
        </w:rPr>
        <w:tab/>
      </w:r>
      <w:r w:rsidRPr="004525C7">
        <w:rPr>
          <w:rFonts w:ascii="Arial" w:hAnsi="Arial" w:cs="Arial"/>
        </w:rPr>
        <w:tab/>
      </w:r>
      <w:r w:rsidRPr="004525C7">
        <w:rPr>
          <w:rFonts w:ascii="Arial" w:hAnsi="Arial" w:cs="Arial"/>
        </w:rPr>
        <w:tab/>
      </w:r>
      <w:r w:rsidRPr="004525C7">
        <w:rPr>
          <w:rFonts w:ascii="Arial" w:hAnsi="Arial" w:cs="Arial"/>
        </w:rPr>
        <w:tab/>
      </w:r>
      <w:r w:rsidRPr="004525C7">
        <w:rPr>
          <w:rFonts w:ascii="Arial" w:hAnsi="Arial" w:cs="Arial"/>
        </w:rPr>
        <w:tab/>
      </w:r>
      <w:r w:rsidRPr="004525C7">
        <w:rPr>
          <w:rFonts w:ascii="Arial" w:hAnsi="Arial" w:cs="Arial"/>
        </w:rPr>
        <w:tab/>
      </w:r>
    </w:p>
    <w:p w14:paraId="3559B9DE" w14:textId="6C48EAFD" w:rsidR="00063FEA" w:rsidRPr="004525C7" w:rsidRDefault="0080006D" w:rsidP="00063FEA">
      <w:pPr>
        <w:tabs>
          <w:tab w:val="left" w:pos="4253"/>
          <w:tab w:val="left" w:pos="5245"/>
        </w:tabs>
        <w:rPr>
          <w:rFonts w:ascii="Arial" w:hAnsi="Arial" w:cs="Arial"/>
        </w:rPr>
      </w:pPr>
      <w:proofErr w:type="spellStart"/>
      <w:r w:rsidRPr="006170F5">
        <w:rPr>
          <w:rFonts w:ascii="Calibri" w:hAnsi="Calibri"/>
          <w:highlight w:val="black"/>
        </w:rPr>
        <w:t>Xxxxxxxxxxxxxxxx</w:t>
      </w:r>
      <w:proofErr w:type="spellEnd"/>
      <w:r>
        <w:rPr>
          <w:rFonts w:ascii="Calibri" w:hAnsi="Calibri"/>
        </w:rPr>
        <w:t xml:space="preserve"> </w:t>
      </w:r>
      <w:proofErr w:type="spellStart"/>
      <w:r w:rsidRPr="006170F5">
        <w:rPr>
          <w:rFonts w:ascii="Calibri" w:hAnsi="Calibri"/>
          <w:highlight w:val="black"/>
        </w:rPr>
        <w:t>xxxxxxxxxxxxxxxx</w:t>
      </w:r>
      <w:proofErr w:type="spellEnd"/>
      <w:r>
        <w:rPr>
          <w:rFonts w:ascii="Calibri" w:hAnsi="Calibri"/>
        </w:rPr>
        <w:t xml:space="preserve"> </w:t>
      </w:r>
      <w:proofErr w:type="spellStart"/>
      <w:r w:rsidRPr="006170F5">
        <w:rPr>
          <w:rFonts w:ascii="Calibri" w:hAnsi="Calibri"/>
          <w:highlight w:val="black"/>
        </w:rPr>
        <w:t>xxxxxxxxxxxxxxxx</w:t>
      </w:r>
      <w:proofErr w:type="spellEnd"/>
      <w:r w:rsidR="00520F82">
        <w:rPr>
          <w:rFonts w:ascii="Calibri" w:hAnsi="Calibri"/>
        </w:rPr>
        <w:t xml:space="preserve"> </w:t>
      </w:r>
      <w:proofErr w:type="spellStart"/>
      <w:r w:rsidRPr="006170F5">
        <w:rPr>
          <w:rFonts w:ascii="Calibri" w:hAnsi="Calibri"/>
          <w:highlight w:val="black"/>
        </w:rPr>
        <w:t>xxxxxxxxxxxxxxxx</w:t>
      </w:r>
      <w:proofErr w:type="spellEnd"/>
      <w:r w:rsidR="00520F82">
        <w:rPr>
          <w:rFonts w:ascii="Calibri" w:hAnsi="Calibri"/>
        </w:rPr>
        <w:t xml:space="preserve"> </w:t>
      </w:r>
      <w:proofErr w:type="spellStart"/>
      <w:r w:rsidR="00520F82" w:rsidRPr="006170F5">
        <w:rPr>
          <w:rFonts w:ascii="Calibri" w:hAnsi="Calibri"/>
          <w:highlight w:val="black"/>
        </w:rPr>
        <w:t>xxxxxxxxxxxxxxxx</w:t>
      </w:r>
      <w:proofErr w:type="spellEnd"/>
      <w:r w:rsidR="00520F82">
        <w:rPr>
          <w:rFonts w:ascii="Calibri" w:hAnsi="Calibri"/>
        </w:rPr>
        <w:t xml:space="preserve"> </w:t>
      </w:r>
      <w:proofErr w:type="spellStart"/>
      <w:r w:rsidR="00520F82" w:rsidRPr="006170F5">
        <w:rPr>
          <w:rFonts w:ascii="Calibri" w:hAnsi="Calibri"/>
          <w:highlight w:val="black"/>
        </w:rPr>
        <w:t>xxxxxxxxxxxxxxxx</w:t>
      </w:r>
      <w:proofErr w:type="spellEnd"/>
    </w:p>
    <w:p w14:paraId="4E3C5164" w14:textId="77777777" w:rsidR="00063FEA" w:rsidRDefault="00063FEA" w:rsidP="00063FEA">
      <w:pPr>
        <w:tabs>
          <w:tab w:val="left" w:pos="4253"/>
          <w:tab w:val="left" w:pos="5245"/>
        </w:tabs>
        <w:rPr>
          <w:rFonts w:ascii="Arial" w:hAnsi="Arial" w:cs="Arial"/>
          <w:sz w:val="22"/>
          <w:szCs w:val="22"/>
        </w:rPr>
      </w:pPr>
    </w:p>
    <w:p w14:paraId="7B0B37B3" w14:textId="77777777" w:rsidR="00063FEA" w:rsidRPr="00F5103E" w:rsidRDefault="00063FEA" w:rsidP="00063FEA">
      <w:pPr>
        <w:tabs>
          <w:tab w:val="left" w:pos="4253"/>
          <w:tab w:val="left" w:pos="5245"/>
        </w:tabs>
        <w:rPr>
          <w:rFonts w:ascii="Arial" w:hAnsi="Arial" w:cs="Arial"/>
          <w:sz w:val="22"/>
          <w:szCs w:val="22"/>
        </w:rPr>
      </w:pPr>
    </w:p>
    <w:p w14:paraId="71B7145C" w14:textId="058E4B7A"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p>
    <w:p w14:paraId="1795041C"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4ACB7539" w14:textId="1ED0AD0C"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7A5CD762"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56BFB5F9"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13B4F68A"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2062C0E2"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078E7326"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7EE4327F"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13722D19"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1E38CE68"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045339B6"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07D9AB00"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4481D519" w14:textId="77777777" w:rsidR="00063FEA" w:rsidRPr="004525C7" w:rsidRDefault="00063FEA" w:rsidP="00063FEA">
      <w:pPr>
        <w:tabs>
          <w:tab w:val="left" w:pos="4253"/>
          <w:tab w:val="left" w:pos="5245"/>
        </w:tabs>
        <w:rPr>
          <w:rFonts w:ascii="Arial" w:hAnsi="Arial" w:cs="Arial"/>
          <w:sz w:val="22"/>
          <w:szCs w:val="22"/>
        </w:rPr>
      </w:pP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r w:rsidRPr="004525C7">
        <w:rPr>
          <w:rFonts w:ascii="Arial" w:hAnsi="Arial" w:cs="Arial"/>
          <w:sz w:val="22"/>
          <w:szCs w:val="22"/>
        </w:rPr>
        <w:tab/>
      </w:r>
    </w:p>
    <w:p w14:paraId="3C1AF4B5" w14:textId="77777777" w:rsidR="00E504E0" w:rsidRPr="00D6394B" w:rsidRDefault="00E504E0" w:rsidP="00E504E0">
      <w:pPr>
        <w:tabs>
          <w:tab w:val="left" w:pos="5245"/>
        </w:tabs>
        <w:rPr>
          <w:rFonts w:ascii="Arial" w:hAnsi="Arial" w:cs="Arial"/>
          <w:sz w:val="22"/>
          <w:szCs w:val="22"/>
        </w:rPr>
      </w:pPr>
      <w:r w:rsidRPr="00D6394B">
        <w:rPr>
          <w:rFonts w:ascii="Arial" w:hAnsi="Arial" w:cs="Arial"/>
          <w:sz w:val="22"/>
          <w:szCs w:val="22"/>
        </w:rPr>
        <w:t xml:space="preserve">V </w:t>
      </w:r>
      <w:proofErr w:type="spellStart"/>
      <w:r>
        <w:rPr>
          <w:rFonts w:ascii="Arial" w:hAnsi="Arial" w:cs="Arial"/>
          <w:sz w:val="22"/>
          <w:szCs w:val="22"/>
        </w:rPr>
        <w:t>Ostravě</w:t>
      </w:r>
      <w:r w:rsidRPr="00D6394B">
        <w:rPr>
          <w:rFonts w:ascii="Arial" w:hAnsi="Arial" w:cs="Arial"/>
          <w:sz w:val="22"/>
          <w:szCs w:val="22"/>
        </w:rPr>
        <w:t>.dne</w:t>
      </w:r>
      <w:proofErr w:type="spellEnd"/>
      <w:r w:rsidRPr="00D6394B">
        <w:rPr>
          <w:rFonts w:ascii="Arial" w:hAnsi="Arial" w:cs="Arial"/>
          <w:sz w:val="22"/>
          <w:szCs w:val="22"/>
        </w:rPr>
        <w:t xml:space="preserve"> </w:t>
      </w:r>
      <w:r>
        <w:rPr>
          <w:rFonts w:ascii="Arial" w:hAnsi="Arial" w:cs="Arial"/>
          <w:sz w:val="22"/>
          <w:szCs w:val="22"/>
        </w:rPr>
        <w:t>24. 10. 2014</w:t>
      </w:r>
      <w:r w:rsidRPr="00D6394B">
        <w:rPr>
          <w:rFonts w:ascii="Arial" w:hAnsi="Arial" w:cs="Arial"/>
          <w:sz w:val="22"/>
          <w:szCs w:val="22"/>
        </w:rPr>
        <w:tab/>
        <w:t xml:space="preserve">V </w:t>
      </w:r>
      <w:r>
        <w:rPr>
          <w:rFonts w:ascii="Arial" w:hAnsi="Arial" w:cs="Arial"/>
          <w:sz w:val="22"/>
          <w:szCs w:val="22"/>
        </w:rPr>
        <w:t>Praze</w:t>
      </w:r>
      <w:r w:rsidRPr="00D6394B">
        <w:rPr>
          <w:rFonts w:ascii="Arial" w:hAnsi="Arial" w:cs="Arial"/>
          <w:sz w:val="22"/>
          <w:szCs w:val="22"/>
        </w:rPr>
        <w:t xml:space="preserve"> dne </w:t>
      </w:r>
      <w:r>
        <w:rPr>
          <w:rFonts w:ascii="Arial" w:hAnsi="Arial" w:cs="Arial"/>
          <w:sz w:val="22"/>
          <w:szCs w:val="22"/>
        </w:rPr>
        <w:t>6. 10. 2014</w:t>
      </w:r>
    </w:p>
    <w:p w14:paraId="712A980C" w14:textId="77777777" w:rsidR="00E504E0" w:rsidRPr="00D6394B" w:rsidRDefault="00E504E0" w:rsidP="00E504E0">
      <w:pPr>
        <w:tabs>
          <w:tab w:val="left" w:pos="5245"/>
        </w:tabs>
        <w:rPr>
          <w:rFonts w:ascii="Arial" w:hAnsi="Arial" w:cs="Arial"/>
          <w:sz w:val="22"/>
          <w:szCs w:val="22"/>
        </w:rPr>
      </w:pPr>
    </w:p>
    <w:p w14:paraId="0A17EB77" w14:textId="77777777" w:rsidR="00E504E0" w:rsidRPr="00826B59" w:rsidRDefault="00E504E0" w:rsidP="00E504E0">
      <w:pPr>
        <w:tabs>
          <w:tab w:val="left" w:pos="4253"/>
          <w:tab w:val="left" w:pos="5245"/>
        </w:tabs>
        <w:spacing w:line="276" w:lineRule="auto"/>
        <w:rPr>
          <w:rFonts w:ascii="Arial" w:hAnsi="Arial" w:cs="Arial"/>
          <w:sz w:val="22"/>
          <w:szCs w:val="22"/>
        </w:rPr>
      </w:pPr>
      <w:r w:rsidRPr="00826B59">
        <w:rPr>
          <w:rFonts w:ascii="Arial" w:hAnsi="Arial" w:cs="Arial"/>
          <w:sz w:val="22"/>
          <w:szCs w:val="22"/>
        </w:rPr>
        <w:t>Za Pojišťovnu:</w:t>
      </w:r>
      <w:r>
        <w:rPr>
          <w:rFonts w:ascii="Arial" w:hAnsi="Arial" w:cs="Arial"/>
          <w:sz w:val="22"/>
          <w:szCs w:val="22"/>
        </w:rPr>
        <w:tab/>
      </w:r>
      <w:r>
        <w:rPr>
          <w:rFonts w:ascii="Arial" w:hAnsi="Arial" w:cs="Arial"/>
          <w:sz w:val="22"/>
          <w:szCs w:val="22"/>
        </w:rPr>
        <w:tab/>
      </w:r>
      <w:r w:rsidRPr="00826B59">
        <w:rPr>
          <w:rFonts w:ascii="Arial" w:hAnsi="Arial" w:cs="Arial"/>
          <w:sz w:val="22"/>
          <w:szCs w:val="22"/>
        </w:rPr>
        <w:t>Za držitele:</w:t>
      </w:r>
    </w:p>
    <w:p w14:paraId="52B0E54F" w14:textId="77777777" w:rsidR="00E504E0" w:rsidRPr="00826B59" w:rsidRDefault="00E504E0" w:rsidP="00E504E0">
      <w:pPr>
        <w:tabs>
          <w:tab w:val="left" w:pos="4253"/>
          <w:tab w:val="left" w:pos="5245"/>
        </w:tabs>
        <w:spacing w:line="276" w:lineRule="auto"/>
        <w:rPr>
          <w:rFonts w:ascii="Arial" w:hAnsi="Arial" w:cs="Arial"/>
          <w:sz w:val="22"/>
          <w:szCs w:val="22"/>
        </w:rPr>
      </w:pPr>
    </w:p>
    <w:p w14:paraId="6759E090" w14:textId="77777777" w:rsidR="00E504E0" w:rsidRDefault="00E504E0" w:rsidP="00E504E0">
      <w:pPr>
        <w:tabs>
          <w:tab w:val="left" w:pos="4253"/>
          <w:tab w:val="left" w:pos="5245"/>
        </w:tabs>
        <w:spacing w:line="276" w:lineRule="auto"/>
        <w:rPr>
          <w:rFonts w:ascii="Arial" w:hAnsi="Arial" w:cs="Arial"/>
          <w:sz w:val="22"/>
          <w:szCs w:val="22"/>
        </w:rPr>
      </w:pPr>
    </w:p>
    <w:p w14:paraId="7E08DE7C" w14:textId="77777777" w:rsidR="00E504E0" w:rsidRPr="00826B59" w:rsidRDefault="00E504E0" w:rsidP="00E504E0">
      <w:pPr>
        <w:tabs>
          <w:tab w:val="left" w:pos="4253"/>
          <w:tab w:val="left" w:pos="5245"/>
        </w:tabs>
        <w:spacing w:line="276" w:lineRule="auto"/>
        <w:rPr>
          <w:rFonts w:ascii="Arial" w:hAnsi="Arial" w:cs="Arial"/>
          <w:sz w:val="22"/>
          <w:szCs w:val="22"/>
        </w:rPr>
      </w:pPr>
      <w:r w:rsidRPr="00826B5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p>
    <w:p w14:paraId="354C23A6" w14:textId="77777777" w:rsidR="00E504E0" w:rsidRPr="00826B59" w:rsidRDefault="00E504E0" w:rsidP="00E504E0">
      <w:pPr>
        <w:tabs>
          <w:tab w:val="left" w:pos="4253"/>
          <w:tab w:val="left" w:pos="5245"/>
        </w:tabs>
        <w:spacing w:line="276" w:lineRule="auto"/>
        <w:rPr>
          <w:rFonts w:ascii="Arial" w:hAnsi="Arial" w:cs="Arial"/>
          <w:sz w:val="22"/>
          <w:szCs w:val="22"/>
        </w:rPr>
      </w:pPr>
      <w:r>
        <w:rPr>
          <w:rFonts w:ascii="Arial" w:hAnsi="Arial" w:cs="Arial"/>
          <w:b/>
          <w:sz w:val="22"/>
          <w:szCs w:val="22"/>
        </w:rPr>
        <w:t>JUDr. Petr Vaněk, Ph.D.</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26B59">
        <w:rPr>
          <w:rFonts w:ascii="Arial" w:hAnsi="Arial" w:cs="Arial"/>
          <w:b/>
          <w:sz w:val="22"/>
          <w:szCs w:val="22"/>
        </w:rPr>
        <w:t xml:space="preserve">Biogen </w:t>
      </w:r>
      <w:proofErr w:type="spellStart"/>
      <w:r w:rsidRPr="00826B59">
        <w:rPr>
          <w:rFonts w:ascii="Arial" w:hAnsi="Arial" w:cs="Arial"/>
          <w:b/>
          <w:sz w:val="22"/>
          <w:szCs w:val="22"/>
        </w:rPr>
        <w:t>Idec</w:t>
      </w:r>
      <w:proofErr w:type="spellEnd"/>
      <w:r w:rsidRPr="00826B59">
        <w:rPr>
          <w:rFonts w:ascii="Arial" w:hAnsi="Arial" w:cs="Arial"/>
          <w:b/>
          <w:sz w:val="22"/>
          <w:szCs w:val="22"/>
        </w:rPr>
        <w:t xml:space="preserve"> Limited</w:t>
      </w:r>
    </w:p>
    <w:p w14:paraId="450060A9" w14:textId="77777777" w:rsidR="00E504E0" w:rsidRPr="00E504E0" w:rsidRDefault="00E504E0" w:rsidP="00E504E0">
      <w:pPr>
        <w:tabs>
          <w:tab w:val="left" w:pos="5103"/>
        </w:tabs>
        <w:spacing w:line="276" w:lineRule="auto"/>
        <w:rPr>
          <w:rFonts w:ascii="Arial" w:hAnsi="Arial" w:cs="Arial"/>
          <w:sz w:val="22"/>
          <w:szCs w:val="22"/>
        </w:rPr>
      </w:pPr>
      <w:r>
        <w:rPr>
          <w:rFonts w:ascii="Arial" w:hAnsi="Arial" w:cs="Arial"/>
          <w:sz w:val="22"/>
          <w:szCs w:val="22"/>
        </w:rPr>
        <w:t>generální ředitel</w:t>
      </w:r>
      <w:r>
        <w:rPr>
          <w:rFonts w:ascii="Arial" w:hAnsi="Arial" w:cs="Arial"/>
          <w:sz w:val="22"/>
          <w:szCs w:val="22"/>
        </w:rPr>
        <w:tab/>
        <w:t xml:space="preserve">  </w:t>
      </w:r>
      <w:r w:rsidRPr="00826B59">
        <w:rPr>
          <w:rFonts w:ascii="Arial" w:hAnsi="Arial" w:cs="Arial"/>
          <w:sz w:val="22"/>
          <w:szCs w:val="22"/>
        </w:rPr>
        <w:t xml:space="preserve">Biogen </w:t>
      </w:r>
      <w:proofErr w:type="spellStart"/>
      <w:r w:rsidRPr="00826B59">
        <w:rPr>
          <w:rFonts w:ascii="Arial" w:hAnsi="Arial" w:cs="Arial"/>
          <w:sz w:val="22"/>
          <w:szCs w:val="22"/>
        </w:rPr>
        <w:t>Idec</w:t>
      </w:r>
      <w:proofErr w:type="spellEnd"/>
      <w:r w:rsidRPr="00826B59">
        <w:rPr>
          <w:rFonts w:ascii="Arial" w:hAnsi="Arial" w:cs="Arial"/>
          <w:sz w:val="22"/>
          <w:szCs w:val="22"/>
        </w:rPr>
        <w:t xml:space="preserve"> (Czech Republic</w:t>
      </w:r>
      <w:r w:rsidRPr="006B74EC">
        <w:rPr>
          <w:rFonts w:ascii="Arial" w:hAnsi="Arial" w:cs="Arial"/>
          <w:sz w:val="22"/>
          <w:szCs w:val="22"/>
        </w:rPr>
        <w:t>), s. r. o.</w:t>
      </w:r>
    </w:p>
    <w:p w14:paraId="3A890691" w14:textId="77777777" w:rsidR="00E504E0" w:rsidRPr="00826B59" w:rsidRDefault="00E504E0" w:rsidP="00E504E0">
      <w:pPr>
        <w:tabs>
          <w:tab w:val="left" w:pos="4678"/>
        </w:tabs>
        <w:spacing w:line="276" w:lineRule="auto"/>
        <w:rPr>
          <w:rFonts w:ascii="Arial" w:hAnsi="Arial" w:cs="Arial"/>
          <w:sz w:val="22"/>
          <w:szCs w:val="22"/>
        </w:rPr>
      </w:pPr>
      <w:r>
        <w:rPr>
          <w:rFonts w:ascii="Arial" w:hAnsi="Arial" w:cs="Arial"/>
          <w:sz w:val="22"/>
          <w:szCs w:val="22"/>
        </w:rPr>
        <w:t>České průmyslové zdravotní pojišťovny</w:t>
      </w:r>
      <w:r>
        <w:rPr>
          <w:rFonts w:ascii="Arial" w:hAnsi="Arial" w:cs="Arial"/>
          <w:sz w:val="22"/>
          <w:szCs w:val="22"/>
        </w:rPr>
        <w:tab/>
      </w:r>
      <w:r>
        <w:rPr>
          <w:rFonts w:ascii="Arial" w:hAnsi="Arial" w:cs="Arial"/>
          <w:sz w:val="22"/>
          <w:szCs w:val="22"/>
        </w:rPr>
        <w:tab/>
      </w:r>
      <w:r>
        <w:rPr>
          <w:rFonts w:ascii="Arial" w:hAnsi="Arial" w:cs="Arial"/>
          <w:sz w:val="22"/>
          <w:szCs w:val="22"/>
        </w:rPr>
        <w:tab/>
      </w:r>
      <w:r w:rsidRPr="00826B59">
        <w:rPr>
          <w:rFonts w:ascii="Arial" w:hAnsi="Arial" w:cs="Arial"/>
          <w:sz w:val="22"/>
          <w:szCs w:val="22"/>
        </w:rPr>
        <w:t>zástupce v</w:t>
      </w:r>
      <w:r>
        <w:rPr>
          <w:rFonts w:ascii="Arial" w:hAnsi="Arial" w:cs="Arial"/>
          <w:sz w:val="22"/>
          <w:szCs w:val="22"/>
        </w:rPr>
        <w:t> </w:t>
      </w:r>
      <w:r w:rsidRPr="00826B59">
        <w:rPr>
          <w:rFonts w:ascii="Arial" w:hAnsi="Arial" w:cs="Arial"/>
          <w:sz w:val="22"/>
          <w:szCs w:val="22"/>
        </w:rPr>
        <w:t xml:space="preserve">plné moci, zastoupen </w:t>
      </w:r>
    </w:p>
    <w:p w14:paraId="35CDB3FB" w14:textId="77777777" w:rsidR="00E504E0" w:rsidRPr="00826B59" w:rsidRDefault="00E504E0" w:rsidP="00E504E0">
      <w:pPr>
        <w:tabs>
          <w:tab w:val="left" w:pos="4253"/>
          <w:tab w:val="left" w:pos="4962"/>
        </w:tabs>
        <w:spacing w:line="276" w:lineRule="auto"/>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sidRPr="00826B59">
        <w:rPr>
          <w:rFonts w:ascii="Arial" w:hAnsi="Arial" w:cs="Arial"/>
          <w:b/>
          <w:sz w:val="22"/>
          <w:szCs w:val="22"/>
        </w:rPr>
        <w:t>RNDr. Michaela Hrdličková, MBA</w:t>
      </w:r>
    </w:p>
    <w:p w14:paraId="2D608CF9" w14:textId="2F7E6CB7" w:rsidR="004B31BB" w:rsidRDefault="00E504E0" w:rsidP="00E504E0">
      <w:pPr>
        <w:tabs>
          <w:tab w:val="left" w:pos="4253"/>
          <w:tab w:val="left" w:pos="5245"/>
        </w:tabs>
      </w:pP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826B59">
        <w:rPr>
          <w:rFonts w:ascii="Arial" w:hAnsi="Arial" w:cs="Arial"/>
          <w:sz w:val="22"/>
          <w:szCs w:val="22"/>
        </w:rPr>
        <w:t>jednatelk</w:t>
      </w:r>
      <w:r>
        <w:rPr>
          <w:rFonts w:ascii="Arial" w:hAnsi="Arial" w:cs="Arial"/>
          <w:sz w:val="22"/>
          <w:szCs w:val="22"/>
        </w:rPr>
        <w:t>a</w:t>
      </w:r>
    </w:p>
    <w:sectPr w:rsidR="004B31BB" w:rsidSect="00063FEA">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A30F6" w14:textId="77777777" w:rsidR="000A7327" w:rsidRDefault="000A7327">
      <w:r>
        <w:separator/>
      </w:r>
    </w:p>
  </w:endnote>
  <w:endnote w:type="continuationSeparator" w:id="0">
    <w:p w14:paraId="2F6F5CEA" w14:textId="77777777" w:rsidR="000A7327" w:rsidRDefault="000A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C1CA" w14:textId="3D1D8230" w:rsidR="00047289" w:rsidRDefault="00047289">
    <w:pPr>
      <w:pStyle w:val="Footer"/>
      <w:framePr w:wrap="auto"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B70C6">
      <w:rPr>
        <w:rStyle w:val="PageNumber"/>
        <w:rFonts w:eastAsiaTheme="majorEastAsia"/>
        <w:noProof/>
      </w:rPr>
      <w:t>8</w:t>
    </w:r>
    <w:r>
      <w:rPr>
        <w:rStyle w:val="PageNumber"/>
        <w:rFonts w:eastAsiaTheme="majorEastAsia"/>
      </w:rPr>
      <w:fldChar w:fldCharType="end"/>
    </w:r>
  </w:p>
  <w:p w14:paraId="3636583F" w14:textId="77777777" w:rsidR="00047289" w:rsidRDefault="00047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43853" w14:textId="77777777" w:rsidR="000A7327" w:rsidRDefault="000A7327">
      <w:r>
        <w:separator/>
      </w:r>
    </w:p>
  </w:footnote>
  <w:footnote w:type="continuationSeparator" w:id="0">
    <w:p w14:paraId="7FF3EB07" w14:textId="77777777" w:rsidR="000A7327" w:rsidRDefault="000A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0BEE" w14:textId="77777777" w:rsidR="00047289" w:rsidRPr="00BD4C95" w:rsidRDefault="00047289" w:rsidP="00BD4C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15:restartNumberingAfterBreak="0">
    <w:nsid w:val="129230F3"/>
    <w:multiLevelType w:val="hybridMultilevel"/>
    <w:tmpl w:val="5BB00A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E3695B"/>
    <w:multiLevelType w:val="hybridMultilevel"/>
    <w:tmpl w:val="BF768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D6676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00A08FD"/>
    <w:multiLevelType w:val="hybridMultilevel"/>
    <w:tmpl w:val="CBFE6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4136F0"/>
    <w:multiLevelType w:val="hybridMultilevel"/>
    <w:tmpl w:val="12A225A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B7338E8"/>
    <w:multiLevelType w:val="hybridMultilevel"/>
    <w:tmpl w:val="C46E41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298250">
    <w:abstractNumId w:val="0"/>
  </w:num>
  <w:num w:numId="2" w16cid:durableId="300113662">
    <w:abstractNumId w:val="3"/>
  </w:num>
  <w:num w:numId="3" w16cid:durableId="1439058877">
    <w:abstractNumId w:val="2"/>
  </w:num>
  <w:num w:numId="4" w16cid:durableId="734933350">
    <w:abstractNumId w:val="4"/>
  </w:num>
  <w:num w:numId="5" w16cid:durableId="1689213962">
    <w:abstractNumId w:val="6"/>
  </w:num>
  <w:num w:numId="6" w16cid:durableId="1533615576">
    <w:abstractNumId w:val="10"/>
  </w:num>
  <w:num w:numId="7" w16cid:durableId="66347898">
    <w:abstractNumId w:val="9"/>
  </w:num>
  <w:num w:numId="8" w16cid:durableId="27801598">
    <w:abstractNumId w:val="8"/>
  </w:num>
  <w:num w:numId="9" w16cid:durableId="1289702307">
    <w:abstractNumId w:val="5"/>
  </w:num>
  <w:num w:numId="10" w16cid:durableId="212423806">
    <w:abstractNumId w:val="11"/>
  </w:num>
  <w:num w:numId="11" w16cid:durableId="133370700">
    <w:abstractNumId w:val="7"/>
  </w:num>
  <w:num w:numId="12" w16cid:durableId="132142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EA"/>
    <w:rsid w:val="0001666B"/>
    <w:rsid w:val="00047289"/>
    <w:rsid w:val="00051E62"/>
    <w:rsid w:val="00063FEA"/>
    <w:rsid w:val="000A7327"/>
    <w:rsid w:val="00105131"/>
    <w:rsid w:val="001302DF"/>
    <w:rsid w:val="001464CC"/>
    <w:rsid w:val="001D610C"/>
    <w:rsid w:val="00302260"/>
    <w:rsid w:val="003A5D41"/>
    <w:rsid w:val="003D0ED1"/>
    <w:rsid w:val="00456118"/>
    <w:rsid w:val="004B31BB"/>
    <w:rsid w:val="00520F82"/>
    <w:rsid w:val="00561570"/>
    <w:rsid w:val="00586796"/>
    <w:rsid w:val="00592907"/>
    <w:rsid w:val="005A3969"/>
    <w:rsid w:val="00642579"/>
    <w:rsid w:val="006B74EC"/>
    <w:rsid w:val="006D3B4F"/>
    <w:rsid w:val="007026F4"/>
    <w:rsid w:val="007156BF"/>
    <w:rsid w:val="00721E90"/>
    <w:rsid w:val="00740D50"/>
    <w:rsid w:val="0080006D"/>
    <w:rsid w:val="00865AD7"/>
    <w:rsid w:val="008B1750"/>
    <w:rsid w:val="00B719B7"/>
    <w:rsid w:val="00B77944"/>
    <w:rsid w:val="00B8187A"/>
    <w:rsid w:val="00B858AE"/>
    <w:rsid w:val="00BE5C56"/>
    <w:rsid w:val="00CA0A78"/>
    <w:rsid w:val="00CB70C6"/>
    <w:rsid w:val="00D27654"/>
    <w:rsid w:val="00D27C43"/>
    <w:rsid w:val="00D34CC1"/>
    <w:rsid w:val="00D65A16"/>
    <w:rsid w:val="00D73A23"/>
    <w:rsid w:val="00DA36EA"/>
    <w:rsid w:val="00DA4E7C"/>
    <w:rsid w:val="00DE4494"/>
    <w:rsid w:val="00E504E0"/>
    <w:rsid w:val="00E72072"/>
    <w:rsid w:val="00F40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53B2"/>
  <w15:chartTrackingRefBased/>
  <w15:docId w15:val="{4AD6C3DD-D289-4A57-A4D6-2EC77C8C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E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Heading1">
    <w:name w:val="heading 1"/>
    <w:basedOn w:val="Normal"/>
    <w:next w:val="Normal"/>
    <w:link w:val="Heading1Char"/>
    <w:uiPriority w:val="9"/>
    <w:qFormat/>
    <w:rsid w:val="0006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F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F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F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F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FEA"/>
    <w:rPr>
      <w:rFonts w:eastAsiaTheme="majorEastAsia" w:cstheme="majorBidi"/>
      <w:color w:val="272727" w:themeColor="text1" w:themeTint="D8"/>
    </w:rPr>
  </w:style>
  <w:style w:type="paragraph" w:styleId="Title">
    <w:name w:val="Title"/>
    <w:basedOn w:val="Normal"/>
    <w:next w:val="Normal"/>
    <w:link w:val="TitleChar"/>
    <w:uiPriority w:val="10"/>
    <w:qFormat/>
    <w:rsid w:val="00063F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FEA"/>
    <w:pPr>
      <w:spacing w:before="160"/>
      <w:jc w:val="center"/>
    </w:pPr>
    <w:rPr>
      <w:i/>
      <w:iCs/>
      <w:color w:val="404040" w:themeColor="text1" w:themeTint="BF"/>
    </w:rPr>
  </w:style>
  <w:style w:type="character" w:customStyle="1" w:styleId="QuoteChar">
    <w:name w:val="Quote Char"/>
    <w:basedOn w:val="DefaultParagraphFont"/>
    <w:link w:val="Quote"/>
    <w:uiPriority w:val="29"/>
    <w:rsid w:val="00063FEA"/>
    <w:rPr>
      <w:i/>
      <w:iCs/>
      <w:color w:val="404040" w:themeColor="text1" w:themeTint="BF"/>
    </w:rPr>
  </w:style>
  <w:style w:type="paragraph" w:styleId="ListParagraph">
    <w:name w:val="List Paragraph"/>
    <w:basedOn w:val="Normal"/>
    <w:uiPriority w:val="34"/>
    <w:qFormat/>
    <w:rsid w:val="00063FEA"/>
    <w:pPr>
      <w:ind w:left="720"/>
      <w:contextualSpacing/>
    </w:pPr>
  </w:style>
  <w:style w:type="character" w:styleId="IntenseEmphasis">
    <w:name w:val="Intense Emphasis"/>
    <w:basedOn w:val="DefaultParagraphFont"/>
    <w:uiPriority w:val="21"/>
    <w:qFormat/>
    <w:rsid w:val="00063FEA"/>
    <w:rPr>
      <w:i/>
      <w:iCs/>
      <w:color w:val="0F4761" w:themeColor="accent1" w:themeShade="BF"/>
    </w:rPr>
  </w:style>
  <w:style w:type="paragraph" w:styleId="IntenseQuote">
    <w:name w:val="Intense Quote"/>
    <w:basedOn w:val="Normal"/>
    <w:next w:val="Normal"/>
    <w:link w:val="IntenseQuoteChar"/>
    <w:uiPriority w:val="30"/>
    <w:qFormat/>
    <w:rsid w:val="0006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FEA"/>
    <w:rPr>
      <w:i/>
      <w:iCs/>
      <w:color w:val="0F4761" w:themeColor="accent1" w:themeShade="BF"/>
    </w:rPr>
  </w:style>
  <w:style w:type="character" w:styleId="IntenseReference">
    <w:name w:val="Intense Reference"/>
    <w:basedOn w:val="DefaultParagraphFont"/>
    <w:uiPriority w:val="32"/>
    <w:qFormat/>
    <w:rsid w:val="00063FEA"/>
    <w:rPr>
      <w:b/>
      <w:bCs/>
      <w:smallCaps/>
      <w:color w:val="0F4761" w:themeColor="accent1" w:themeShade="BF"/>
      <w:spacing w:val="5"/>
    </w:rPr>
  </w:style>
  <w:style w:type="paragraph" w:styleId="Footer">
    <w:name w:val="footer"/>
    <w:basedOn w:val="Normal"/>
    <w:link w:val="FooterChar"/>
    <w:uiPriority w:val="99"/>
    <w:rsid w:val="00063FEA"/>
    <w:pPr>
      <w:tabs>
        <w:tab w:val="center" w:pos="4536"/>
        <w:tab w:val="right" w:pos="9072"/>
      </w:tabs>
    </w:pPr>
  </w:style>
  <w:style w:type="character" w:customStyle="1" w:styleId="FooterChar">
    <w:name w:val="Footer Char"/>
    <w:basedOn w:val="DefaultParagraphFont"/>
    <w:link w:val="Footer"/>
    <w:uiPriority w:val="99"/>
    <w:rsid w:val="00063FEA"/>
    <w:rPr>
      <w:rFonts w:ascii="Times New Roman" w:eastAsia="Times New Roman" w:hAnsi="Times New Roman" w:cs="Times New Roman"/>
      <w:kern w:val="0"/>
      <w:sz w:val="20"/>
      <w:szCs w:val="20"/>
      <w:lang w:eastAsia="cs-CZ"/>
      <w14:ligatures w14:val="none"/>
    </w:rPr>
  </w:style>
  <w:style w:type="character" w:styleId="PageNumber">
    <w:name w:val="page number"/>
    <w:basedOn w:val="DefaultParagraphFont"/>
    <w:uiPriority w:val="99"/>
    <w:rsid w:val="00063FEA"/>
    <w:rPr>
      <w:rFonts w:cs="Times New Roman"/>
    </w:rPr>
  </w:style>
  <w:style w:type="paragraph" w:styleId="Header">
    <w:name w:val="header"/>
    <w:basedOn w:val="Normal"/>
    <w:link w:val="HeaderChar"/>
    <w:uiPriority w:val="99"/>
    <w:rsid w:val="00063FEA"/>
    <w:pPr>
      <w:tabs>
        <w:tab w:val="center" w:pos="4536"/>
        <w:tab w:val="right" w:pos="9072"/>
      </w:tabs>
    </w:pPr>
  </w:style>
  <w:style w:type="character" w:customStyle="1" w:styleId="HeaderChar">
    <w:name w:val="Header Char"/>
    <w:basedOn w:val="DefaultParagraphFont"/>
    <w:link w:val="Header"/>
    <w:uiPriority w:val="99"/>
    <w:rsid w:val="00063FEA"/>
    <w:rPr>
      <w:rFonts w:ascii="Times New Roman" w:eastAsia="Times New Roman" w:hAnsi="Times New Roman" w:cs="Times New Roman"/>
      <w:kern w:val="0"/>
      <w:sz w:val="20"/>
      <w:szCs w:val="20"/>
      <w:lang w:eastAsia="cs-CZ"/>
      <w14:ligatures w14:val="none"/>
    </w:rPr>
  </w:style>
  <w:style w:type="paragraph" w:styleId="BodyText">
    <w:name w:val="Body Text"/>
    <w:basedOn w:val="Normal"/>
    <w:link w:val="BodyTextChar"/>
    <w:uiPriority w:val="99"/>
    <w:rsid w:val="00063FEA"/>
    <w:pPr>
      <w:spacing w:before="120" w:line="312" w:lineRule="auto"/>
      <w:jc w:val="center"/>
    </w:pPr>
    <w:rPr>
      <w:b/>
      <w:sz w:val="28"/>
    </w:rPr>
  </w:style>
  <w:style w:type="character" w:customStyle="1" w:styleId="BodyTextChar">
    <w:name w:val="Body Text Char"/>
    <w:basedOn w:val="DefaultParagraphFont"/>
    <w:link w:val="BodyText"/>
    <w:uiPriority w:val="99"/>
    <w:rsid w:val="00063FEA"/>
    <w:rPr>
      <w:rFonts w:ascii="Times New Roman" w:eastAsia="Times New Roman" w:hAnsi="Times New Roman" w:cs="Times New Roman"/>
      <w:b/>
      <w:kern w:val="0"/>
      <w:sz w:val="28"/>
      <w:szCs w:val="20"/>
      <w:lang w:eastAsia="cs-CZ"/>
      <w14:ligatures w14:val="none"/>
    </w:rPr>
  </w:style>
  <w:style w:type="paragraph" w:customStyle="1" w:styleId="Zkladntext21">
    <w:name w:val="Základní text 21"/>
    <w:basedOn w:val="Normal"/>
    <w:uiPriority w:val="99"/>
    <w:rsid w:val="00063FEA"/>
    <w:pPr>
      <w:spacing w:before="120" w:line="240" w:lineRule="exact"/>
      <w:jc w:val="both"/>
    </w:pPr>
    <w:rPr>
      <w:sz w:val="24"/>
    </w:rPr>
  </w:style>
  <w:style w:type="paragraph" w:customStyle="1" w:styleId="Stylpravidel">
    <w:name w:val="Styl pravidel"/>
    <w:basedOn w:val="Normal"/>
    <w:uiPriority w:val="99"/>
    <w:rsid w:val="00063FEA"/>
    <w:pPr>
      <w:suppressAutoHyphens/>
      <w:overflowPunct/>
      <w:autoSpaceDE/>
      <w:autoSpaceDN/>
      <w:adjustRightInd/>
      <w:spacing w:before="240" w:line="360" w:lineRule="auto"/>
      <w:jc w:val="both"/>
      <w:textAlignment w:val="auto"/>
    </w:pPr>
    <w:rPr>
      <w:sz w:val="24"/>
      <w:lang w:eastAsia="ar-SA"/>
    </w:rPr>
  </w:style>
  <w:style w:type="paragraph" w:styleId="NoSpacing">
    <w:name w:val="No Spacing"/>
    <w:uiPriority w:val="1"/>
    <w:qFormat/>
    <w:rsid w:val="00063FE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table" w:styleId="TableGrid">
    <w:name w:val="Table Grid"/>
    <w:basedOn w:val="TableNormal"/>
    <w:uiPriority w:val="39"/>
    <w:rsid w:val="0030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5A18-A169-4004-89C5-B58347BD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2494</Words>
  <Characters>14719</Characters>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2024-07-18T09:44:00Z</dcterms:created>
  <dcterms:modified xsi:type="dcterms:W3CDTF">2024-09-23T15:32:00Z</dcterms:modified>
</cp:coreProperties>
</file>