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D3D29" w14:textId="77777777" w:rsidR="00E36F77" w:rsidRPr="00211427" w:rsidRDefault="00E36F77" w:rsidP="00E36F77">
      <w:pPr>
        <w:pStyle w:val="Zkladntext"/>
        <w:spacing w:after="120"/>
        <w:rPr>
          <w:szCs w:val="28"/>
        </w:rPr>
      </w:pPr>
      <w:r w:rsidRPr="00211427">
        <w:rPr>
          <w:szCs w:val="28"/>
        </w:rPr>
        <w:t xml:space="preserve">DODATEK Č. </w:t>
      </w:r>
      <w:r>
        <w:rPr>
          <w:szCs w:val="28"/>
        </w:rPr>
        <w:t>1</w:t>
      </w:r>
    </w:p>
    <w:p w14:paraId="4F2011DB" w14:textId="348EDF27" w:rsidR="00E36F77" w:rsidRPr="00C37CA7" w:rsidRDefault="00E36F77" w:rsidP="00E36F77">
      <w:pPr>
        <w:pStyle w:val="Zkladntext"/>
        <w:spacing w:after="12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KE SMLOUVĚ</w:t>
      </w:r>
      <w:r w:rsidRPr="00C37CA7">
        <w:rPr>
          <w:smallCaps/>
          <w:sz w:val="24"/>
          <w:szCs w:val="24"/>
        </w:rPr>
        <w:t xml:space="preserve"> </w:t>
      </w:r>
      <w:r w:rsidRPr="002E6959">
        <w:rPr>
          <w:smallCaps/>
          <w:sz w:val="24"/>
          <w:szCs w:val="24"/>
        </w:rPr>
        <w:t xml:space="preserve">O HRAZENÍ LÉČIVÉHO PŘÍPRAVKU </w:t>
      </w:r>
      <w:proofErr w:type="spellStart"/>
      <w:r w:rsidR="00886B91" w:rsidRPr="006170F5">
        <w:rPr>
          <w:rFonts w:ascii="Calibri" w:hAnsi="Calibri"/>
          <w:highlight w:val="black"/>
        </w:rPr>
        <w:t>xxxxxxxxxxxxxxxx</w:t>
      </w:r>
      <w:proofErr w:type="spellEnd"/>
      <w:r w:rsidRPr="002E6959">
        <w:rPr>
          <w:smallCaps/>
          <w:sz w:val="24"/>
          <w:szCs w:val="24"/>
        </w:rPr>
        <w:t xml:space="preserve"> PACIENTŮM Z UKONČENÉ STUDIE </w:t>
      </w:r>
      <w:proofErr w:type="spellStart"/>
      <w:r w:rsidR="00804811" w:rsidRPr="006170F5">
        <w:rPr>
          <w:rFonts w:ascii="Calibri" w:hAnsi="Calibri"/>
          <w:highlight w:val="black"/>
        </w:rPr>
        <w:t>xxxxxxxxxxxxxxxx</w:t>
      </w:r>
      <w:proofErr w:type="spellEnd"/>
    </w:p>
    <w:p w14:paraId="1C59CEBC" w14:textId="5368E807" w:rsidR="00E36F77" w:rsidRPr="00211427" w:rsidRDefault="00E36F77" w:rsidP="00E36F77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uzavřené</w:t>
      </w:r>
      <w:r w:rsidRPr="00AC070F">
        <w:rPr>
          <w:sz w:val="24"/>
          <w:szCs w:val="24"/>
        </w:rPr>
        <w:t xml:space="preserve"> dohodou smluvních stran v souladu s ustanovením § 1746 odst. 2 zákona č. 89/2012 Sb., </w:t>
      </w:r>
      <w:r>
        <w:rPr>
          <w:sz w:val="24"/>
          <w:szCs w:val="24"/>
        </w:rPr>
        <w:t>o</w:t>
      </w:r>
      <w:r w:rsidRPr="00AC070F">
        <w:rPr>
          <w:sz w:val="24"/>
          <w:szCs w:val="24"/>
        </w:rPr>
        <w:t>bčanský zákoník</w:t>
      </w:r>
      <w:r>
        <w:rPr>
          <w:sz w:val="24"/>
          <w:szCs w:val="24"/>
        </w:rPr>
        <w:t xml:space="preserve"> (dále jen „občanský zákoník“) </w:t>
      </w:r>
      <w:r w:rsidRPr="00211427">
        <w:rPr>
          <w:sz w:val="24"/>
          <w:szCs w:val="24"/>
        </w:rPr>
        <w:t xml:space="preserve">mezi níže uvedenými smluvními stranami dne </w:t>
      </w:r>
      <w:r w:rsidR="00943153">
        <w:rPr>
          <w:sz w:val="24"/>
          <w:szCs w:val="24"/>
        </w:rPr>
        <w:t>24. 10. 2014</w:t>
      </w:r>
      <w:r w:rsidRPr="002114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11427">
        <w:rPr>
          <w:sz w:val="24"/>
          <w:szCs w:val="24"/>
        </w:rPr>
        <w:t>(dále jen „</w:t>
      </w:r>
      <w:r w:rsidRPr="0055117F">
        <w:rPr>
          <w:b/>
          <w:sz w:val="24"/>
          <w:szCs w:val="24"/>
        </w:rPr>
        <w:t>Smlouva</w:t>
      </w:r>
      <w:r w:rsidRPr="00211427">
        <w:rPr>
          <w:sz w:val="24"/>
          <w:szCs w:val="24"/>
        </w:rPr>
        <w:t>“).</w:t>
      </w:r>
    </w:p>
    <w:p w14:paraId="3C5CC369" w14:textId="77777777" w:rsidR="00E36F77" w:rsidRPr="00211427" w:rsidRDefault="00E36F77" w:rsidP="00E36F77">
      <w:pPr>
        <w:spacing w:before="120"/>
        <w:jc w:val="center"/>
        <w:rPr>
          <w:b/>
          <w:sz w:val="24"/>
          <w:szCs w:val="24"/>
        </w:rPr>
      </w:pPr>
    </w:p>
    <w:p w14:paraId="0488A2DF" w14:textId="77777777" w:rsidR="00943153" w:rsidRPr="00943153" w:rsidRDefault="00943153" w:rsidP="00943153">
      <w:pPr>
        <w:pStyle w:val="Odstavecseseznamem"/>
        <w:numPr>
          <w:ilvl w:val="0"/>
          <w:numId w:val="4"/>
        </w:numPr>
        <w:spacing w:before="120"/>
        <w:ind w:left="364"/>
        <w:rPr>
          <w:b/>
          <w:sz w:val="22"/>
          <w:szCs w:val="22"/>
        </w:rPr>
      </w:pPr>
      <w:r w:rsidRPr="00943153">
        <w:rPr>
          <w:b/>
          <w:sz w:val="22"/>
          <w:szCs w:val="22"/>
        </w:rPr>
        <w:t>Česká průmyslová zdravotní pojišťovna</w:t>
      </w:r>
    </w:p>
    <w:p w14:paraId="08DCE755" w14:textId="77777777" w:rsidR="00943153" w:rsidRPr="00943153" w:rsidRDefault="00943153" w:rsidP="00943153">
      <w:pPr>
        <w:spacing w:before="120"/>
        <w:jc w:val="both"/>
        <w:rPr>
          <w:b/>
          <w:sz w:val="22"/>
          <w:szCs w:val="22"/>
        </w:rPr>
      </w:pPr>
      <w:r w:rsidRPr="00943153">
        <w:rPr>
          <w:b/>
          <w:sz w:val="22"/>
          <w:szCs w:val="22"/>
        </w:rPr>
        <w:t>se sídlem:</w:t>
      </w:r>
      <w:r w:rsidRPr="00943153">
        <w:rPr>
          <w:b/>
          <w:sz w:val="22"/>
          <w:szCs w:val="22"/>
        </w:rPr>
        <w:tab/>
      </w:r>
      <w:r w:rsidRPr="00943153">
        <w:rPr>
          <w:sz w:val="22"/>
          <w:szCs w:val="22"/>
        </w:rPr>
        <w:t>Jeremenkova 11, 703 00 Ostrava - Vítkovice</w:t>
      </w:r>
      <w:r w:rsidRPr="00943153">
        <w:rPr>
          <w:b/>
          <w:sz w:val="22"/>
          <w:szCs w:val="22"/>
        </w:rPr>
        <w:t xml:space="preserve"> </w:t>
      </w:r>
    </w:p>
    <w:p w14:paraId="1DA362B3" w14:textId="77777777" w:rsidR="00943153" w:rsidRPr="00943153" w:rsidRDefault="00943153" w:rsidP="00943153">
      <w:pPr>
        <w:spacing w:before="120"/>
        <w:rPr>
          <w:b/>
          <w:sz w:val="22"/>
          <w:szCs w:val="22"/>
        </w:rPr>
      </w:pPr>
      <w:r w:rsidRPr="00943153">
        <w:rPr>
          <w:b/>
          <w:sz w:val="22"/>
          <w:szCs w:val="22"/>
        </w:rPr>
        <w:t xml:space="preserve">zastoupena: </w:t>
      </w:r>
      <w:r w:rsidRPr="00943153">
        <w:rPr>
          <w:b/>
          <w:sz w:val="22"/>
          <w:szCs w:val="22"/>
        </w:rPr>
        <w:tab/>
      </w:r>
      <w:r w:rsidRPr="00943153">
        <w:rPr>
          <w:sz w:val="22"/>
          <w:szCs w:val="22"/>
        </w:rPr>
        <w:t>JUDr. Petr Vaněk, Ph.D., generální ředitel</w:t>
      </w:r>
    </w:p>
    <w:p w14:paraId="200E370F" w14:textId="77777777" w:rsidR="00943153" w:rsidRPr="00943153" w:rsidRDefault="00943153" w:rsidP="00943153">
      <w:pPr>
        <w:spacing w:before="120"/>
        <w:rPr>
          <w:b/>
          <w:sz w:val="22"/>
          <w:szCs w:val="22"/>
        </w:rPr>
      </w:pPr>
      <w:r w:rsidRPr="00943153">
        <w:rPr>
          <w:b/>
          <w:sz w:val="22"/>
          <w:szCs w:val="22"/>
        </w:rPr>
        <w:t>IČO:</w:t>
      </w:r>
      <w:r w:rsidRPr="00943153">
        <w:rPr>
          <w:b/>
          <w:sz w:val="22"/>
          <w:szCs w:val="22"/>
        </w:rPr>
        <w:tab/>
      </w:r>
      <w:r w:rsidRPr="00943153">
        <w:rPr>
          <w:sz w:val="22"/>
          <w:szCs w:val="22"/>
        </w:rPr>
        <w:t>47672234</w:t>
      </w:r>
      <w:r w:rsidRPr="00943153">
        <w:rPr>
          <w:b/>
          <w:sz w:val="22"/>
          <w:szCs w:val="22"/>
        </w:rPr>
        <w:tab/>
      </w:r>
    </w:p>
    <w:p w14:paraId="5C62FF9B" w14:textId="77777777" w:rsidR="00943153" w:rsidRPr="00943153" w:rsidRDefault="00943153" w:rsidP="00943153">
      <w:pPr>
        <w:spacing w:before="120"/>
        <w:rPr>
          <w:b/>
          <w:sz w:val="22"/>
          <w:szCs w:val="22"/>
        </w:rPr>
      </w:pPr>
      <w:r w:rsidRPr="00943153">
        <w:rPr>
          <w:b/>
          <w:sz w:val="22"/>
          <w:szCs w:val="22"/>
        </w:rPr>
        <w:t xml:space="preserve">zapsaná v obchodním rejstříku vedeném Krajským soudem v Ostravě, </w:t>
      </w:r>
      <w:proofErr w:type="spellStart"/>
      <w:r w:rsidRPr="00943153">
        <w:rPr>
          <w:b/>
          <w:sz w:val="22"/>
          <w:szCs w:val="22"/>
        </w:rPr>
        <w:t>sp</w:t>
      </w:r>
      <w:proofErr w:type="spellEnd"/>
      <w:r w:rsidRPr="00943153">
        <w:rPr>
          <w:b/>
          <w:sz w:val="22"/>
          <w:szCs w:val="22"/>
        </w:rPr>
        <w:t>. zn. AXIV, 545</w:t>
      </w:r>
    </w:p>
    <w:p w14:paraId="5CF4D03F" w14:textId="6BC24119" w:rsidR="00943153" w:rsidRPr="00943153" w:rsidRDefault="00943153" w:rsidP="00943153">
      <w:pPr>
        <w:spacing w:before="120"/>
        <w:rPr>
          <w:color w:val="3D3D3D"/>
          <w:sz w:val="22"/>
          <w:szCs w:val="22"/>
        </w:rPr>
      </w:pPr>
      <w:r w:rsidRPr="00943153">
        <w:rPr>
          <w:b/>
          <w:sz w:val="22"/>
          <w:szCs w:val="22"/>
        </w:rPr>
        <w:t>bankovní spojení:</w:t>
      </w:r>
      <w:r w:rsidRPr="00943153">
        <w:rPr>
          <w:color w:val="3D3D3D"/>
          <w:sz w:val="22"/>
          <w:szCs w:val="22"/>
        </w:rPr>
        <w:t xml:space="preserve"> </w:t>
      </w:r>
      <w:proofErr w:type="spellStart"/>
      <w:r w:rsidRPr="006170F5">
        <w:rPr>
          <w:rFonts w:ascii="Calibri" w:hAnsi="Calibri"/>
          <w:highlight w:val="black"/>
        </w:rPr>
        <w:t>xxxxxxxxxxxxxxxx</w:t>
      </w:r>
      <w:proofErr w:type="spellEnd"/>
    </w:p>
    <w:p w14:paraId="36E5F327" w14:textId="6F0DA1AF" w:rsidR="00943153" w:rsidRPr="00943153" w:rsidRDefault="00943153" w:rsidP="00943153">
      <w:pPr>
        <w:spacing w:before="120"/>
        <w:rPr>
          <w:b/>
          <w:sz w:val="22"/>
          <w:szCs w:val="22"/>
        </w:rPr>
      </w:pPr>
      <w:r w:rsidRPr="00943153">
        <w:rPr>
          <w:b/>
          <w:sz w:val="22"/>
          <w:szCs w:val="22"/>
        </w:rPr>
        <w:t xml:space="preserve">číslo účtu: </w:t>
      </w:r>
      <w:proofErr w:type="spellStart"/>
      <w:r w:rsidRPr="006170F5">
        <w:rPr>
          <w:rFonts w:ascii="Calibri" w:hAnsi="Calibri"/>
          <w:highlight w:val="black"/>
        </w:rPr>
        <w:t>xxxxxxxxxxxxxxxx</w:t>
      </w:r>
      <w:proofErr w:type="spellEnd"/>
    </w:p>
    <w:p w14:paraId="2EADF915" w14:textId="77777777" w:rsidR="00943153" w:rsidRPr="000D6BDD" w:rsidRDefault="00943153" w:rsidP="00943153">
      <w:pPr>
        <w:spacing w:before="120"/>
        <w:rPr>
          <w:rFonts w:ascii="Arial" w:hAnsi="Arial" w:cs="Arial"/>
          <w:sz w:val="22"/>
          <w:szCs w:val="22"/>
        </w:rPr>
      </w:pPr>
      <w:r w:rsidRPr="00943153">
        <w:rPr>
          <w:sz w:val="22"/>
          <w:szCs w:val="22"/>
        </w:rPr>
        <w:t>(dále jen „Pojišťovna“)</w:t>
      </w:r>
      <w:r w:rsidRPr="000D6BDD">
        <w:rPr>
          <w:rFonts w:ascii="Arial" w:hAnsi="Arial" w:cs="Arial"/>
          <w:sz w:val="22"/>
          <w:szCs w:val="22"/>
        </w:rPr>
        <w:tab/>
      </w:r>
    </w:p>
    <w:p w14:paraId="7546122A" w14:textId="77777777" w:rsidR="00E36F77" w:rsidRDefault="00E36F77" w:rsidP="00E36F77">
      <w:pPr>
        <w:tabs>
          <w:tab w:val="left" w:pos="3857"/>
          <w:tab w:val="center" w:pos="4536"/>
        </w:tabs>
        <w:spacing w:before="240" w:after="120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1C33BACA" w14:textId="77777777" w:rsidR="00E36F77" w:rsidRPr="00854E01" w:rsidRDefault="00E36F77" w:rsidP="00E36F77">
      <w:pPr>
        <w:tabs>
          <w:tab w:val="left" w:pos="3857"/>
          <w:tab w:val="center" w:pos="4536"/>
        </w:tabs>
        <w:spacing w:before="240" w:after="120"/>
        <w:jc w:val="center"/>
        <w:textAlignment w:val="auto"/>
        <w:rPr>
          <w:b/>
          <w:sz w:val="24"/>
          <w:szCs w:val="24"/>
        </w:rPr>
      </w:pPr>
    </w:p>
    <w:p w14:paraId="07918FA8" w14:textId="77777777" w:rsidR="00E36F77" w:rsidRPr="002E6959" w:rsidRDefault="00E36F77" w:rsidP="00E36F77">
      <w:pPr>
        <w:numPr>
          <w:ilvl w:val="0"/>
          <w:numId w:val="1"/>
        </w:numPr>
        <w:spacing w:line="360" w:lineRule="auto"/>
        <w:ind w:left="0" w:firstLine="0"/>
        <w:rPr>
          <w:b/>
          <w:sz w:val="22"/>
          <w:szCs w:val="22"/>
        </w:rPr>
      </w:pPr>
      <w:proofErr w:type="spellStart"/>
      <w:r w:rsidRPr="002E6959">
        <w:rPr>
          <w:b/>
          <w:sz w:val="22"/>
          <w:szCs w:val="22"/>
        </w:rPr>
        <w:t>Biogen</w:t>
      </w:r>
      <w:proofErr w:type="spellEnd"/>
      <w:r w:rsidRPr="002E6959">
        <w:rPr>
          <w:b/>
          <w:sz w:val="22"/>
          <w:szCs w:val="22"/>
        </w:rPr>
        <w:t xml:space="preserve"> IDEC Limited</w:t>
      </w:r>
    </w:p>
    <w:p w14:paraId="7640E350" w14:textId="77777777" w:rsidR="00E36F77" w:rsidRPr="002E6959" w:rsidRDefault="00E36F77" w:rsidP="00E36F77">
      <w:pPr>
        <w:spacing w:line="360" w:lineRule="auto"/>
        <w:ind w:left="14"/>
        <w:rPr>
          <w:sz w:val="22"/>
          <w:szCs w:val="22"/>
        </w:rPr>
      </w:pPr>
      <w:r w:rsidRPr="002E6959">
        <w:rPr>
          <w:b/>
          <w:sz w:val="22"/>
          <w:szCs w:val="22"/>
        </w:rPr>
        <w:t>se sídlem:</w:t>
      </w:r>
      <w:r w:rsidRPr="002E6959">
        <w:rPr>
          <w:sz w:val="22"/>
          <w:szCs w:val="22"/>
        </w:rPr>
        <w:t xml:space="preserve"> </w:t>
      </w:r>
      <w:proofErr w:type="spellStart"/>
      <w:r w:rsidRPr="002E6959">
        <w:rPr>
          <w:sz w:val="22"/>
          <w:szCs w:val="22"/>
        </w:rPr>
        <w:t>Innovation</w:t>
      </w:r>
      <w:proofErr w:type="spellEnd"/>
      <w:r w:rsidRPr="002E6959">
        <w:rPr>
          <w:sz w:val="22"/>
          <w:szCs w:val="22"/>
        </w:rPr>
        <w:t xml:space="preserve"> House, </w:t>
      </w:r>
      <w:proofErr w:type="spellStart"/>
      <w:r w:rsidRPr="002E6959">
        <w:rPr>
          <w:sz w:val="22"/>
          <w:szCs w:val="22"/>
        </w:rPr>
        <w:t>Norden</w:t>
      </w:r>
      <w:proofErr w:type="spellEnd"/>
      <w:r w:rsidRPr="002E6959">
        <w:rPr>
          <w:sz w:val="22"/>
          <w:szCs w:val="22"/>
        </w:rPr>
        <w:t xml:space="preserve"> </w:t>
      </w:r>
      <w:proofErr w:type="spellStart"/>
      <w:r w:rsidRPr="002E6959">
        <w:rPr>
          <w:sz w:val="22"/>
          <w:szCs w:val="22"/>
        </w:rPr>
        <w:t>Road</w:t>
      </w:r>
      <w:proofErr w:type="spellEnd"/>
      <w:r w:rsidRPr="002E6959">
        <w:rPr>
          <w:sz w:val="22"/>
          <w:szCs w:val="22"/>
        </w:rPr>
        <w:t xml:space="preserve"> 70, </w:t>
      </w:r>
      <w:proofErr w:type="spellStart"/>
      <w:r w:rsidRPr="002E6959">
        <w:rPr>
          <w:sz w:val="22"/>
          <w:szCs w:val="22"/>
        </w:rPr>
        <w:t>Maidenhead</w:t>
      </w:r>
      <w:proofErr w:type="spellEnd"/>
      <w:r w:rsidRPr="002E6959">
        <w:rPr>
          <w:sz w:val="22"/>
          <w:szCs w:val="22"/>
        </w:rPr>
        <w:t xml:space="preserve"> (Berkshire), Velká Británie </w:t>
      </w:r>
    </w:p>
    <w:p w14:paraId="325D789D" w14:textId="77777777" w:rsidR="00E36F77" w:rsidRPr="002E6959" w:rsidRDefault="00E36F77" w:rsidP="00E36F77">
      <w:pPr>
        <w:spacing w:line="360" w:lineRule="auto"/>
        <w:rPr>
          <w:sz w:val="22"/>
          <w:szCs w:val="22"/>
        </w:rPr>
      </w:pPr>
      <w:r w:rsidRPr="002E6959">
        <w:rPr>
          <w:b/>
          <w:sz w:val="22"/>
          <w:szCs w:val="22"/>
        </w:rPr>
        <w:t>zastoupena:</w:t>
      </w:r>
      <w:r w:rsidRPr="002E6959">
        <w:rPr>
          <w:sz w:val="22"/>
          <w:szCs w:val="22"/>
        </w:rPr>
        <w:t xml:space="preserve"> </w:t>
      </w:r>
      <w:proofErr w:type="spellStart"/>
      <w:r w:rsidRPr="002E6959">
        <w:rPr>
          <w:sz w:val="22"/>
          <w:szCs w:val="22"/>
        </w:rPr>
        <w:t>Biogen</w:t>
      </w:r>
      <w:proofErr w:type="spellEnd"/>
      <w:r w:rsidRPr="002E6959">
        <w:rPr>
          <w:sz w:val="22"/>
          <w:szCs w:val="22"/>
        </w:rPr>
        <w:t xml:space="preserve"> </w:t>
      </w:r>
      <w:proofErr w:type="spellStart"/>
      <w:r w:rsidRPr="002E6959">
        <w:rPr>
          <w:sz w:val="22"/>
          <w:szCs w:val="22"/>
        </w:rPr>
        <w:t>Idec</w:t>
      </w:r>
      <w:proofErr w:type="spellEnd"/>
      <w:r w:rsidRPr="002E6959">
        <w:rPr>
          <w:sz w:val="22"/>
          <w:szCs w:val="22"/>
        </w:rPr>
        <w:t xml:space="preserve"> (Czech Republic) s.r.o., sídlem Praha 4, Na Pankráci 1683/127, PSČ 140 00, zástupce v plné moci</w:t>
      </w:r>
    </w:p>
    <w:p w14:paraId="46E8DEF3" w14:textId="77777777" w:rsidR="00E36F77" w:rsidRPr="002E6959" w:rsidRDefault="00E36F77" w:rsidP="00E36F77">
      <w:pPr>
        <w:spacing w:line="360" w:lineRule="auto"/>
        <w:rPr>
          <w:sz w:val="22"/>
          <w:szCs w:val="22"/>
        </w:rPr>
      </w:pPr>
      <w:r w:rsidRPr="002E6959">
        <w:rPr>
          <w:b/>
          <w:sz w:val="22"/>
          <w:szCs w:val="22"/>
        </w:rPr>
        <w:t>IČO:</w:t>
      </w:r>
      <w:r w:rsidRPr="002E6959">
        <w:rPr>
          <w:sz w:val="22"/>
          <w:szCs w:val="22"/>
        </w:rPr>
        <w:t xml:space="preserve"> 27566137 </w:t>
      </w:r>
    </w:p>
    <w:p w14:paraId="6EBDE7CB" w14:textId="77777777" w:rsidR="00E36F77" w:rsidRPr="002E6959" w:rsidRDefault="00E36F77" w:rsidP="00E36F77">
      <w:pPr>
        <w:spacing w:line="360" w:lineRule="auto"/>
        <w:rPr>
          <w:sz w:val="22"/>
          <w:szCs w:val="22"/>
        </w:rPr>
      </w:pPr>
      <w:r w:rsidRPr="002E6959">
        <w:rPr>
          <w:b/>
          <w:sz w:val="22"/>
          <w:szCs w:val="22"/>
        </w:rPr>
        <w:t>DIČ:</w:t>
      </w:r>
      <w:r w:rsidRPr="002E6959">
        <w:rPr>
          <w:sz w:val="22"/>
          <w:szCs w:val="22"/>
        </w:rPr>
        <w:t xml:space="preserve"> CZ27566137</w:t>
      </w:r>
    </w:p>
    <w:p w14:paraId="06723695" w14:textId="77777777" w:rsidR="00E36F77" w:rsidRPr="002E6959" w:rsidRDefault="00E36F77" w:rsidP="00E36F77">
      <w:pPr>
        <w:spacing w:line="360" w:lineRule="auto"/>
        <w:rPr>
          <w:sz w:val="22"/>
          <w:szCs w:val="22"/>
        </w:rPr>
      </w:pPr>
      <w:r w:rsidRPr="002E6959">
        <w:rPr>
          <w:b/>
          <w:sz w:val="22"/>
          <w:szCs w:val="22"/>
        </w:rPr>
        <w:t>zapsaná v obchodním rejstříku</w:t>
      </w:r>
      <w:r w:rsidRPr="002E6959">
        <w:rPr>
          <w:sz w:val="22"/>
          <w:szCs w:val="22"/>
        </w:rPr>
        <w:t>: pod spis. značkou C 114396 vedenou u Městského soudu v Praze</w:t>
      </w:r>
    </w:p>
    <w:p w14:paraId="66A4B1E4" w14:textId="39E6216F" w:rsidR="00E36F77" w:rsidRPr="002E6959" w:rsidRDefault="00E36F77" w:rsidP="00E36F77">
      <w:pPr>
        <w:spacing w:line="360" w:lineRule="auto"/>
        <w:rPr>
          <w:sz w:val="22"/>
          <w:szCs w:val="22"/>
        </w:rPr>
      </w:pPr>
      <w:r w:rsidRPr="002E6959">
        <w:rPr>
          <w:b/>
          <w:sz w:val="22"/>
          <w:szCs w:val="22"/>
        </w:rPr>
        <w:t xml:space="preserve">bankovní spojení: </w:t>
      </w:r>
      <w:proofErr w:type="spellStart"/>
      <w:r w:rsidR="00804811" w:rsidRPr="006170F5">
        <w:rPr>
          <w:rFonts w:ascii="Calibri" w:hAnsi="Calibri"/>
          <w:highlight w:val="black"/>
        </w:rPr>
        <w:t>xxxxxxxxxxxxxxxx</w:t>
      </w:r>
      <w:proofErr w:type="spellEnd"/>
    </w:p>
    <w:p w14:paraId="545B131A" w14:textId="77777777" w:rsidR="00C053C1" w:rsidRDefault="00E36F77" w:rsidP="00E36F77">
      <w:pPr>
        <w:spacing w:before="120"/>
        <w:rPr>
          <w:sz w:val="24"/>
          <w:szCs w:val="24"/>
        </w:rPr>
      </w:pPr>
      <w:r w:rsidRPr="002E6959">
        <w:rPr>
          <w:b/>
          <w:sz w:val="22"/>
          <w:szCs w:val="22"/>
        </w:rPr>
        <w:t xml:space="preserve">číslo účtu: </w:t>
      </w:r>
      <w:proofErr w:type="spellStart"/>
      <w:r w:rsidR="00804811" w:rsidRPr="006170F5">
        <w:rPr>
          <w:rFonts w:ascii="Calibri" w:hAnsi="Calibri"/>
          <w:highlight w:val="black"/>
        </w:rPr>
        <w:t>xxxxxxxxxxxxxxxx</w:t>
      </w:r>
      <w:proofErr w:type="spellEnd"/>
      <w:r w:rsidR="00804811" w:rsidRPr="00854E01">
        <w:rPr>
          <w:sz w:val="24"/>
          <w:szCs w:val="24"/>
        </w:rPr>
        <w:t xml:space="preserve"> </w:t>
      </w:r>
    </w:p>
    <w:p w14:paraId="361ED8A5" w14:textId="4A024698" w:rsidR="00E36F77" w:rsidRDefault="00E36F77" w:rsidP="00E36F77">
      <w:pPr>
        <w:spacing w:before="120"/>
        <w:rPr>
          <w:sz w:val="24"/>
          <w:szCs w:val="24"/>
        </w:rPr>
      </w:pPr>
      <w:r w:rsidRPr="00854E01">
        <w:rPr>
          <w:sz w:val="24"/>
          <w:szCs w:val="24"/>
        </w:rPr>
        <w:t>(dále jen „</w:t>
      </w:r>
      <w:r>
        <w:rPr>
          <w:b/>
          <w:sz w:val="24"/>
          <w:szCs w:val="24"/>
        </w:rPr>
        <w:t>Držitel</w:t>
      </w:r>
      <w:r w:rsidRPr="00854E01">
        <w:rPr>
          <w:sz w:val="24"/>
          <w:szCs w:val="24"/>
        </w:rPr>
        <w:t>“)</w:t>
      </w:r>
    </w:p>
    <w:p w14:paraId="5869F0E1" w14:textId="77777777" w:rsidR="00E36F77" w:rsidRDefault="00E36F77" w:rsidP="00E36F77">
      <w:pPr>
        <w:spacing w:before="120"/>
        <w:rPr>
          <w:sz w:val="24"/>
          <w:szCs w:val="24"/>
        </w:rPr>
      </w:pPr>
      <w:r w:rsidRPr="00211427">
        <w:rPr>
          <w:sz w:val="24"/>
          <w:szCs w:val="24"/>
        </w:rPr>
        <w:t>(společně oba účastníci smlouvy dále jen „</w:t>
      </w:r>
      <w:r w:rsidRPr="0055117F">
        <w:rPr>
          <w:b/>
          <w:sz w:val="24"/>
          <w:szCs w:val="24"/>
        </w:rPr>
        <w:t>smluvní strany</w:t>
      </w:r>
      <w:r w:rsidRPr="00211427">
        <w:rPr>
          <w:sz w:val="24"/>
          <w:szCs w:val="24"/>
        </w:rPr>
        <w:t>“)</w:t>
      </w:r>
    </w:p>
    <w:p w14:paraId="734AD7C1" w14:textId="77777777" w:rsidR="00E36F77" w:rsidRPr="00211427" w:rsidRDefault="00E36F77" w:rsidP="00E36F77">
      <w:pPr>
        <w:spacing w:before="240"/>
        <w:rPr>
          <w:sz w:val="24"/>
          <w:szCs w:val="24"/>
        </w:rPr>
      </w:pPr>
    </w:p>
    <w:p w14:paraId="1943F629" w14:textId="77777777" w:rsidR="00E36F77" w:rsidRDefault="00E36F77" w:rsidP="00E36F77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00211427">
        <w:rPr>
          <w:b/>
          <w:sz w:val="24"/>
          <w:szCs w:val="24"/>
        </w:rPr>
        <w:t>uzavírají</w:t>
      </w:r>
    </w:p>
    <w:p w14:paraId="5F473DDD" w14:textId="77777777" w:rsidR="00E36F77" w:rsidRPr="00211427" w:rsidRDefault="00E36F77" w:rsidP="00E36F77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4B1D1F40" w14:textId="51063F6B" w:rsidR="00E36F77" w:rsidRPr="00211427" w:rsidRDefault="00E36F77" w:rsidP="00E36F77">
      <w:pPr>
        <w:tabs>
          <w:tab w:val="left" w:pos="3857"/>
          <w:tab w:val="center" w:pos="4536"/>
        </w:tabs>
        <w:spacing w:before="240"/>
        <w:jc w:val="both"/>
        <w:rPr>
          <w:b/>
          <w:sz w:val="24"/>
          <w:szCs w:val="24"/>
        </w:rPr>
      </w:pPr>
      <w:r w:rsidRPr="00211427">
        <w:rPr>
          <w:sz w:val="24"/>
          <w:szCs w:val="24"/>
        </w:rPr>
        <w:t>v souladu s </w:t>
      </w:r>
      <w:r>
        <w:rPr>
          <w:sz w:val="24"/>
          <w:szCs w:val="24"/>
        </w:rPr>
        <w:t>Č</w:t>
      </w:r>
      <w:r w:rsidRPr="00211427">
        <w:rPr>
          <w:sz w:val="24"/>
          <w:szCs w:val="24"/>
        </w:rPr>
        <w:t>l</w:t>
      </w:r>
      <w:r w:rsidRPr="00DF50D9">
        <w:rPr>
          <w:sz w:val="24"/>
          <w:szCs w:val="24"/>
        </w:rPr>
        <w:t>. IX. odst. 2</w:t>
      </w:r>
      <w:r w:rsidRPr="00211427">
        <w:rPr>
          <w:sz w:val="24"/>
          <w:szCs w:val="24"/>
        </w:rPr>
        <w:t xml:space="preserve"> Smlouvy tento Dodatek </w:t>
      </w:r>
      <w:r w:rsidRPr="00DF50D9">
        <w:rPr>
          <w:sz w:val="24"/>
          <w:szCs w:val="24"/>
        </w:rPr>
        <w:t>č. 1</w:t>
      </w:r>
      <w:r w:rsidRPr="00211427">
        <w:rPr>
          <w:sz w:val="24"/>
          <w:szCs w:val="24"/>
        </w:rPr>
        <w:t xml:space="preserve"> ke Smlouvě ze dne </w:t>
      </w:r>
      <w:r w:rsidR="00943153">
        <w:rPr>
          <w:sz w:val="24"/>
          <w:szCs w:val="24"/>
        </w:rPr>
        <w:t>24. 10</w:t>
      </w:r>
      <w:r>
        <w:rPr>
          <w:sz w:val="24"/>
          <w:szCs w:val="24"/>
        </w:rPr>
        <w:t>.</w:t>
      </w:r>
      <w:r w:rsidR="00943153">
        <w:rPr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 w:rsidRPr="00211427">
        <w:rPr>
          <w:sz w:val="24"/>
          <w:szCs w:val="24"/>
        </w:rPr>
        <w:t xml:space="preserve"> a to za podmínek níže uvedených. </w:t>
      </w:r>
    </w:p>
    <w:p w14:paraId="3744BD88" w14:textId="77777777" w:rsidR="00E36F77" w:rsidRPr="00211427" w:rsidRDefault="00E36F77" w:rsidP="00E36F77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</w:p>
    <w:p w14:paraId="6327D7BB" w14:textId="77777777" w:rsidR="00E36F77" w:rsidRPr="00211427" w:rsidRDefault="00E36F77" w:rsidP="00E36F77">
      <w:pPr>
        <w:tabs>
          <w:tab w:val="left" w:pos="3857"/>
          <w:tab w:val="center" w:pos="4536"/>
        </w:tabs>
        <w:spacing w:before="240"/>
        <w:jc w:val="center"/>
        <w:rPr>
          <w:b/>
          <w:sz w:val="24"/>
          <w:szCs w:val="24"/>
        </w:rPr>
      </w:pPr>
      <w:r w:rsidRPr="00211427">
        <w:rPr>
          <w:b/>
          <w:sz w:val="24"/>
          <w:szCs w:val="24"/>
        </w:rPr>
        <w:t>Článek I.</w:t>
      </w:r>
    </w:p>
    <w:p w14:paraId="0A8C0C29" w14:textId="77777777" w:rsidR="00E36F77" w:rsidRDefault="00E36F77" w:rsidP="00E36F77">
      <w:p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00211427">
        <w:rPr>
          <w:sz w:val="24"/>
          <w:szCs w:val="24"/>
        </w:rPr>
        <w:t>Smluvní strany, vědomy si svých závazků obsažených ve Smlouvě a s úmyslem být touto Smlouvou vázány, dohodly se na následujících změnách Smlouvy:</w:t>
      </w:r>
    </w:p>
    <w:p w14:paraId="39BB3199" w14:textId="77777777" w:rsidR="00E36F77" w:rsidRPr="00DF50D9" w:rsidRDefault="00E36F77" w:rsidP="00E36F77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rFonts w:eastAsia="Calibri"/>
          <w:sz w:val="24"/>
          <w:szCs w:val="24"/>
        </w:rPr>
      </w:pPr>
      <w:r w:rsidRPr="00DF50D9">
        <w:rPr>
          <w:rFonts w:eastAsia="Calibri"/>
          <w:sz w:val="24"/>
          <w:szCs w:val="24"/>
        </w:rPr>
        <w:t>Článek III. bod 2.</w:t>
      </w:r>
    </w:p>
    <w:p w14:paraId="5D6A96F8" w14:textId="77777777" w:rsidR="00E36F77" w:rsidRPr="00AA7984" w:rsidRDefault="00E36F77" w:rsidP="00E36F77">
      <w:pPr>
        <w:pStyle w:val="Odstavecseseznamem"/>
        <w:numPr>
          <w:ilvl w:val="1"/>
          <w:numId w:val="6"/>
        </w:numPr>
        <w:ind w:left="709"/>
        <w:jc w:val="both"/>
        <w:rPr>
          <w:sz w:val="24"/>
          <w:szCs w:val="24"/>
        </w:rPr>
      </w:pPr>
      <w:r w:rsidRPr="00AA7984">
        <w:rPr>
          <w:sz w:val="24"/>
          <w:szCs w:val="24"/>
        </w:rPr>
        <w:t xml:space="preserve">Zpětná platba bude Držitelem Pojišťovně uhrazena na základě Pojišťovnou vystavených faktur, a to jedenkrát za kalendářní rok po dobu trvání této </w:t>
      </w:r>
      <w:r>
        <w:rPr>
          <w:sz w:val="24"/>
          <w:szCs w:val="24"/>
        </w:rPr>
        <w:t>S</w:t>
      </w:r>
      <w:r w:rsidRPr="00AA7984">
        <w:rPr>
          <w:sz w:val="24"/>
          <w:szCs w:val="24"/>
        </w:rPr>
        <w:t>mlouvy. Zpětná platba bude vyplacena podle množství uhrazeného Přípravku podle ustanovení 2.</w:t>
      </w:r>
      <w:r>
        <w:rPr>
          <w:sz w:val="24"/>
          <w:szCs w:val="24"/>
        </w:rPr>
        <w:t>2.</w:t>
      </w:r>
      <w:r w:rsidRPr="00AA7984">
        <w:rPr>
          <w:sz w:val="24"/>
          <w:szCs w:val="24"/>
        </w:rPr>
        <w:t>1</w:t>
      </w:r>
      <w:r>
        <w:rPr>
          <w:sz w:val="24"/>
          <w:szCs w:val="24"/>
        </w:rPr>
        <w:t xml:space="preserve"> tohoto Článku</w:t>
      </w:r>
      <w:r w:rsidRPr="00AA7984">
        <w:rPr>
          <w:sz w:val="24"/>
          <w:szCs w:val="24"/>
        </w:rPr>
        <w:t xml:space="preserve"> za období</w:t>
      </w:r>
      <w:r>
        <w:rPr>
          <w:sz w:val="24"/>
          <w:szCs w:val="24"/>
        </w:rPr>
        <w:t xml:space="preserve"> předcházejícího</w:t>
      </w:r>
      <w:r w:rsidRPr="00AA7984">
        <w:rPr>
          <w:sz w:val="24"/>
          <w:szCs w:val="24"/>
        </w:rPr>
        <w:t xml:space="preserve"> kalendářního roku. Faktury vystavené Pojišťovnou budou splatné ve lhůtě 30 dnů ode dne doručení.</w:t>
      </w:r>
    </w:p>
    <w:p w14:paraId="5D2E8082" w14:textId="77777777" w:rsidR="00E36F77" w:rsidRPr="00AA7984" w:rsidRDefault="00E36F77" w:rsidP="00E36F77">
      <w:pPr>
        <w:pStyle w:val="Odstavecseseznamem"/>
        <w:rPr>
          <w:sz w:val="24"/>
          <w:szCs w:val="24"/>
        </w:rPr>
      </w:pPr>
    </w:p>
    <w:p w14:paraId="5C04E1F4" w14:textId="77777777" w:rsidR="00E36F77" w:rsidRPr="00AA7984" w:rsidRDefault="00E36F77" w:rsidP="00E36F77">
      <w:pPr>
        <w:pStyle w:val="Odstavecseseznamem"/>
        <w:numPr>
          <w:ilvl w:val="1"/>
          <w:numId w:val="6"/>
        </w:numPr>
        <w:ind w:left="709"/>
        <w:jc w:val="both"/>
        <w:rPr>
          <w:sz w:val="24"/>
          <w:szCs w:val="24"/>
        </w:rPr>
      </w:pPr>
      <w:r w:rsidRPr="00AA7984">
        <w:rPr>
          <w:sz w:val="24"/>
          <w:szCs w:val="24"/>
        </w:rPr>
        <w:t xml:space="preserve">Pojišťovna se </w:t>
      </w:r>
      <w:r w:rsidRPr="008A54EF">
        <w:rPr>
          <w:sz w:val="24"/>
          <w:szCs w:val="24"/>
        </w:rPr>
        <w:t xml:space="preserve">zavazuje </w:t>
      </w:r>
      <w:r w:rsidRPr="00DF50D9">
        <w:rPr>
          <w:sz w:val="24"/>
          <w:szCs w:val="24"/>
        </w:rPr>
        <w:t>do 1. 4.</w:t>
      </w:r>
      <w:r w:rsidRPr="008A54EF">
        <w:rPr>
          <w:sz w:val="24"/>
          <w:szCs w:val="24"/>
        </w:rPr>
        <w:t xml:space="preserve"> každého</w:t>
      </w:r>
      <w:r w:rsidRPr="00AA7984">
        <w:rPr>
          <w:sz w:val="24"/>
          <w:szCs w:val="24"/>
        </w:rPr>
        <w:t xml:space="preserve"> roku trvání smlouvy předložit Držiteli informace o počtu balení Přípravku, které uhradila Poskytovatelům v předchozí</w:t>
      </w:r>
      <w:r>
        <w:rPr>
          <w:sz w:val="24"/>
          <w:szCs w:val="24"/>
        </w:rPr>
        <w:t>m</w:t>
      </w:r>
      <w:r w:rsidRPr="00AA7984">
        <w:rPr>
          <w:sz w:val="24"/>
          <w:szCs w:val="24"/>
        </w:rPr>
        <w:t xml:space="preserve"> kalendářním roce podle §16 Zákona o veřejném zdravotním pojištění, a které současně byly předepsány a podány pojištěncům Pojišťovny, kteří byli zároveň subjekty klinického hodnocení. Tato informace bude podkladem pro provedení fakturace zpětné platby. </w:t>
      </w:r>
    </w:p>
    <w:p w14:paraId="425D289B" w14:textId="77777777" w:rsidR="00E36F77" w:rsidRPr="00DF50D9" w:rsidRDefault="00E36F77" w:rsidP="00E36F77">
      <w:pPr>
        <w:pStyle w:val="Odstavecseseznamem"/>
        <w:overflowPunct/>
        <w:autoSpaceDE/>
        <w:autoSpaceDN/>
        <w:adjustRightInd/>
        <w:spacing w:before="240"/>
        <w:ind w:left="426"/>
        <w:jc w:val="both"/>
        <w:textAlignment w:val="auto"/>
        <w:rPr>
          <w:rFonts w:eastAsia="Calibri"/>
          <w:sz w:val="24"/>
          <w:szCs w:val="24"/>
        </w:rPr>
      </w:pPr>
    </w:p>
    <w:p w14:paraId="0AEB896B" w14:textId="77777777" w:rsidR="00E36F77" w:rsidRPr="00DF50D9" w:rsidRDefault="00E36F77" w:rsidP="00E36F77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rFonts w:eastAsia="Calibri"/>
          <w:sz w:val="24"/>
          <w:szCs w:val="24"/>
        </w:rPr>
      </w:pPr>
      <w:r w:rsidRPr="00DF50D9">
        <w:rPr>
          <w:rFonts w:eastAsia="Calibri"/>
          <w:sz w:val="24"/>
          <w:szCs w:val="24"/>
        </w:rPr>
        <w:t>Článek VI. bod 1. věta první:</w:t>
      </w:r>
    </w:p>
    <w:p w14:paraId="09038FD0" w14:textId="77777777" w:rsidR="00E36F77" w:rsidRPr="00C43BDF" w:rsidRDefault="00E36F77" w:rsidP="00E36F77">
      <w:pPr>
        <w:pStyle w:val="Odstavecseseznamem"/>
        <w:overflowPunct/>
        <w:autoSpaceDE/>
        <w:autoSpaceDN/>
        <w:adjustRightInd/>
        <w:spacing w:before="240"/>
        <w:ind w:left="426"/>
        <w:jc w:val="both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Tato </w:t>
      </w:r>
      <w:r w:rsidRPr="00C43BDF">
        <w:rPr>
          <w:rFonts w:eastAsia="Calibri"/>
          <w:sz w:val="24"/>
          <w:szCs w:val="24"/>
        </w:rPr>
        <w:t xml:space="preserve">Smlouva se prodlužuje na dobu určitou </w:t>
      </w:r>
      <w:r w:rsidRPr="00C43BDF">
        <w:rPr>
          <w:sz w:val="24"/>
          <w:szCs w:val="24"/>
        </w:rPr>
        <w:t>do 31. prosince 2017</w:t>
      </w:r>
      <w:r w:rsidRPr="00C43BDF">
        <w:rPr>
          <w:rFonts w:ascii="Arial" w:hAnsi="Arial" w:cs="Arial"/>
          <w:sz w:val="22"/>
          <w:szCs w:val="22"/>
        </w:rPr>
        <w:t xml:space="preserve">. </w:t>
      </w:r>
      <w:r w:rsidRPr="00C43BDF">
        <w:rPr>
          <w:sz w:val="24"/>
          <w:szCs w:val="24"/>
        </w:rPr>
        <w:t>Neoznámí-li některá ze smluvních stran nejpozději tři měsíce před ukončením sjednané doby </w:t>
      </w:r>
      <w:r>
        <w:rPr>
          <w:sz w:val="24"/>
          <w:szCs w:val="24"/>
        </w:rPr>
        <w:t xml:space="preserve">této </w:t>
      </w:r>
      <w:r w:rsidRPr="00C43BDF">
        <w:rPr>
          <w:sz w:val="24"/>
          <w:szCs w:val="24"/>
        </w:rPr>
        <w:t xml:space="preserve">Smlouvy druhé smluvní straně, že trvá na ukončení </w:t>
      </w:r>
      <w:r>
        <w:rPr>
          <w:sz w:val="24"/>
          <w:szCs w:val="24"/>
        </w:rPr>
        <w:t xml:space="preserve">této </w:t>
      </w:r>
      <w:r w:rsidRPr="00C43BDF">
        <w:rPr>
          <w:sz w:val="24"/>
          <w:szCs w:val="24"/>
        </w:rPr>
        <w:t xml:space="preserve">Smlouvy uplynutím sjednané doby trvání </w:t>
      </w:r>
      <w:r>
        <w:rPr>
          <w:sz w:val="24"/>
          <w:szCs w:val="24"/>
        </w:rPr>
        <w:t xml:space="preserve">této </w:t>
      </w:r>
      <w:r w:rsidRPr="00C43BDF">
        <w:rPr>
          <w:sz w:val="24"/>
          <w:szCs w:val="24"/>
        </w:rPr>
        <w:t>Smlouvy, tato Smlouva se automaticky prodlužuje o další kalendářní rok, a to i opakovaně.</w:t>
      </w:r>
    </w:p>
    <w:p w14:paraId="68B0CC0B" w14:textId="77777777" w:rsidR="00E36F77" w:rsidRPr="00211427" w:rsidRDefault="00E36F77" w:rsidP="00E36F77">
      <w:pPr>
        <w:pStyle w:val="Odstavecseseznamem"/>
        <w:overflowPunct/>
        <w:autoSpaceDE/>
        <w:autoSpaceDN/>
        <w:adjustRightInd/>
        <w:spacing w:before="240"/>
        <w:ind w:left="426"/>
        <w:jc w:val="both"/>
        <w:textAlignment w:val="auto"/>
        <w:rPr>
          <w:rFonts w:eastAsia="Calibri"/>
          <w:sz w:val="24"/>
          <w:szCs w:val="24"/>
        </w:rPr>
      </w:pPr>
    </w:p>
    <w:p w14:paraId="6190A5A6" w14:textId="77777777" w:rsidR="00E36F77" w:rsidRPr="008A54EF" w:rsidRDefault="00E36F77" w:rsidP="00E36F77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rFonts w:eastAsia="Calibri"/>
          <w:sz w:val="24"/>
          <w:szCs w:val="24"/>
        </w:rPr>
      </w:pPr>
      <w:r w:rsidRPr="00DF50D9">
        <w:rPr>
          <w:rFonts w:eastAsia="Calibri"/>
          <w:sz w:val="24"/>
          <w:szCs w:val="24"/>
        </w:rPr>
        <w:t>Článek VI. bod 2. věta druhá</w:t>
      </w:r>
      <w:r w:rsidRPr="008A54EF">
        <w:rPr>
          <w:rFonts w:eastAsia="Calibri"/>
          <w:sz w:val="24"/>
          <w:szCs w:val="24"/>
        </w:rPr>
        <w:t>:</w:t>
      </w:r>
    </w:p>
    <w:p w14:paraId="052FC17A" w14:textId="147E4D9F" w:rsidR="00E36F77" w:rsidRDefault="00E36F77" w:rsidP="00E36F77">
      <w:pPr>
        <w:pStyle w:val="Odstavecseseznamem"/>
        <w:overflowPunct/>
        <w:autoSpaceDE/>
        <w:autoSpaceDN/>
        <w:adjustRightInd/>
        <w:spacing w:before="240"/>
        <w:ind w:left="426"/>
        <w:jc w:val="both"/>
        <w:textAlignment w:val="auto"/>
        <w:rPr>
          <w:sz w:val="24"/>
          <w:szCs w:val="24"/>
        </w:rPr>
      </w:pPr>
      <w:r w:rsidRPr="00B25E1E">
        <w:rPr>
          <w:sz w:val="24"/>
          <w:szCs w:val="24"/>
        </w:rPr>
        <w:t>Před uplynutím lhůty podle odst</w:t>
      </w:r>
      <w:r w:rsidRPr="00C43BDF">
        <w:rPr>
          <w:sz w:val="24"/>
          <w:szCs w:val="24"/>
        </w:rPr>
        <w:t>. 1 tato Smlo</w:t>
      </w:r>
      <w:r>
        <w:rPr>
          <w:sz w:val="24"/>
          <w:szCs w:val="24"/>
        </w:rPr>
        <w:t>uva dále zaniká vykonatelností R</w:t>
      </w:r>
      <w:r w:rsidRPr="00C43BDF">
        <w:rPr>
          <w:sz w:val="24"/>
          <w:szCs w:val="24"/>
        </w:rPr>
        <w:t xml:space="preserve">ozhodnutí Státního ústavu pro kontrolu léčiv, kterým dojde ke </w:t>
      </w:r>
      <w:r>
        <w:rPr>
          <w:sz w:val="24"/>
          <w:szCs w:val="24"/>
        </w:rPr>
        <w:t>snížení</w:t>
      </w:r>
      <w:r w:rsidRPr="00C43BDF">
        <w:rPr>
          <w:sz w:val="24"/>
          <w:szCs w:val="24"/>
        </w:rPr>
        <w:t xml:space="preserve"> výše úhrady Přípravku nebo jeho maximální ceny</w:t>
      </w:r>
      <w:r>
        <w:rPr>
          <w:sz w:val="24"/>
          <w:szCs w:val="24"/>
        </w:rPr>
        <w:t xml:space="preserve"> tak, že bude nižší než sjednaná zpětná platba</w:t>
      </w:r>
      <w:r w:rsidRPr="00C43B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dle Článku III. bod 2.2.2, dle Přílohy č. 1 Smlouvy o hrazení léčivého přípravku </w:t>
      </w:r>
      <w:proofErr w:type="spellStart"/>
      <w:r w:rsidR="00665530" w:rsidRPr="006170F5">
        <w:rPr>
          <w:rFonts w:ascii="Calibri" w:hAnsi="Calibri"/>
          <w:highlight w:val="black"/>
        </w:rPr>
        <w:t>xxxxxxxxxxxxxxxx</w:t>
      </w:r>
      <w:proofErr w:type="spellEnd"/>
      <w:r>
        <w:rPr>
          <w:sz w:val="24"/>
          <w:szCs w:val="24"/>
        </w:rPr>
        <w:t xml:space="preserve"> pacientům z ukončené studie </w:t>
      </w:r>
      <w:proofErr w:type="spellStart"/>
      <w:r w:rsidR="00665530" w:rsidRPr="006170F5">
        <w:rPr>
          <w:rFonts w:ascii="Calibri" w:hAnsi="Calibri"/>
          <w:highlight w:val="black"/>
        </w:rPr>
        <w:t>xxxxxxxxxxxxxxxx</w:t>
      </w:r>
      <w:proofErr w:type="spellEnd"/>
      <w:r>
        <w:rPr>
          <w:sz w:val="24"/>
          <w:szCs w:val="24"/>
        </w:rPr>
        <w:t xml:space="preserve"> nebo vykonatelností R</w:t>
      </w:r>
      <w:r w:rsidRPr="00C43BDF">
        <w:rPr>
          <w:sz w:val="24"/>
          <w:szCs w:val="24"/>
        </w:rPr>
        <w:t xml:space="preserve">ozhodnutí Státního ústavu pro kontrolu léčiv, kterým dojde ke </w:t>
      </w:r>
      <w:r>
        <w:rPr>
          <w:sz w:val="24"/>
          <w:szCs w:val="24"/>
        </w:rPr>
        <w:t>snížení</w:t>
      </w:r>
      <w:r w:rsidRPr="00C43BDF">
        <w:rPr>
          <w:sz w:val="24"/>
          <w:szCs w:val="24"/>
        </w:rPr>
        <w:t xml:space="preserve"> výše úhrady </w:t>
      </w:r>
      <w:r>
        <w:rPr>
          <w:sz w:val="24"/>
          <w:szCs w:val="24"/>
        </w:rPr>
        <w:t>r</w:t>
      </w:r>
      <w:r w:rsidRPr="00C43BDF">
        <w:rPr>
          <w:sz w:val="24"/>
          <w:szCs w:val="24"/>
        </w:rPr>
        <w:t>eferenční skupiny</w:t>
      </w:r>
      <w:r>
        <w:rPr>
          <w:sz w:val="24"/>
          <w:szCs w:val="24"/>
        </w:rPr>
        <w:t xml:space="preserve"> tak, že bude nižší než sjednaná zpětná platba</w:t>
      </w:r>
      <w:r w:rsidRPr="00C43B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dle Článku III bod 2.2.2, dle Přílohy č. 1 Smlouvy o hrazení léčivého přípravku </w:t>
      </w:r>
      <w:proofErr w:type="spellStart"/>
      <w:r w:rsidR="00665530" w:rsidRPr="006170F5">
        <w:rPr>
          <w:rFonts w:ascii="Calibri" w:hAnsi="Calibri"/>
          <w:highlight w:val="black"/>
        </w:rPr>
        <w:t>xxxxxxxxxxxxxxxx</w:t>
      </w:r>
      <w:proofErr w:type="spellEnd"/>
      <w:r>
        <w:rPr>
          <w:sz w:val="24"/>
          <w:szCs w:val="24"/>
        </w:rPr>
        <w:t xml:space="preserve"> pacientům z ukončené studie </w:t>
      </w:r>
      <w:proofErr w:type="spellStart"/>
      <w:r w:rsidR="00665530" w:rsidRPr="006170F5">
        <w:rPr>
          <w:rFonts w:ascii="Calibri" w:hAnsi="Calibri"/>
          <w:highlight w:val="black"/>
        </w:rPr>
        <w:t>xxxxxxxxxxxxxxxx</w:t>
      </w:r>
      <w:proofErr w:type="spellEnd"/>
      <w:r w:rsidRPr="00C43BDF">
        <w:rPr>
          <w:sz w:val="24"/>
          <w:szCs w:val="24"/>
        </w:rPr>
        <w:t>, ledaže se strany výslovně dohodnou jinak.</w:t>
      </w:r>
    </w:p>
    <w:p w14:paraId="141E1594" w14:textId="77777777" w:rsidR="00E36F77" w:rsidRPr="00C43BDF" w:rsidRDefault="00E36F77" w:rsidP="00E36F77">
      <w:pPr>
        <w:pStyle w:val="Odstavecseseznamem"/>
        <w:overflowPunct/>
        <w:autoSpaceDE/>
        <w:autoSpaceDN/>
        <w:adjustRightInd/>
        <w:spacing w:before="240"/>
        <w:ind w:left="426"/>
        <w:jc w:val="both"/>
        <w:textAlignment w:val="auto"/>
        <w:rPr>
          <w:rFonts w:eastAsia="Calibri"/>
          <w:sz w:val="24"/>
          <w:szCs w:val="24"/>
        </w:rPr>
      </w:pPr>
    </w:p>
    <w:p w14:paraId="612E8157" w14:textId="77777777" w:rsidR="00E36F77" w:rsidRPr="00211427" w:rsidRDefault="00E36F77" w:rsidP="00E36F77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before="240"/>
        <w:ind w:left="426" w:hanging="426"/>
        <w:jc w:val="both"/>
        <w:textAlignment w:val="auto"/>
        <w:rPr>
          <w:rFonts w:eastAsia="Calibri"/>
          <w:sz w:val="24"/>
          <w:szCs w:val="24"/>
        </w:rPr>
      </w:pPr>
      <w:r w:rsidRPr="00211427">
        <w:rPr>
          <w:rFonts w:eastAsia="Calibri"/>
          <w:sz w:val="24"/>
          <w:szCs w:val="24"/>
        </w:rPr>
        <w:t xml:space="preserve">Ostatní části a ustanovení Smlouvy se nemění. </w:t>
      </w:r>
    </w:p>
    <w:p w14:paraId="5024D7BF" w14:textId="77777777" w:rsidR="00E36F77" w:rsidRPr="00211427" w:rsidRDefault="00E36F77" w:rsidP="00E36F77">
      <w:pPr>
        <w:pStyle w:val="Bezmezer"/>
        <w:spacing w:before="240"/>
        <w:rPr>
          <w:b/>
          <w:sz w:val="24"/>
          <w:szCs w:val="24"/>
        </w:rPr>
      </w:pPr>
    </w:p>
    <w:p w14:paraId="30759EDE" w14:textId="77777777" w:rsidR="00E36F77" w:rsidRDefault="00E36F77" w:rsidP="00E36F77">
      <w:pPr>
        <w:pStyle w:val="Bezmezer"/>
        <w:spacing w:before="240"/>
        <w:jc w:val="center"/>
        <w:rPr>
          <w:b/>
          <w:sz w:val="24"/>
          <w:szCs w:val="24"/>
        </w:rPr>
      </w:pPr>
      <w:r w:rsidRPr="00211427">
        <w:rPr>
          <w:b/>
          <w:sz w:val="24"/>
          <w:szCs w:val="24"/>
        </w:rPr>
        <w:t>Článek II.</w:t>
      </w:r>
    </w:p>
    <w:p w14:paraId="2B5C7461" w14:textId="77777777" w:rsidR="00E36F77" w:rsidRPr="00211427" w:rsidRDefault="00E36F77" w:rsidP="00E36F77">
      <w:pPr>
        <w:pStyle w:val="Bezmezer"/>
        <w:spacing w:before="240"/>
        <w:jc w:val="center"/>
        <w:rPr>
          <w:b/>
          <w:sz w:val="24"/>
          <w:szCs w:val="24"/>
        </w:rPr>
      </w:pPr>
    </w:p>
    <w:p w14:paraId="14E97CE4" w14:textId="77777777" w:rsidR="00E36F77" w:rsidRPr="008A54EF" w:rsidRDefault="00E36F77" w:rsidP="00E36F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 w:rsidRPr="00211427">
        <w:rPr>
          <w:sz w:val="24"/>
          <w:szCs w:val="24"/>
        </w:rPr>
        <w:t>Tento Dodatek</w:t>
      </w:r>
      <w:r>
        <w:rPr>
          <w:sz w:val="24"/>
          <w:szCs w:val="24"/>
        </w:rPr>
        <w:t xml:space="preserve"> č. 1</w:t>
      </w:r>
      <w:r w:rsidRPr="00211427">
        <w:rPr>
          <w:sz w:val="24"/>
          <w:szCs w:val="24"/>
        </w:rPr>
        <w:t xml:space="preserve"> nabývá platnosti dnem podpisu </w:t>
      </w:r>
      <w:r>
        <w:rPr>
          <w:sz w:val="24"/>
          <w:szCs w:val="24"/>
        </w:rPr>
        <w:t>zmocněnými</w:t>
      </w:r>
      <w:r w:rsidRPr="00211427">
        <w:rPr>
          <w:sz w:val="24"/>
          <w:szCs w:val="24"/>
        </w:rPr>
        <w:t xml:space="preserve"> zástupci smluvních stran </w:t>
      </w:r>
      <w:r w:rsidRPr="008A54EF">
        <w:rPr>
          <w:sz w:val="24"/>
          <w:szCs w:val="24"/>
        </w:rPr>
        <w:t xml:space="preserve">a </w:t>
      </w:r>
      <w:r w:rsidRPr="00DF50D9">
        <w:rPr>
          <w:sz w:val="24"/>
          <w:szCs w:val="24"/>
        </w:rPr>
        <w:t>účinnosti dnem 1. 1. 2016.</w:t>
      </w:r>
    </w:p>
    <w:p w14:paraId="5C68ED86" w14:textId="77777777" w:rsidR="00E36F77" w:rsidRPr="00AC070F" w:rsidRDefault="00E36F77" w:rsidP="00E36F77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E87E8D">
        <w:rPr>
          <w:sz w:val="24"/>
          <w:szCs w:val="24"/>
        </w:rPr>
        <w:t xml:space="preserve">Tento Dodatek je vyhotoven </w:t>
      </w:r>
      <w:r w:rsidRPr="00AC070F">
        <w:rPr>
          <w:sz w:val="24"/>
          <w:szCs w:val="24"/>
        </w:rPr>
        <w:t xml:space="preserve">ve </w:t>
      </w:r>
      <w:r>
        <w:rPr>
          <w:sz w:val="24"/>
          <w:szCs w:val="24"/>
        </w:rPr>
        <w:t>4 (</w:t>
      </w:r>
      <w:r w:rsidRPr="00AC070F">
        <w:rPr>
          <w:sz w:val="24"/>
          <w:szCs w:val="24"/>
        </w:rPr>
        <w:t>čtyřech</w:t>
      </w:r>
      <w:r>
        <w:rPr>
          <w:sz w:val="24"/>
          <w:szCs w:val="24"/>
        </w:rPr>
        <w:t>)</w:t>
      </w:r>
      <w:r w:rsidRPr="00AC070F">
        <w:rPr>
          <w:sz w:val="24"/>
          <w:szCs w:val="24"/>
        </w:rPr>
        <w:t xml:space="preserve"> stejnopisech. Každá ze smluvních stran obdrží po </w:t>
      </w:r>
      <w:r>
        <w:rPr>
          <w:sz w:val="24"/>
          <w:szCs w:val="24"/>
        </w:rPr>
        <w:t>2 (</w:t>
      </w:r>
      <w:r w:rsidRPr="00AC070F">
        <w:rPr>
          <w:sz w:val="24"/>
          <w:szCs w:val="24"/>
        </w:rPr>
        <w:t>dvou</w:t>
      </w:r>
      <w:r>
        <w:rPr>
          <w:sz w:val="24"/>
          <w:szCs w:val="24"/>
        </w:rPr>
        <w:t>)</w:t>
      </w:r>
      <w:r w:rsidRPr="00AC070F">
        <w:rPr>
          <w:sz w:val="24"/>
          <w:szCs w:val="24"/>
        </w:rPr>
        <w:t xml:space="preserve"> stejnopisech </w:t>
      </w:r>
      <w:r>
        <w:rPr>
          <w:sz w:val="24"/>
          <w:szCs w:val="24"/>
        </w:rPr>
        <w:t>tohoto Dodatku č. 1</w:t>
      </w:r>
      <w:r w:rsidRPr="00AC070F">
        <w:rPr>
          <w:sz w:val="24"/>
          <w:szCs w:val="24"/>
        </w:rPr>
        <w:t>.</w:t>
      </w:r>
    </w:p>
    <w:p w14:paraId="406D1E72" w14:textId="77777777" w:rsidR="00E36F77" w:rsidRPr="00E87E8D" w:rsidRDefault="00E36F77" w:rsidP="00E36F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 w:rsidRPr="00E87E8D">
        <w:rPr>
          <w:sz w:val="24"/>
          <w:szCs w:val="24"/>
        </w:rPr>
        <w:lastRenderedPageBreak/>
        <w:t xml:space="preserve">Smluvní strany si před podpisem </w:t>
      </w:r>
      <w:r>
        <w:rPr>
          <w:sz w:val="24"/>
          <w:szCs w:val="24"/>
        </w:rPr>
        <w:t>tento Dodatek č. 1</w:t>
      </w:r>
      <w:r w:rsidRPr="00E87E8D">
        <w:rPr>
          <w:sz w:val="24"/>
          <w:szCs w:val="24"/>
        </w:rPr>
        <w:t xml:space="preserve"> řádně přečetly a svůj souhlas s obsahem jednotlivých ustanovení této </w:t>
      </w:r>
      <w:r>
        <w:rPr>
          <w:sz w:val="24"/>
          <w:szCs w:val="24"/>
        </w:rPr>
        <w:t>S</w:t>
      </w:r>
      <w:r w:rsidRPr="00E87E8D">
        <w:rPr>
          <w:sz w:val="24"/>
          <w:szCs w:val="24"/>
        </w:rPr>
        <w:t>mlouvy stvrzují svým podpisem.</w:t>
      </w:r>
    </w:p>
    <w:p w14:paraId="3535E36A" w14:textId="77777777" w:rsidR="00E36F77" w:rsidRDefault="00E36F77" w:rsidP="00E36F77">
      <w:pPr>
        <w:tabs>
          <w:tab w:val="left" w:pos="5670"/>
        </w:tabs>
        <w:spacing w:before="240"/>
        <w:rPr>
          <w:sz w:val="24"/>
          <w:szCs w:val="24"/>
        </w:rPr>
      </w:pPr>
    </w:p>
    <w:p w14:paraId="6F6237D7" w14:textId="77777777" w:rsidR="00E36F77" w:rsidRDefault="00E36F77" w:rsidP="00E36F77">
      <w:pPr>
        <w:tabs>
          <w:tab w:val="left" w:pos="5670"/>
        </w:tabs>
        <w:spacing w:before="240"/>
        <w:rPr>
          <w:sz w:val="24"/>
          <w:szCs w:val="24"/>
        </w:rPr>
      </w:pPr>
    </w:p>
    <w:p w14:paraId="2605273F" w14:textId="77777777" w:rsidR="00E36F77" w:rsidRPr="00211427" w:rsidRDefault="00E36F77" w:rsidP="00E36F77">
      <w:pPr>
        <w:tabs>
          <w:tab w:val="left" w:pos="5670"/>
        </w:tabs>
        <w:spacing w:before="240"/>
        <w:rPr>
          <w:sz w:val="24"/>
          <w:szCs w:val="24"/>
        </w:rPr>
      </w:pPr>
    </w:p>
    <w:p w14:paraId="191CCA95" w14:textId="363D9DB1" w:rsidR="00943153" w:rsidRPr="00943153" w:rsidRDefault="00943153" w:rsidP="00943153">
      <w:pPr>
        <w:tabs>
          <w:tab w:val="left" w:pos="4962"/>
        </w:tabs>
        <w:rPr>
          <w:sz w:val="22"/>
          <w:szCs w:val="22"/>
        </w:rPr>
      </w:pPr>
      <w:bookmarkStart w:id="0" w:name="_GoBack"/>
      <w:r w:rsidRPr="00943153">
        <w:rPr>
          <w:sz w:val="22"/>
          <w:szCs w:val="22"/>
        </w:rPr>
        <w:t xml:space="preserve">V </w:t>
      </w:r>
      <w:proofErr w:type="spellStart"/>
      <w:proofErr w:type="gramStart"/>
      <w:r w:rsidRPr="00943153">
        <w:rPr>
          <w:sz w:val="22"/>
          <w:szCs w:val="22"/>
        </w:rPr>
        <w:t>Ostravě</w:t>
      </w:r>
      <w:proofErr w:type="gramEnd"/>
      <w:r w:rsidRPr="00943153">
        <w:rPr>
          <w:sz w:val="22"/>
          <w:szCs w:val="22"/>
        </w:rPr>
        <w:t>.</w:t>
      </w:r>
      <w:proofErr w:type="gramStart"/>
      <w:r w:rsidRPr="00943153">
        <w:rPr>
          <w:sz w:val="22"/>
          <w:szCs w:val="22"/>
        </w:rPr>
        <w:t>dne</w:t>
      </w:r>
      <w:proofErr w:type="spellEnd"/>
      <w:proofErr w:type="gramEnd"/>
      <w:r w:rsidRPr="00943153">
        <w:rPr>
          <w:sz w:val="22"/>
          <w:szCs w:val="22"/>
        </w:rPr>
        <w:t xml:space="preserve"> 18. 12. 2015</w:t>
      </w:r>
      <w:r>
        <w:rPr>
          <w:sz w:val="22"/>
          <w:szCs w:val="22"/>
        </w:rPr>
        <w:tab/>
      </w:r>
      <w:r w:rsidRPr="00943153">
        <w:rPr>
          <w:sz w:val="22"/>
          <w:szCs w:val="22"/>
        </w:rPr>
        <w:t xml:space="preserve">V Praze dne </w:t>
      </w:r>
      <w:r w:rsidRPr="00943153">
        <w:rPr>
          <w:sz w:val="22"/>
          <w:szCs w:val="22"/>
        </w:rPr>
        <w:t>15. 12. 2015</w:t>
      </w:r>
    </w:p>
    <w:p w14:paraId="00947EE3" w14:textId="77777777" w:rsidR="00943153" w:rsidRPr="00943153" w:rsidRDefault="00943153" w:rsidP="00943153">
      <w:pPr>
        <w:tabs>
          <w:tab w:val="left" w:pos="5245"/>
        </w:tabs>
        <w:rPr>
          <w:sz w:val="22"/>
          <w:szCs w:val="22"/>
        </w:rPr>
      </w:pPr>
    </w:p>
    <w:p w14:paraId="5BD48C40" w14:textId="745D2B76" w:rsidR="00943153" w:rsidRPr="00943153" w:rsidRDefault="00943153" w:rsidP="00943153">
      <w:pPr>
        <w:spacing w:line="276" w:lineRule="auto"/>
        <w:rPr>
          <w:sz w:val="22"/>
          <w:szCs w:val="22"/>
        </w:rPr>
      </w:pPr>
      <w:r w:rsidRPr="00943153">
        <w:rPr>
          <w:sz w:val="22"/>
          <w:szCs w:val="22"/>
        </w:rPr>
        <w:t>Za Pojišťovnu: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43153">
        <w:rPr>
          <w:sz w:val="22"/>
          <w:szCs w:val="22"/>
        </w:rPr>
        <w:t>Za držitele:</w:t>
      </w:r>
    </w:p>
    <w:p w14:paraId="04155F87" w14:textId="77777777" w:rsidR="00943153" w:rsidRPr="00943153" w:rsidRDefault="00943153" w:rsidP="00943153">
      <w:pPr>
        <w:tabs>
          <w:tab w:val="left" w:pos="4253"/>
          <w:tab w:val="left" w:pos="5245"/>
        </w:tabs>
        <w:spacing w:line="276" w:lineRule="auto"/>
        <w:rPr>
          <w:sz w:val="22"/>
          <w:szCs w:val="22"/>
        </w:rPr>
      </w:pPr>
    </w:p>
    <w:p w14:paraId="42FE68AD" w14:textId="77777777" w:rsidR="00943153" w:rsidRPr="00943153" w:rsidRDefault="00943153" w:rsidP="00943153">
      <w:pPr>
        <w:tabs>
          <w:tab w:val="left" w:pos="4253"/>
          <w:tab w:val="left" w:pos="5245"/>
        </w:tabs>
        <w:spacing w:line="276" w:lineRule="auto"/>
        <w:rPr>
          <w:sz w:val="22"/>
          <w:szCs w:val="22"/>
        </w:rPr>
      </w:pPr>
    </w:p>
    <w:p w14:paraId="35029C40" w14:textId="77777777" w:rsidR="00943153" w:rsidRPr="00943153" w:rsidRDefault="00943153" w:rsidP="00943153">
      <w:pPr>
        <w:tabs>
          <w:tab w:val="left" w:pos="4253"/>
          <w:tab w:val="left" w:pos="5245"/>
        </w:tabs>
        <w:spacing w:line="276" w:lineRule="auto"/>
        <w:rPr>
          <w:sz w:val="22"/>
          <w:szCs w:val="22"/>
        </w:rPr>
      </w:pPr>
      <w:r w:rsidRPr="00943153">
        <w:rPr>
          <w:sz w:val="22"/>
          <w:szCs w:val="22"/>
        </w:rPr>
        <w:t xml:space="preserve">……………………………………………    </w:t>
      </w:r>
      <w:r w:rsidRPr="00943153">
        <w:rPr>
          <w:sz w:val="22"/>
          <w:szCs w:val="22"/>
        </w:rPr>
        <w:tab/>
      </w:r>
      <w:r w:rsidRPr="00943153">
        <w:rPr>
          <w:sz w:val="22"/>
          <w:szCs w:val="22"/>
        </w:rPr>
        <w:tab/>
        <w:t>………………………………………..</w:t>
      </w:r>
    </w:p>
    <w:p w14:paraId="35476346" w14:textId="6B9127D1" w:rsidR="00943153" w:rsidRPr="00943153" w:rsidRDefault="00943153" w:rsidP="00943153">
      <w:pPr>
        <w:tabs>
          <w:tab w:val="left" w:pos="4253"/>
          <w:tab w:val="left" w:pos="4962"/>
        </w:tabs>
        <w:spacing w:line="276" w:lineRule="auto"/>
        <w:rPr>
          <w:sz w:val="22"/>
          <w:szCs w:val="22"/>
        </w:rPr>
      </w:pPr>
      <w:r w:rsidRPr="00943153">
        <w:rPr>
          <w:b/>
          <w:sz w:val="22"/>
          <w:szCs w:val="22"/>
        </w:rPr>
        <w:t>JUDr. Petr Vaněk, Ph.D.</w:t>
      </w:r>
      <w:r w:rsidRPr="00943153">
        <w:rPr>
          <w:b/>
          <w:sz w:val="22"/>
          <w:szCs w:val="22"/>
        </w:rPr>
        <w:tab/>
      </w:r>
      <w:r w:rsidRPr="00943153">
        <w:rPr>
          <w:b/>
          <w:sz w:val="22"/>
          <w:szCs w:val="22"/>
        </w:rPr>
        <w:tab/>
        <w:t xml:space="preserve">RNDr. Michaela Hrdličková, </w:t>
      </w:r>
      <w:r w:rsidRPr="00943153">
        <w:rPr>
          <w:b/>
          <w:sz w:val="22"/>
          <w:szCs w:val="22"/>
        </w:rPr>
        <w:t>MBA</w:t>
      </w:r>
      <w:r w:rsidRPr="00943153">
        <w:rPr>
          <w:sz w:val="22"/>
          <w:szCs w:val="22"/>
        </w:rPr>
        <w:t xml:space="preserve"> </w:t>
      </w:r>
      <w:r w:rsidRPr="00943153">
        <w:rPr>
          <w:sz w:val="22"/>
          <w:szCs w:val="22"/>
        </w:rPr>
        <w:t>generální ředitel</w:t>
      </w:r>
      <w:r w:rsidRPr="00943153">
        <w:rPr>
          <w:sz w:val="22"/>
          <w:szCs w:val="22"/>
        </w:rPr>
        <w:tab/>
        <w:t xml:space="preserve">  </w:t>
      </w:r>
      <w:r w:rsidRPr="00943153">
        <w:rPr>
          <w:sz w:val="22"/>
          <w:szCs w:val="22"/>
        </w:rPr>
        <w:tab/>
      </w:r>
      <w:r w:rsidRPr="00943153">
        <w:rPr>
          <w:sz w:val="22"/>
          <w:szCs w:val="22"/>
        </w:rPr>
        <w:t>jednatelka</w:t>
      </w:r>
    </w:p>
    <w:p w14:paraId="512E9E1D" w14:textId="77777777" w:rsidR="00943153" w:rsidRPr="00943153" w:rsidRDefault="00943153" w:rsidP="00943153">
      <w:pPr>
        <w:tabs>
          <w:tab w:val="left" w:pos="4678"/>
        </w:tabs>
        <w:spacing w:line="276" w:lineRule="auto"/>
        <w:rPr>
          <w:sz w:val="22"/>
          <w:szCs w:val="22"/>
        </w:rPr>
      </w:pPr>
      <w:r w:rsidRPr="00943153">
        <w:rPr>
          <w:sz w:val="22"/>
          <w:szCs w:val="22"/>
        </w:rPr>
        <w:t>České průmyslové zdravotní pojišťovny</w:t>
      </w:r>
      <w:r w:rsidRPr="00943153">
        <w:rPr>
          <w:sz w:val="22"/>
          <w:szCs w:val="22"/>
        </w:rPr>
        <w:tab/>
      </w:r>
      <w:r w:rsidRPr="00943153">
        <w:rPr>
          <w:sz w:val="22"/>
          <w:szCs w:val="22"/>
        </w:rPr>
        <w:tab/>
        <w:t xml:space="preserve">společnosti </w:t>
      </w:r>
      <w:proofErr w:type="spellStart"/>
      <w:r w:rsidRPr="00943153">
        <w:rPr>
          <w:sz w:val="22"/>
          <w:szCs w:val="22"/>
        </w:rPr>
        <w:t>Biogen</w:t>
      </w:r>
      <w:proofErr w:type="spellEnd"/>
      <w:r w:rsidRPr="00943153">
        <w:rPr>
          <w:sz w:val="22"/>
          <w:szCs w:val="22"/>
        </w:rPr>
        <w:t xml:space="preserve"> (Czech Republic) </w:t>
      </w:r>
    </w:p>
    <w:p w14:paraId="0EB839BE" w14:textId="32EDB128" w:rsidR="00943153" w:rsidRPr="00943153" w:rsidRDefault="00943153" w:rsidP="00943153">
      <w:pPr>
        <w:tabs>
          <w:tab w:val="left" w:pos="4678"/>
        </w:tabs>
        <w:spacing w:line="276" w:lineRule="auto"/>
        <w:rPr>
          <w:rFonts w:ascii="Arial" w:hAnsi="Arial" w:cs="Arial"/>
          <w:sz w:val="22"/>
          <w:szCs w:val="22"/>
        </w:rPr>
      </w:pPr>
      <w:r w:rsidRPr="00943153">
        <w:rPr>
          <w:sz w:val="22"/>
          <w:szCs w:val="22"/>
        </w:rPr>
        <w:tab/>
      </w:r>
      <w:r w:rsidRPr="00943153">
        <w:rPr>
          <w:sz w:val="22"/>
          <w:szCs w:val="22"/>
        </w:rPr>
        <w:tab/>
        <w:t>s.r.o.</w:t>
      </w:r>
      <w:r w:rsidRPr="00943153">
        <w:rPr>
          <w:sz w:val="22"/>
          <w:szCs w:val="22"/>
        </w:rPr>
        <w:tab/>
      </w:r>
      <w:bookmarkEnd w:id="0"/>
      <w:r w:rsidRPr="00943153">
        <w:rPr>
          <w:sz w:val="22"/>
          <w:szCs w:val="22"/>
        </w:rPr>
        <w:tab/>
      </w:r>
      <w:r w:rsidRPr="00943153">
        <w:rPr>
          <w:rFonts w:ascii="Arial" w:hAnsi="Arial" w:cs="Arial"/>
          <w:sz w:val="22"/>
          <w:szCs w:val="22"/>
        </w:rPr>
        <w:tab/>
        <w:t xml:space="preserve"> </w:t>
      </w:r>
    </w:p>
    <w:p w14:paraId="4C8BE22C" w14:textId="1888D47C" w:rsidR="00943153" w:rsidRPr="00943153" w:rsidRDefault="00943153" w:rsidP="00943153">
      <w:pPr>
        <w:tabs>
          <w:tab w:val="left" w:pos="4253"/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43153">
        <w:rPr>
          <w:rFonts w:ascii="Arial" w:hAnsi="Arial" w:cs="Arial"/>
          <w:b/>
          <w:sz w:val="22"/>
          <w:szCs w:val="22"/>
        </w:rPr>
        <w:tab/>
      </w:r>
      <w:r w:rsidRPr="00943153">
        <w:rPr>
          <w:rFonts w:ascii="Arial" w:hAnsi="Arial" w:cs="Arial"/>
          <w:b/>
          <w:sz w:val="22"/>
          <w:szCs w:val="22"/>
        </w:rPr>
        <w:tab/>
      </w:r>
    </w:p>
    <w:p w14:paraId="2D709C02" w14:textId="4BEB610D" w:rsidR="00943153" w:rsidRPr="00943153" w:rsidRDefault="00943153" w:rsidP="00943153">
      <w:pPr>
        <w:tabs>
          <w:tab w:val="left" w:pos="4253"/>
          <w:tab w:val="left" w:pos="5245"/>
        </w:tabs>
      </w:pPr>
      <w:r w:rsidRPr="00943153">
        <w:rPr>
          <w:rFonts w:ascii="Arial" w:hAnsi="Arial" w:cs="Arial"/>
          <w:sz w:val="22"/>
          <w:szCs w:val="22"/>
        </w:rPr>
        <w:tab/>
        <w:t xml:space="preserve">                 </w:t>
      </w:r>
      <w:r w:rsidRPr="00943153">
        <w:rPr>
          <w:rFonts w:ascii="Arial" w:hAnsi="Arial" w:cs="Arial"/>
          <w:sz w:val="22"/>
          <w:szCs w:val="22"/>
        </w:rPr>
        <w:tab/>
      </w:r>
      <w:r w:rsidRPr="00943153">
        <w:rPr>
          <w:rFonts w:ascii="Arial" w:hAnsi="Arial" w:cs="Arial"/>
          <w:sz w:val="22"/>
          <w:szCs w:val="22"/>
        </w:rPr>
        <w:tab/>
      </w:r>
    </w:p>
    <w:p w14:paraId="541DD364" w14:textId="77777777" w:rsidR="00943153" w:rsidRPr="00943153" w:rsidRDefault="00943153" w:rsidP="00943153">
      <w:pPr>
        <w:tabs>
          <w:tab w:val="left" w:pos="4253"/>
          <w:tab w:val="left" w:pos="5245"/>
        </w:tabs>
      </w:pPr>
    </w:p>
    <w:p w14:paraId="0A2E71DA" w14:textId="77777777" w:rsidR="00CB354C" w:rsidRDefault="00CB354C" w:rsidP="00943153">
      <w:pPr>
        <w:tabs>
          <w:tab w:val="left" w:pos="5103"/>
        </w:tabs>
        <w:spacing w:before="240"/>
      </w:pPr>
    </w:p>
    <w:sectPr w:rsidR="00CB354C" w:rsidSect="00E36F77">
      <w:footerReference w:type="default" r:id="rId7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9EB62" w14:textId="77777777" w:rsidR="009A4128" w:rsidRDefault="009A4128">
      <w:r>
        <w:separator/>
      </w:r>
    </w:p>
  </w:endnote>
  <w:endnote w:type="continuationSeparator" w:id="0">
    <w:p w14:paraId="0FFAD6E5" w14:textId="77777777" w:rsidR="009A4128" w:rsidRDefault="009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1AD13" w14:textId="5B416274" w:rsidR="00E36F77" w:rsidRDefault="00E36F77">
    <w:pPr>
      <w:pStyle w:val="Zpat"/>
      <w:framePr w:wrap="auto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 w:rsidR="00943153">
      <w:rPr>
        <w:rStyle w:val="slostrnky"/>
        <w:rFonts w:eastAsiaTheme="majorEastAsia"/>
        <w:noProof/>
      </w:rPr>
      <w:t>2</w:t>
    </w:r>
    <w:r>
      <w:rPr>
        <w:rStyle w:val="slostrnky"/>
        <w:rFonts w:eastAsiaTheme="majorEastAsia"/>
      </w:rPr>
      <w:fldChar w:fldCharType="end"/>
    </w:r>
  </w:p>
  <w:p w14:paraId="0E499795" w14:textId="77777777" w:rsidR="00E36F77" w:rsidRDefault="00E36F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E1E56" w14:textId="77777777" w:rsidR="009A4128" w:rsidRDefault="009A4128">
      <w:r>
        <w:separator/>
      </w:r>
    </w:p>
  </w:footnote>
  <w:footnote w:type="continuationSeparator" w:id="0">
    <w:p w14:paraId="7215F336" w14:textId="77777777" w:rsidR="009A4128" w:rsidRDefault="009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1" w15:restartNumberingAfterBreak="0">
    <w:nsid w:val="2D82015D"/>
    <w:multiLevelType w:val="multilevel"/>
    <w:tmpl w:val="031EF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3DE3695B"/>
    <w:multiLevelType w:val="hybridMultilevel"/>
    <w:tmpl w:val="BF76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610AA"/>
    <w:multiLevelType w:val="singleLevel"/>
    <w:tmpl w:val="3A204696"/>
    <w:lvl w:ilvl="0">
      <w:start w:val="2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4" w15:restartNumberingAfterBreak="0">
    <w:nsid w:val="48C20CAD"/>
    <w:multiLevelType w:val="hybridMultilevel"/>
    <w:tmpl w:val="E1F89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77"/>
    <w:rsid w:val="0001193E"/>
    <w:rsid w:val="0003455E"/>
    <w:rsid w:val="000677F9"/>
    <w:rsid w:val="003E12C2"/>
    <w:rsid w:val="005A7050"/>
    <w:rsid w:val="00665530"/>
    <w:rsid w:val="00804811"/>
    <w:rsid w:val="00886B91"/>
    <w:rsid w:val="00943153"/>
    <w:rsid w:val="009636FA"/>
    <w:rsid w:val="009A4128"/>
    <w:rsid w:val="00A92C9E"/>
    <w:rsid w:val="00C053C1"/>
    <w:rsid w:val="00C70798"/>
    <w:rsid w:val="00CB354C"/>
    <w:rsid w:val="00E36F77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5538"/>
  <w15:chartTrackingRefBased/>
  <w15:docId w15:val="{9518366D-17A9-4A8E-9926-8709682A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F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6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6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6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6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6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6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6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F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6F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6F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6F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6F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6F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6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6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6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6F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6F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6F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6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6F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6F7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E36F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F7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rsid w:val="00E36F7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E36F77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36F77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E36F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7466bb-fe1d-47a0-b943-8ded565c8e54}" enabled="0" method="" siteId="{7b7466bb-fe1d-47a0-b943-8ded565c8e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3600</Characters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2024-07-19T09:11:00Z</dcterms:created>
  <dcterms:modified xsi:type="dcterms:W3CDTF">2024-07-19T09:11:00Z</dcterms:modified>
</cp:coreProperties>
</file>